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2.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172F7" w14:textId="4C0DB8C8" w:rsidR="00647A25" w:rsidRDefault="004840EA">
      <w:bookmarkStart w:id="0" w:name="_Hlk192856439"/>
      <w:bookmarkEnd w:id="0"/>
      <w:r>
        <w:rPr>
          <w:noProof/>
        </w:rPr>
        <w:drawing>
          <wp:anchor distT="0" distB="0" distL="114300" distR="114300" simplePos="0" relativeHeight="251659264" behindDoc="1" locked="1" layoutInCell="1" allowOverlap="0" wp14:anchorId="4576ACAB" wp14:editId="698A91B1">
            <wp:simplePos x="0" y="0"/>
            <wp:positionH relativeFrom="margin">
              <wp:align>center</wp:align>
            </wp:positionH>
            <wp:positionV relativeFrom="margin">
              <wp:align>center</wp:align>
            </wp:positionV>
            <wp:extent cx="10057917" cy="7768800"/>
            <wp:effectExtent l="0" t="0" r="635" b="3810"/>
            <wp:wrapNone/>
            <wp:docPr id="55586899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57917" cy="776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CCCFD" w14:textId="77777777" w:rsidR="00647A25" w:rsidRDefault="00647A25">
      <w:r>
        <w:br w:type="page"/>
      </w:r>
    </w:p>
    <w:p w14:paraId="7003E876" w14:textId="110EDAFC" w:rsidR="00B011C3" w:rsidRPr="00B011C3" w:rsidRDefault="00B011C3" w:rsidP="00B011C3">
      <w:pPr>
        <w:widowControl w:val="0"/>
        <w:autoSpaceDE w:val="0"/>
        <w:autoSpaceDN w:val="0"/>
        <w:spacing w:after="0" w:line="360" w:lineRule="auto"/>
        <w:jc w:val="both"/>
        <w:rPr>
          <w:rFonts w:ascii="Century Gothic" w:hAnsi="Century Gothic"/>
          <w:b/>
          <w:bCs/>
          <w:color w:val="025850"/>
        </w:rPr>
      </w:pPr>
      <w:r w:rsidRPr="00B011C3">
        <w:rPr>
          <w:rFonts w:ascii="Century Gothic" w:hAnsi="Century Gothic"/>
          <w:b/>
          <w:bCs/>
          <w:color w:val="025850"/>
        </w:rPr>
        <w:lastRenderedPageBreak/>
        <w:t>Presentación del Plan de Desarrollo Municipal 2025-2027</w:t>
      </w:r>
    </w:p>
    <w:p w14:paraId="01F3B816" w14:textId="77777777" w:rsidR="00B011C3" w:rsidRPr="00B011C3" w:rsidRDefault="00B011C3" w:rsidP="00B011C3">
      <w:pPr>
        <w:widowControl w:val="0"/>
        <w:autoSpaceDE w:val="0"/>
        <w:autoSpaceDN w:val="0"/>
        <w:spacing w:after="0" w:line="360" w:lineRule="auto"/>
        <w:jc w:val="both"/>
        <w:rPr>
          <w:rFonts w:ascii="Century Gothic" w:hAnsi="Century Gothic"/>
          <w:b/>
          <w:bCs/>
          <w:color w:val="8DD873" w:themeColor="accent6" w:themeTint="99"/>
          <w:sz w:val="22"/>
          <w:szCs w:val="22"/>
        </w:rPr>
      </w:pPr>
    </w:p>
    <w:p w14:paraId="60F9E96E"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El Plan de Desarrollo Municipal 2025–2027 es el documento rector que garantiza una planeación municipal eficiente y democrática, orientada a la toma de decisiones y la formulación de políticas públicas para los próximos tres años. Establece con precisión los objetivos, estrategias y metas que promueven un desarrollo sostenible y equitativo en San Antonio la Isla.</w:t>
      </w:r>
    </w:p>
    <w:p w14:paraId="6E7D16D2"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Este plan no solo se sustenta en el precepto municipalista, que busca otorgar mayor autonomía a la administración local mediante la descentralización, sino que también integra y alinea sus objetivos con el Plan Nacional de Desarrollo 2025-2030 y el Plan de Desarrollo del Estado de México 2023-2029. Además, incorpora los Objetivos de Desarrollo Sostenible (ODS) de la Agenda 2030, proporcionando una visión integral e indivisible con un enfoque de cooperación internacional renovada. En conjunto, estos elementos delinean el futuro deseado para San Antonio la Isla.</w:t>
      </w:r>
    </w:p>
    <w:p w14:paraId="4FE16BC7"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Misión</w:t>
      </w:r>
      <w:r w:rsidRPr="00B011C3">
        <w:rPr>
          <w:rFonts w:ascii="Century Gothic" w:hAnsi="Century Gothic"/>
          <w:b/>
          <w:bCs/>
          <w:sz w:val="22"/>
          <w:szCs w:val="22"/>
        </w:rPr>
        <w:t>:</w:t>
      </w:r>
      <w:r w:rsidRPr="00B011C3">
        <w:rPr>
          <w:rFonts w:ascii="Century Gothic" w:hAnsi="Century Gothic"/>
          <w:sz w:val="22"/>
          <w:szCs w:val="22"/>
        </w:rPr>
        <w:t xml:space="preserve"> Ser un gobierno incluyente, donde el diseño de políticas públicas esté centrado en las personas, </w:t>
      </w:r>
      <w:r w:rsidRPr="00B011C3">
        <w:rPr>
          <w:rFonts w:ascii="Century Gothic" w:hAnsi="Century Gothic"/>
          <w:sz w:val="22"/>
          <w:szCs w:val="22"/>
        </w:rPr>
        <w:t>promoviendo la transparencia y la honestidad para contribuir a un entorno de paz y prosperidad, en armonía con el planeta, a través de la construcción de alianzas estratégicas.</w:t>
      </w:r>
    </w:p>
    <w:p w14:paraId="15F083F1"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Visión:</w:t>
      </w:r>
      <w:r w:rsidRPr="00B011C3">
        <w:rPr>
          <w:rFonts w:ascii="Century Gothic" w:hAnsi="Century Gothic"/>
          <w:sz w:val="22"/>
          <w:szCs w:val="22"/>
        </w:rPr>
        <w:t xml:space="preserve"> Mejorar las condiciones de vida de los habitantes de San Antonio la Isla mediante un gobierno cercano a la gente, basado en la igualdad sustantiva de género, el fortalecimiento de la cultura, la protección de la niñez y adolescencia, y el combate a la corrupción.</w:t>
      </w:r>
    </w:p>
    <w:p w14:paraId="47027570"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 xml:space="preserve">El Plan de Desarrollo Municipal está alineado con los objetivos y estrategias establecidas en el PDEM 2023-2029, garantizando coherencia en las políticas públicas y una planeación articulada entre los distintos niveles de gobierno. Además, incorpora los Objetivos de Desarrollo Sostenible (ODS) de la Agenda 2030, promoviendo estrategias que aborden la erradicación de la pobreza, el crecimiento económico inclusivo, la acción climática y la equidad social, entre otros aspectos prioritarios. Su elaboración se llevó a cabo mediante un proceso participativo que incluyó consultas ciudadanas, foros de opinión, encuestas y mesas de trabajo con actores clave, </w:t>
      </w:r>
      <w:r w:rsidRPr="00B011C3">
        <w:rPr>
          <w:rFonts w:ascii="Century Gothic" w:hAnsi="Century Gothic"/>
          <w:sz w:val="22"/>
          <w:szCs w:val="22"/>
        </w:rPr>
        <w:lastRenderedPageBreak/>
        <w:t>garantizando la representación de diversos sectores de la sociedad.</w:t>
      </w:r>
    </w:p>
    <w:p w14:paraId="44602F11"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La regionalización del Estado de México permite una planeación territorial más eficiente, considerando las características socioeconómicas, culturales y ambientales de cada zona. Este enfoque facilita la integración de políticas y programas que respondan a las necesidades específicas de San Antonio la Isla dentro de su región. Se presenta un análisis del territorio, su geografía, infraestructura, uso de suelo y recursos naturales, identificando fortalezas y áreas de oportunidad para su desarrollo. Además, se abordan problemáticas y oportunidades en los ámbitos de economía, educación, salud, seguridad, medio ambiente, infraestructura y equidad social, con el fin de diseñar estrategias adecuadas para su atención.</w:t>
      </w:r>
    </w:p>
    <w:p w14:paraId="38FA6FCD"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 xml:space="preserve">Este análisis permite anticipar escenarios futuros y diseñar estrategias que respondan a las tendencias demográficas, económicas, tecnológicas y ambientales, asegurando la sostenibilidad del desarrollo municipal. El Plan de Desarrollo Municipal 2025-2027 se compone de siete ejes estratégicos, cuatro denominados "Ejes del </w:t>
      </w:r>
      <w:r w:rsidRPr="00B011C3">
        <w:rPr>
          <w:rFonts w:ascii="Century Gothic" w:hAnsi="Century Gothic"/>
          <w:sz w:val="22"/>
          <w:szCs w:val="22"/>
        </w:rPr>
        <w:t>Cambio" y tres "Ejes Transversales". El Eje 1, Cero corrupción y gobierno del pueblo y para el pueblo, busca reducir la brecha entre el gobierno y la ciudadanía para recuperar la confianza en las instituciones y fomentar la participación social. El Eje 2, Bienestar ambiental y acceso universal al agua, garantizará el derecho al agua y se impulsará la protección integral de la flora y fauna del municipio. El Eje 3, Empleo digno y desarrollo económico, fortalecerá la modernización económica, facilitando el establecimiento de empresas y promoviendo el turismo y la artesanía local. El Eje 4, Bienestar social, se enfocará en mejorar la calidad de vida de la población mediante la reducción de la pobreza y la promoción del ejercicio pleno de los derechos sociales.</w:t>
      </w:r>
    </w:p>
    <w:p w14:paraId="7A9FD007"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 xml:space="preserve">Los Ejes Transversales incluyen la Igualdad de género, promoviendo la equidad en el ámbito laboral, educativo, social y político; la Construcción de la paz y seguridad, garantizando los derechos fundamentales de las personas y fortaleciendo el acceso a la justicia; y el Cumplimiento de los Objetivos de Desarrollo Sostenible, adoptando los ODS como indicadores clave para el proceso de planeación estratégica, priorizando su </w:t>
      </w:r>
      <w:r w:rsidRPr="00B011C3">
        <w:rPr>
          <w:rFonts w:ascii="Century Gothic" w:hAnsi="Century Gothic"/>
          <w:sz w:val="22"/>
          <w:szCs w:val="22"/>
        </w:rPr>
        <w:lastRenderedPageBreak/>
        <w:t>implementación de acuerdo con las necesidades y particularidades del territorio.</w:t>
      </w:r>
    </w:p>
    <w:p w14:paraId="3EBFFC52" w14:textId="4A378431"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Para garantizar el cumplimiento de estos objetivos, se implementará un sistema integral de seguimiento y evaluación que permitirá monitorear el cumplimiento de las metas establecidas en el Plan. Este sistema asegurará la transparencia, rendición de cuentas y mejora continua en la gestión pública municipal. El Plan de Desarrollo Municipal de San Antonio la Isla 2025-2027 es el resultado de un proceso participativo que refleja las aspiraciones de la ciudadanía. Su éxito dependerá del esfuerzo, compromiso y colaboración de todos, bajo la convicción de que "Unidos es Posible".</w:t>
      </w:r>
    </w:p>
    <w:p w14:paraId="663F9C25"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El Plan de Desarrollo Municipal 2025-2027 se caracteriza por una participación social activa y un enfoque transversal, considerando la interconexión entre todas las áreas de la administración municipal. Está compuesto por siete ejes estratégicos: cuatro denominados “Ejes del Cambio” y tres “Ejes Transversales”.</w:t>
      </w:r>
    </w:p>
    <w:p w14:paraId="30BFFFC0" w14:textId="77777777" w:rsidR="00B011C3" w:rsidRDefault="00B011C3" w:rsidP="00B011C3">
      <w:pPr>
        <w:spacing w:line="360" w:lineRule="auto"/>
        <w:jc w:val="both"/>
        <w:rPr>
          <w:rFonts w:ascii="Century Gothic" w:hAnsi="Century Gothic"/>
          <w:b/>
          <w:bCs/>
          <w:color w:val="025850"/>
          <w:sz w:val="22"/>
          <w:szCs w:val="22"/>
        </w:rPr>
      </w:pPr>
    </w:p>
    <w:p w14:paraId="58963D31" w14:textId="4ED732AD" w:rsidR="00B011C3" w:rsidRPr="00B011C3" w:rsidRDefault="00B011C3" w:rsidP="00B011C3">
      <w:pPr>
        <w:spacing w:line="360" w:lineRule="auto"/>
        <w:jc w:val="both"/>
        <w:rPr>
          <w:rFonts w:ascii="Century Gothic" w:hAnsi="Century Gothic"/>
          <w:b/>
          <w:bCs/>
          <w:color w:val="025850"/>
          <w:sz w:val="22"/>
          <w:szCs w:val="22"/>
        </w:rPr>
      </w:pPr>
      <w:r w:rsidRPr="00B011C3">
        <w:rPr>
          <w:rFonts w:ascii="Century Gothic" w:hAnsi="Century Gothic"/>
          <w:b/>
          <w:bCs/>
          <w:color w:val="025850"/>
          <w:sz w:val="22"/>
          <w:szCs w:val="22"/>
        </w:rPr>
        <w:t>Ejes del Cambio</w:t>
      </w:r>
    </w:p>
    <w:p w14:paraId="5B41BC33" w14:textId="2BF05E3D" w:rsidR="00B011C3" w:rsidRPr="00B011C3" w:rsidRDefault="00B011C3" w:rsidP="00B011C3">
      <w:pPr>
        <w:spacing w:line="360" w:lineRule="auto"/>
        <w:ind w:firstLine="708"/>
        <w:jc w:val="both"/>
        <w:rPr>
          <w:rFonts w:ascii="Century Gothic" w:hAnsi="Century Gothic"/>
          <w:b/>
          <w:bCs/>
          <w:sz w:val="22"/>
          <w:szCs w:val="22"/>
        </w:rPr>
      </w:pPr>
      <w:r w:rsidRPr="00B011C3">
        <w:rPr>
          <w:rFonts w:ascii="Century Gothic" w:hAnsi="Century Gothic"/>
          <w:b/>
          <w:bCs/>
          <w:color w:val="025850"/>
          <w:sz w:val="22"/>
          <w:szCs w:val="22"/>
        </w:rPr>
        <w:t>Cero corrupción y gobierno del pueblo y para el pueblo.</w:t>
      </w:r>
      <w:r>
        <w:rPr>
          <w:rFonts w:ascii="Century Gothic" w:hAnsi="Century Gothic"/>
          <w:b/>
          <w:bCs/>
          <w:color w:val="025850"/>
          <w:sz w:val="22"/>
          <w:szCs w:val="22"/>
        </w:rPr>
        <w:t xml:space="preserve"> </w:t>
      </w:r>
      <w:r w:rsidRPr="00B011C3">
        <w:rPr>
          <w:rFonts w:ascii="Century Gothic" w:hAnsi="Century Gothic"/>
          <w:b/>
          <w:bCs/>
          <w:i/>
          <w:iCs/>
          <w:color w:val="025850"/>
          <w:sz w:val="22"/>
          <w:szCs w:val="22"/>
        </w:rPr>
        <w:t>“Estado de Derecho y austeridad”</w:t>
      </w:r>
      <w:r w:rsidRPr="00B011C3">
        <w:rPr>
          <w:rFonts w:ascii="Century Gothic" w:hAnsi="Century Gothic"/>
          <w:i/>
          <w:iCs/>
          <w:sz w:val="22"/>
          <w:szCs w:val="22"/>
        </w:rPr>
        <w:t>.</w:t>
      </w:r>
      <w:r w:rsidRPr="00B011C3">
        <w:rPr>
          <w:rFonts w:ascii="Century Gothic" w:hAnsi="Century Gothic"/>
          <w:sz w:val="22"/>
          <w:szCs w:val="22"/>
        </w:rPr>
        <w:t xml:space="preserve"> Este eje busca reducir la brecha entre el gobierno y la ciudadanía para recuperar la confianza en las instituciones y fomentar la participación social. Se promoverá una administración pública municipal transparente, con rendición de cuentas, respeto al Estado de derecho y servidores públicos íntegros, comprometidos con la atención y sensibilización en la prestación de bienes y servicios.</w:t>
      </w:r>
    </w:p>
    <w:p w14:paraId="03DDD563"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 xml:space="preserve">Bienestar ambiental y acceso universal al agua. </w:t>
      </w:r>
      <w:r w:rsidRPr="00B011C3">
        <w:rPr>
          <w:rFonts w:ascii="Century Gothic" w:hAnsi="Century Gothic"/>
          <w:b/>
          <w:bCs/>
          <w:i/>
          <w:iCs/>
          <w:color w:val="025850"/>
          <w:sz w:val="22"/>
          <w:szCs w:val="22"/>
        </w:rPr>
        <w:t>“Preservación y promoción ecológica”.</w:t>
      </w:r>
      <w:r w:rsidRPr="00B011C3">
        <w:rPr>
          <w:rFonts w:ascii="Century Gothic" w:hAnsi="Century Gothic"/>
          <w:color w:val="025850"/>
          <w:sz w:val="22"/>
          <w:szCs w:val="22"/>
        </w:rPr>
        <w:t xml:space="preserve"> </w:t>
      </w:r>
      <w:r w:rsidRPr="00B011C3">
        <w:rPr>
          <w:rFonts w:ascii="Century Gothic" w:hAnsi="Century Gothic"/>
          <w:sz w:val="22"/>
          <w:szCs w:val="22"/>
        </w:rPr>
        <w:t>Se garantizará el derecho al agua y se impulsará la protección integral de la flora y fauna del municipio. Además, se implementarán estrategias para prevenir la contaminación atmosférica y mitigar el impacto del cambio climático.</w:t>
      </w:r>
    </w:p>
    <w:p w14:paraId="704FD6CF"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Empleo digno y desarrollo económico.</w:t>
      </w:r>
      <w:r w:rsidRPr="00B011C3">
        <w:rPr>
          <w:rFonts w:ascii="Century Gothic" w:hAnsi="Century Gothic"/>
          <w:b/>
          <w:bCs/>
          <w:i/>
          <w:iCs/>
          <w:color w:val="025850"/>
          <w:sz w:val="22"/>
          <w:szCs w:val="22"/>
        </w:rPr>
        <w:t xml:space="preserve"> “Inclusión para el bienestar y la prosperidad”</w:t>
      </w:r>
      <w:r w:rsidRPr="00B011C3">
        <w:rPr>
          <w:rFonts w:ascii="Century Gothic" w:hAnsi="Century Gothic"/>
          <w:i/>
          <w:iCs/>
          <w:sz w:val="22"/>
          <w:szCs w:val="22"/>
        </w:rPr>
        <w:t>.</w:t>
      </w:r>
      <w:r w:rsidRPr="00B011C3">
        <w:rPr>
          <w:rFonts w:ascii="Century Gothic" w:hAnsi="Century Gothic"/>
          <w:sz w:val="22"/>
          <w:szCs w:val="22"/>
        </w:rPr>
        <w:t xml:space="preserve"> Se fortalecerá la modernización económica, facilitando el establecimiento de empresas y promoviendo el turismo y </w:t>
      </w:r>
      <w:r w:rsidRPr="00B011C3">
        <w:rPr>
          <w:rFonts w:ascii="Century Gothic" w:hAnsi="Century Gothic"/>
          <w:sz w:val="22"/>
          <w:szCs w:val="22"/>
        </w:rPr>
        <w:lastRenderedPageBreak/>
        <w:t>la artesanía local. Asimismo, se fomentará el desarrollo del sector agrícola como motor de crecimiento económico.</w:t>
      </w:r>
    </w:p>
    <w:p w14:paraId="41F0A49B"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Bienestar social.</w:t>
      </w:r>
      <w:r w:rsidRPr="00B011C3">
        <w:rPr>
          <w:rFonts w:ascii="Century Gothic" w:hAnsi="Century Gothic"/>
          <w:b/>
          <w:bCs/>
          <w:i/>
          <w:iCs/>
          <w:color w:val="025850"/>
          <w:sz w:val="22"/>
          <w:szCs w:val="22"/>
        </w:rPr>
        <w:t xml:space="preserve"> “Combate a la pobreza y atención a grupos en situación de vulnerabilidad”.</w:t>
      </w:r>
      <w:r w:rsidRPr="00B011C3">
        <w:rPr>
          <w:rFonts w:ascii="Century Gothic" w:hAnsi="Century Gothic"/>
          <w:color w:val="025850"/>
          <w:sz w:val="22"/>
          <w:szCs w:val="22"/>
        </w:rPr>
        <w:t xml:space="preserve"> </w:t>
      </w:r>
      <w:r w:rsidRPr="00B011C3">
        <w:rPr>
          <w:rFonts w:ascii="Century Gothic" w:hAnsi="Century Gothic"/>
          <w:sz w:val="22"/>
          <w:szCs w:val="22"/>
        </w:rPr>
        <w:t>Este eje se enfoca en mejorar la calidad de vida de la población mediante la reducción de la pobreza y la promoción del ejercicio pleno de los derechos sociales. Se impulsará el empoderamiento de las mujeres en situación de vulnerabilidad, la reducción de desigualdades, el acceso a educación, deporte, cultura y salud integral, así como la garantía de viviendas dignas.</w:t>
      </w:r>
    </w:p>
    <w:p w14:paraId="4EE9C146" w14:textId="50C3279D" w:rsidR="00B011C3" w:rsidRPr="00B011C3" w:rsidRDefault="00B011C3" w:rsidP="00B011C3">
      <w:pPr>
        <w:spacing w:line="360" w:lineRule="auto"/>
        <w:jc w:val="both"/>
        <w:rPr>
          <w:rFonts w:ascii="Century Gothic" w:hAnsi="Century Gothic"/>
          <w:b/>
          <w:bCs/>
          <w:color w:val="025850"/>
          <w:sz w:val="22"/>
          <w:szCs w:val="22"/>
        </w:rPr>
      </w:pPr>
      <w:r w:rsidRPr="00B011C3">
        <w:rPr>
          <w:rFonts w:ascii="Century Gothic" w:hAnsi="Century Gothic"/>
          <w:b/>
          <w:bCs/>
          <w:color w:val="025850"/>
          <w:sz w:val="22"/>
          <w:szCs w:val="22"/>
        </w:rPr>
        <w:t>Ejes Transversales</w:t>
      </w:r>
    </w:p>
    <w:p w14:paraId="78A88221"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Igualdad de género.</w:t>
      </w:r>
      <w:r w:rsidRPr="00B011C3">
        <w:rPr>
          <w:rFonts w:ascii="Century Gothic" w:hAnsi="Century Gothic"/>
          <w:color w:val="025850"/>
          <w:sz w:val="22"/>
          <w:szCs w:val="22"/>
        </w:rPr>
        <w:t xml:space="preserve"> </w:t>
      </w:r>
      <w:r w:rsidRPr="00B011C3">
        <w:rPr>
          <w:rFonts w:ascii="Century Gothic" w:hAnsi="Century Gothic"/>
          <w:sz w:val="22"/>
          <w:szCs w:val="22"/>
        </w:rPr>
        <w:t>Se promoverá la equidad en el ámbito laboral, educativo, social y político, asegurando el acceso a servicios integrales de salud y fomentando la igualdad sustantiva entre hombres y mujeres para que estas puedan ejercer plenamente sus derechos y alcanzar su máximo potencial.</w:t>
      </w:r>
    </w:p>
    <w:p w14:paraId="739514CF"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Construcción de la paz y seguridad</w:t>
      </w:r>
      <w:r w:rsidRPr="00B011C3">
        <w:rPr>
          <w:rFonts w:ascii="Century Gothic" w:hAnsi="Century Gothic"/>
          <w:b/>
          <w:bCs/>
          <w:sz w:val="22"/>
          <w:szCs w:val="22"/>
        </w:rPr>
        <w:t>.</w:t>
      </w:r>
      <w:r w:rsidRPr="00B011C3">
        <w:rPr>
          <w:rFonts w:ascii="Century Gothic" w:hAnsi="Century Gothic"/>
          <w:sz w:val="22"/>
          <w:szCs w:val="22"/>
        </w:rPr>
        <w:t xml:space="preserve"> Se garantizarán los derechos fundamentales de las personas, promoviendo una sociedad pacífica e </w:t>
      </w:r>
      <w:r w:rsidRPr="00B011C3">
        <w:rPr>
          <w:rFonts w:ascii="Century Gothic" w:hAnsi="Century Gothic"/>
          <w:sz w:val="22"/>
          <w:szCs w:val="22"/>
        </w:rPr>
        <w:t>incluyente. Además, se fortalecerá el acceso a la justicia y se consolidarán instituciones eficaces y transparentes.</w:t>
      </w:r>
    </w:p>
    <w:p w14:paraId="394C4DE6"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b/>
          <w:bCs/>
          <w:color w:val="025850"/>
          <w:sz w:val="22"/>
          <w:szCs w:val="22"/>
        </w:rPr>
        <w:t>Cumplimiento de los Objetivos de Desarrollo Sostenible.</w:t>
      </w:r>
      <w:r w:rsidRPr="00B011C3">
        <w:rPr>
          <w:rFonts w:ascii="Century Gothic" w:hAnsi="Century Gothic"/>
          <w:color w:val="025850"/>
          <w:sz w:val="22"/>
          <w:szCs w:val="22"/>
        </w:rPr>
        <w:t xml:space="preserve"> </w:t>
      </w:r>
      <w:r w:rsidRPr="00B011C3">
        <w:rPr>
          <w:rFonts w:ascii="Century Gothic" w:hAnsi="Century Gothic"/>
          <w:sz w:val="22"/>
          <w:szCs w:val="22"/>
        </w:rPr>
        <w:t>Se adoptarán los ODS como indicadores clave para el proceso de planeación estratégica, priorizando su implementación de acuerdo con las necesidades y particularidades del territorio.</w:t>
      </w:r>
    </w:p>
    <w:p w14:paraId="3F553E68"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 xml:space="preserve">El Plan de Desarrollo Municipal de San Antonio la Isla 2025-2027 es el resultado de un proceso participativo que refleja las aspiraciones de la ciudadanía. Su éxito dependerá del esfuerzo, compromiso y colaboración de todos, bajo la convicción de que </w:t>
      </w:r>
      <w:r w:rsidRPr="00B011C3">
        <w:rPr>
          <w:rFonts w:ascii="Century Gothic" w:hAnsi="Century Gothic"/>
          <w:b/>
          <w:bCs/>
          <w:color w:val="025850"/>
          <w:sz w:val="22"/>
          <w:szCs w:val="22"/>
          <w:lang w:val="es-US"/>
        </w:rPr>
        <w:t>“Unidos es Posible”-</w:t>
      </w:r>
    </w:p>
    <w:p w14:paraId="79BFDA63" w14:textId="69D39B15" w:rsidR="00B011C3" w:rsidRDefault="00B011C3">
      <w:r>
        <w:br w:type="page"/>
      </w:r>
    </w:p>
    <w:p w14:paraId="077B23C2" w14:textId="2C286EC8" w:rsidR="00B011C3" w:rsidRDefault="00B011C3" w:rsidP="00B011C3">
      <w:pPr>
        <w:widowControl w:val="0"/>
        <w:autoSpaceDE w:val="0"/>
        <w:autoSpaceDN w:val="0"/>
        <w:spacing w:after="0" w:line="360" w:lineRule="auto"/>
        <w:jc w:val="both"/>
        <w:rPr>
          <w:rFonts w:ascii="Century Gothic" w:hAnsi="Century Gothic"/>
          <w:b/>
          <w:bCs/>
          <w:color w:val="8DD873" w:themeColor="accent6" w:themeTint="99"/>
        </w:rPr>
      </w:pPr>
      <w:r w:rsidRPr="00B011C3">
        <w:rPr>
          <w:rFonts w:ascii="Century Gothic" w:hAnsi="Century Gothic"/>
          <w:b/>
          <w:bCs/>
          <w:color w:val="025850"/>
        </w:rPr>
        <w:lastRenderedPageBreak/>
        <w:t xml:space="preserve">Mensaje de Gobierno y Compromiso Político </w:t>
      </w:r>
    </w:p>
    <w:p w14:paraId="262EC1C1" w14:textId="77777777" w:rsidR="00CE2573" w:rsidRPr="00CE2573" w:rsidRDefault="00CE2573" w:rsidP="00B011C3">
      <w:pPr>
        <w:widowControl w:val="0"/>
        <w:autoSpaceDE w:val="0"/>
        <w:autoSpaceDN w:val="0"/>
        <w:spacing w:after="0" w:line="360" w:lineRule="auto"/>
        <w:jc w:val="both"/>
        <w:rPr>
          <w:rFonts w:ascii="Century Gothic" w:hAnsi="Century Gothic"/>
          <w:b/>
          <w:bCs/>
          <w:color w:val="8DD873" w:themeColor="accent6" w:themeTint="99"/>
        </w:rPr>
      </w:pPr>
    </w:p>
    <w:p w14:paraId="05546B70"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San Antonio la Isla ha sido escenario de importantes sucesos en la historia local y nacional de México. Su lucha por la autonomía política, que inició en el siglo XVI, culminó en 1847 con su reconocimiento como municipio del Estado Libre y Soberano de México.</w:t>
      </w:r>
    </w:p>
    <w:p w14:paraId="2E6695B0" w14:textId="5A5C284F" w:rsidR="00B011C3" w:rsidRPr="00B011C3" w:rsidRDefault="00446C98" w:rsidP="00B011C3">
      <w:pPr>
        <w:spacing w:line="360" w:lineRule="auto"/>
        <w:jc w:val="both"/>
        <w:rPr>
          <w:rFonts w:ascii="Century Gothic" w:hAnsi="Century Gothic"/>
          <w:sz w:val="22"/>
          <w:szCs w:val="22"/>
        </w:rPr>
      </w:pPr>
      <w:r>
        <w:rPr>
          <w:rFonts w:ascii="Century Gothic" w:hAnsi="Century Gothic"/>
          <w:sz w:val="22"/>
          <w:szCs w:val="22"/>
        </w:rPr>
        <w:t xml:space="preserve">           </w:t>
      </w:r>
      <w:r w:rsidR="00B011C3" w:rsidRPr="00B011C3">
        <w:rPr>
          <w:rFonts w:ascii="Century Gothic" w:hAnsi="Century Gothic"/>
          <w:sz w:val="22"/>
          <w:szCs w:val="22"/>
        </w:rPr>
        <w:t>Desde sus orígenes, los habitantes de este municipio mexiquense han estado inmersos en controversias políticas y sociales. Su participación ha sido clave en eventos históricos como el movimiento de Independencia y la Revolución Mexicana. Además, fueron actores principales en las congregaciones de pueblos de indios en 1560 y desempeñaron un papel político relevante en la Segunda República Federal (1846-1853).</w:t>
      </w:r>
    </w:p>
    <w:p w14:paraId="1D9DB64C" w14:textId="017E2B05"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 xml:space="preserve">Actualmente, San Antonio la Isla está conformado por dos pueblos originarios: San Antonio la Isla, de raíces otomíes, y San Lucas Tepemajalco, de origen matlatzinca. A lo largo de su historia, ambas comunidades han luchado por mantener su autonomía e identidad cultural, destacándose por su esfuerzo en conservar sus usos y </w:t>
      </w:r>
      <w:r w:rsidRPr="00B011C3">
        <w:rPr>
          <w:rFonts w:ascii="Century Gothic" w:hAnsi="Century Gothic"/>
          <w:sz w:val="22"/>
          <w:szCs w:val="22"/>
        </w:rPr>
        <w:t>costumbres a pesar de las adversidades políticas y sociales del siglo XIX. En este contexto, los isleños consolidaron su soberanía en medio de un proceso histórico complejo y desafiante.</w:t>
      </w:r>
    </w:p>
    <w:p w14:paraId="054626CD" w14:textId="604512BD" w:rsidR="00B011C3" w:rsidRPr="00B011C3" w:rsidRDefault="00B011C3" w:rsidP="00B011C3">
      <w:pPr>
        <w:spacing w:line="360" w:lineRule="auto"/>
        <w:jc w:val="both"/>
        <w:rPr>
          <w:rFonts w:ascii="Century Gothic" w:hAnsi="Century Gothic"/>
          <w:color w:val="025850"/>
          <w:sz w:val="22"/>
          <w:szCs w:val="22"/>
        </w:rPr>
      </w:pPr>
      <w:r w:rsidRPr="00B011C3">
        <w:rPr>
          <w:rFonts w:ascii="Century Gothic" w:hAnsi="Century Gothic"/>
          <w:b/>
          <w:bCs/>
          <w:color w:val="025850"/>
          <w:sz w:val="22"/>
          <w:szCs w:val="22"/>
        </w:rPr>
        <w:t>Compromiso Político</w:t>
      </w:r>
    </w:p>
    <w:p w14:paraId="6F4B29E9"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El Plan de Desarrollo Municipal 2025-2027 de San Antonio la Isla refleja los anhelos de la población y los compromisos de nuestro gobierno. Fue elaborado en conjunto con la comunidad y, de la misma manera, lo implementaremos.</w:t>
      </w:r>
    </w:p>
    <w:p w14:paraId="3193CCA0" w14:textId="1F0B5A4B" w:rsidR="00B011C3" w:rsidRPr="00B011C3" w:rsidRDefault="00446C98" w:rsidP="00B011C3">
      <w:pPr>
        <w:spacing w:line="360" w:lineRule="auto"/>
        <w:jc w:val="both"/>
        <w:rPr>
          <w:rFonts w:ascii="Century Gothic" w:hAnsi="Century Gothic"/>
          <w:sz w:val="22"/>
          <w:szCs w:val="22"/>
        </w:rPr>
      </w:pPr>
      <w:r>
        <w:rPr>
          <w:rFonts w:ascii="Century Gothic" w:hAnsi="Century Gothic"/>
          <w:sz w:val="22"/>
          <w:szCs w:val="22"/>
        </w:rPr>
        <w:t xml:space="preserve">            </w:t>
      </w:r>
      <w:r w:rsidR="00B011C3" w:rsidRPr="00B011C3">
        <w:rPr>
          <w:rFonts w:ascii="Century Gothic" w:hAnsi="Century Gothic"/>
          <w:sz w:val="22"/>
          <w:szCs w:val="22"/>
        </w:rPr>
        <w:t>Este plan identifica las principales necesidades de la sociedad y define con realismo y sentido social las políticas y objetivos de un gobierno emanado del pueblo por convicción popular. Más allá de diagnosticar problemas, nuestra tarea política consiste en conciliar intereses legítimos para mejorar el servicio a la sociedad. La planeación nos permite armonizar recursos y demandas, siempre impulsando el progreso de la colectividad.</w:t>
      </w:r>
    </w:p>
    <w:p w14:paraId="5073625E" w14:textId="77777777" w:rsidR="00446C98" w:rsidRDefault="00446C98" w:rsidP="00B011C3">
      <w:pPr>
        <w:spacing w:line="360" w:lineRule="auto"/>
        <w:ind w:firstLine="708"/>
        <w:jc w:val="both"/>
        <w:rPr>
          <w:rFonts w:ascii="Century Gothic" w:hAnsi="Century Gothic"/>
          <w:sz w:val="22"/>
          <w:szCs w:val="22"/>
        </w:rPr>
      </w:pPr>
    </w:p>
    <w:p w14:paraId="0E1DEF11" w14:textId="05CE2523"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lastRenderedPageBreak/>
        <w:t>Reconocemos el esfuerzo de quienes han guiado el rumbo de San Antonio la Isla en el pasado, cumpliendo cabalmente con su responsabilidad y contribuyendo al desarrollo del municipio. Hoy, los islenses son más propositivos, críticos, audaces y comprometidos. Exigen que el desarrollo sea armónico, que el gobierno acorte las brechas entre sectores y resuelva los problemas históricos que limitan el progreso.</w:t>
      </w:r>
    </w:p>
    <w:p w14:paraId="2D6929F5"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Sabemos que la sociedad espera que, sobre lo ya logrado, se haga más y mejor. Es necesario un gobierno a la altura de sus aspiraciones, con una política incluyente, participativa y plural. En San Antonio la Isla, estamos construyendo un Ayuntamiento que se adapta a los tiempos de cambio en México.</w:t>
      </w:r>
    </w:p>
    <w:p w14:paraId="367B5A1F"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Hoy, el gobierno municipal no lo ejerce una sola persona. El Ayuntamiento planifica, coordina, sugiere y actúa. Son tiempos de unidad, de sumar esfuerzos, encontrar coincidencias, superar diferencias, crear y conciliar. Debemos tener claridad sobre hacia dónde queremos llegar.</w:t>
      </w:r>
    </w:p>
    <w:p w14:paraId="05277FED" w14:textId="54ECD824"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Estoy segura de que esta etapa se caracterizará por una mayor identificación entre los sectores público, social y privado, reflejándose en logros concretos y relaciones respetuosas que fortalezcan el quehacer gubernamental y promuevan los programas de gobierno.</w:t>
      </w:r>
    </w:p>
    <w:p w14:paraId="1A122584" w14:textId="759181E4"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En el corazón de los islenses late un anhelo profundo por un futuro más brillante:</w:t>
      </w:r>
    </w:p>
    <w:p w14:paraId="4535FA97" w14:textId="77777777" w:rsidR="00B011C3" w:rsidRPr="00B011C3" w:rsidRDefault="00B011C3" w:rsidP="005A1ADF">
      <w:pPr>
        <w:widowControl w:val="0"/>
        <w:numPr>
          <w:ilvl w:val="0"/>
          <w:numId w:val="1"/>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Anhelamos una comunidad con acceso a oportunidades, justicia e igualdad, donde la prosperidad sea compartida por todos.</w:t>
      </w:r>
    </w:p>
    <w:p w14:paraId="42DB5131" w14:textId="77777777" w:rsidR="00B011C3" w:rsidRPr="00B011C3" w:rsidRDefault="00B011C3" w:rsidP="005A1ADF">
      <w:pPr>
        <w:widowControl w:val="0"/>
        <w:numPr>
          <w:ilvl w:val="0"/>
          <w:numId w:val="1"/>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Anhelamos una sociedad donde la educación sea prioridad, la salud un derecho y la seguridad una garantía para todos.</w:t>
      </w:r>
    </w:p>
    <w:p w14:paraId="72C69293" w14:textId="77777777" w:rsidR="00B011C3" w:rsidRPr="00B011C3" w:rsidRDefault="00B011C3" w:rsidP="005A1ADF">
      <w:pPr>
        <w:widowControl w:val="0"/>
        <w:numPr>
          <w:ilvl w:val="0"/>
          <w:numId w:val="1"/>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Anhelamos un gobierno transparente, responsable y comprometido con el bienestar de la comunidad, no de unos cuantos.</w:t>
      </w:r>
    </w:p>
    <w:p w14:paraId="46F20012" w14:textId="77777777" w:rsidR="00B011C3" w:rsidRPr="00B011C3" w:rsidRDefault="00B011C3" w:rsidP="005A1ADF">
      <w:pPr>
        <w:widowControl w:val="0"/>
        <w:numPr>
          <w:ilvl w:val="0"/>
          <w:numId w:val="1"/>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Anhelamos un futuro donde la diversidad sea celebrada, la inclusión una realidad y la discriminación un recuerdo del pasado.</w:t>
      </w:r>
    </w:p>
    <w:p w14:paraId="5B23DC7E" w14:textId="77777777" w:rsidR="00B011C3" w:rsidRDefault="00B011C3" w:rsidP="00B011C3">
      <w:pPr>
        <w:spacing w:line="360" w:lineRule="auto"/>
        <w:jc w:val="both"/>
        <w:rPr>
          <w:rFonts w:ascii="Century Gothic" w:hAnsi="Century Gothic"/>
          <w:sz w:val="22"/>
          <w:szCs w:val="22"/>
        </w:rPr>
      </w:pPr>
    </w:p>
    <w:p w14:paraId="5BB878E6" w14:textId="77777777" w:rsidR="00B011C3" w:rsidRDefault="00B011C3" w:rsidP="00B011C3">
      <w:pPr>
        <w:spacing w:line="360" w:lineRule="auto"/>
        <w:jc w:val="both"/>
        <w:rPr>
          <w:rFonts w:ascii="Century Gothic" w:hAnsi="Century Gothic"/>
          <w:sz w:val="22"/>
          <w:szCs w:val="22"/>
        </w:rPr>
      </w:pPr>
    </w:p>
    <w:p w14:paraId="403BDCC8" w14:textId="77777777" w:rsidR="00B011C3" w:rsidRDefault="00B011C3" w:rsidP="00B011C3">
      <w:pPr>
        <w:spacing w:line="360" w:lineRule="auto"/>
        <w:jc w:val="both"/>
        <w:rPr>
          <w:rFonts w:ascii="Century Gothic" w:hAnsi="Century Gothic"/>
          <w:sz w:val="22"/>
          <w:szCs w:val="22"/>
        </w:rPr>
      </w:pPr>
    </w:p>
    <w:p w14:paraId="4CF99751" w14:textId="4F02F9F4"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¡Únete a nosotros en este esfuerzo por un futuro más justo y próspero para todos!</w:t>
      </w:r>
    </w:p>
    <w:p w14:paraId="1E2EE408" w14:textId="77777777" w:rsidR="00B011C3" w:rsidRPr="00B011C3" w:rsidRDefault="00B011C3" w:rsidP="00B011C3">
      <w:pPr>
        <w:spacing w:line="360" w:lineRule="auto"/>
        <w:jc w:val="both"/>
        <w:rPr>
          <w:rFonts w:ascii="Century Gothic" w:hAnsi="Century Gothic"/>
          <w:sz w:val="22"/>
          <w:szCs w:val="22"/>
        </w:rPr>
      </w:pPr>
      <w:r w:rsidRPr="00BB1EBC">
        <w:rPr>
          <w:rFonts w:ascii="Century Gothic" w:hAnsi="Century Gothic"/>
          <w:b/>
          <w:bCs/>
          <w:sz w:val="22"/>
          <w:szCs w:val="22"/>
        </w:rPr>
        <w:t>“Unidos es posible”</w:t>
      </w:r>
      <w:r w:rsidRPr="00BB1EBC">
        <w:rPr>
          <w:rFonts w:ascii="Century Gothic" w:hAnsi="Century Gothic"/>
          <w:sz w:val="22"/>
          <w:szCs w:val="22"/>
        </w:rPr>
        <w:t xml:space="preserve"> hacer realidad estos anhelos. Construyamos juntos un mejor futuro para nuestra comunidad.</w:t>
      </w:r>
    </w:p>
    <w:p w14:paraId="75F167CA" w14:textId="225B7ED2" w:rsidR="00B011C3" w:rsidRDefault="00B011C3">
      <w:r>
        <w:br w:type="page"/>
      </w:r>
    </w:p>
    <w:p w14:paraId="1C241204" w14:textId="0776E7AB" w:rsidR="00B011C3" w:rsidRPr="00B011C3" w:rsidRDefault="00B011C3" w:rsidP="00B011C3">
      <w:pPr>
        <w:spacing w:line="360" w:lineRule="auto"/>
        <w:jc w:val="both"/>
        <w:rPr>
          <w:rFonts w:ascii="Corbel" w:hAnsi="Corbel"/>
          <w:b/>
          <w:bCs/>
          <w:color w:val="025850"/>
          <w:sz w:val="28"/>
          <w:szCs w:val="28"/>
        </w:rPr>
      </w:pPr>
      <w:r w:rsidRPr="00B011C3">
        <w:rPr>
          <w:rFonts w:ascii="Corbel" w:hAnsi="Corbel"/>
          <w:b/>
          <w:bCs/>
          <w:color w:val="025850"/>
          <w:sz w:val="28"/>
          <w:szCs w:val="28"/>
        </w:rPr>
        <w:lastRenderedPageBreak/>
        <w:t>Marco Normativo</w:t>
      </w:r>
    </w:p>
    <w:p w14:paraId="2ED3E970"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El Plan de Desarrollo Municipal tiene como base la planeación democrática, integrado por planes y programas formulados por la autoridad local y de la participación invaluable de la sociedad. Estos planes y programas se basan, principalmente, en la realidad objetiva, los indicadores de desarrollo social y humano, la proyección genérica de los objetivos que regirán el ejercicio de las funciones públicas, así como en su control y evaluación, de ahí la importancia de observar la normatividad aplicable en la materia.</w:t>
      </w:r>
    </w:p>
    <w:p w14:paraId="3D05C055" w14:textId="4E4A7ECE" w:rsidR="00B011C3" w:rsidRPr="00B011C3" w:rsidRDefault="00B011C3" w:rsidP="00B011C3">
      <w:pPr>
        <w:spacing w:line="360" w:lineRule="auto"/>
        <w:jc w:val="both"/>
        <w:rPr>
          <w:rFonts w:ascii="Century Gothic" w:hAnsi="Century Gothic"/>
          <w:b/>
          <w:bCs/>
          <w:color w:val="025850"/>
          <w:sz w:val="22"/>
          <w:szCs w:val="22"/>
        </w:rPr>
      </w:pPr>
      <w:r w:rsidRPr="00B011C3">
        <w:rPr>
          <w:rFonts w:ascii="Century Gothic" w:hAnsi="Century Gothic"/>
          <w:b/>
          <w:bCs/>
          <w:color w:val="025850"/>
          <w:sz w:val="22"/>
          <w:szCs w:val="22"/>
        </w:rPr>
        <w:t xml:space="preserve">Constitución Política </w:t>
      </w:r>
      <w:r>
        <w:rPr>
          <w:rFonts w:ascii="Century Gothic" w:hAnsi="Century Gothic"/>
          <w:b/>
          <w:bCs/>
          <w:color w:val="025850"/>
          <w:sz w:val="22"/>
          <w:szCs w:val="22"/>
        </w:rPr>
        <w:t>d</w:t>
      </w:r>
      <w:r w:rsidRPr="00B011C3">
        <w:rPr>
          <w:rFonts w:ascii="Century Gothic" w:hAnsi="Century Gothic"/>
          <w:b/>
          <w:bCs/>
          <w:color w:val="025850"/>
          <w:sz w:val="22"/>
          <w:szCs w:val="22"/>
        </w:rPr>
        <w:t xml:space="preserve">e </w:t>
      </w:r>
      <w:r>
        <w:rPr>
          <w:rFonts w:ascii="Century Gothic" w:hAnsi="Century Gothic"/>
          <w:b/>
          <w:bCs/>
          <w:color w:val="025850"/>
          <w:sz w:val="22"/>
          <w:szCs w:val="22"/>
        </w:rPr>
        <w:t>l</w:t>
      </w:r>
      <w:r w:rsidRPr="00B011C3">
        <w:rPr>
          <w:rFonts w:ascii="Century Gothic" w:hAnsi="Century Gothic"/>
          <w:b/>
          <w:bCs/>
          <w:color w:val="025850"/>
          <w:sz w:val="22"/>
          <w:szCs w:val="22"/>
        </w:rPr>
        <w:t>os Estados Unidos Mexicanos</w:t>
      </w:r>
    </w:p>
    <w:p w14:paraId="20B05526"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color w:val="025850"/>
          <w:sz w:val="22"/>
          <w:szCs w:val="22"/>
        </w:rPr>
        <w:t xml:space="preserve">Artículo 26.- </w:t>
      </w:r>
      <w:r w:rsidRPr="00B011C3">
        <w:rPr>
          <w:rFonts w:ascii="Century Gothic" w:hAnsi="Century Gothic"/>
          <w:sz w:val="22"/>
          <w:szCs w:val="22"/>
        </w:rPr>
        <w:t>El estado organizará un sistema de planeación democrática del desarrollo nacional que imprima solidez, dinamismo, competitividad, permanencia y equidad al crecimiento de la economía para la independencia y la democratización política, social y cultural de la nación.</w:t>
      </w:r>
    </w:p>
    <w:p w14:paraId="27BF453C"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color w:val="025850"/>
          <w:sz w:val="22"/>
          <w:szCs w:val="22"/>
        </w:rPr>
        <w:t>Artículo 115</w:t>
      </w:r>
      <w:r w:rsidRPr="00B011C3">
        <w:rPr>
          <w:rFonts w:ascii="Century Gothic" w:hAnsi="Century Gothic"/>
          <w:sz w:val="22"/>
          <w:szCs w:val="22"/>
        </w:rPr>
        <w:t>, fracción II. Los municipios estarán investidos de personalidad jurídica y manejarán su patrimonio conforme a la ley.</w:t>
      </w:r>
    </w:p>
    <w:p w14:paraId="6FCFCBA3"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sz w:val="22"/>
          <w:szCs w:val="22"/>
        </w:rPr>
        <w:t>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58FAC02F" w14:textId="34ADE0CC" w:rsidR="00B011C3" w:rsidRPr="00B011C3" w:rsidRDefault="00B011C3" w:rsidP="00B011C3">
      <w:pPr>
        <w:spacing w:line="360" w:lineRule="auto"/>
        <w:jc w:val="both"/>
        <w:rPr>
          <w:rFonts w:ascii="Century Gothic" w:hAnsi="Century Gothic"/>
          <w:b/>
          <w:bCs/>
          <w:color w:val="025850"/>
          <w:sz w:val="22"/>
          <w:szCs w:val="22"/>
        </w:rPr>
      </w:pPr>
      <w:r w:rsidRPr="00B011C3">
        <w:rPr>
          <w:rFonts w:ascii="Century Gothic" w:hAnsi="Century Gothic"/>
          <w:b/>
          <w:bCs/>
          <w:color w:val="025850"/>
          <w:sz w:val="22"/>
          <w:szCs w:val="22"/>
        </w:rPr>
        <w:t xml:space="preserve">Constitución Política </w:t>
      </w:r>
      <w:r>
        <w:rPr>
          <w:rFonts w:ascii="Century Gothic" w:hAnsi="Century Gothic"/>
          <w:b/>
          <w:bCs/>
          <w:color w:val="025850"/>
          <w:sz w:val="22"/>
          <w:szCs w:val="22"/>
        </w:rPr>
        <w:t>d</w:t>
      </w:r>
      <w:r w:rsidRPr="00B011C3">
        <w:rPr>
          <w:rFonts w:ascii="Century Gothic" w:hAnsi="Century Gothic"/>
          <w:b/>
          <w:bCs/>
          <w:color w:val="025850"/>
          <w:sz w:val="22"/>
          <w:szCs w:val="22"/>
        </w:rPr>
        <w:t xml:space="preserve">el Estado Libre </w:t>
      </w:r>
      <w:r>
        <w:rPr>
          <w:rFonts w:ascii="Century Gothic" w:hAnsi="Century Gothic"/>
          <w:b/>
          <w:bCs/>
          <w:color w:val="025850"/>
          <w:sz w:val="22"/>
          <w:szCs w:val="22"/>
        </w:rPr>
        <w:t>y</w:t>
      </w:r>
      <w:r w:rsidRPr="00B011C3">
        <w:rPr>
          <w:rFonts w:ascii="Century Gothic" w:hAnsi="Century Gothic"/>
          <w:b/>
          <w:bCs/>
          <w:color w:val="025850"/>
          <w:sz w:val="22"/>
          <w:szCs w:val="22"/>
        </w:rPr>
        <w:t xml:space="preserve"> Soberano </w:t>
      </w:r>
      <w:r>
        <w:rPr>
          <w:rFonts w:ascii="Century Gothic" w:hAnsi="Century Gothic"/>
          <w:b/>
          <w:bCs/>
          <w:color w:val="025850"/>
          <w:sz w:val="22"/>
          <w:szCs w:val="22"/>
        </w:rPr>
        <w:t>d</w:t>
      </w:r>
      <w:r w:rsidRPr="00B011C3">
        <w:rPr>
          <w:rFonts w:ascii="Century Gothic" w:hAnsi="Century Gothic"/>
          <w:b/>
          <w:bCs/>
          <w:color w:val="025850"/>
          <w:sz w:val="22"/>
          <w:szCs w:val="22"/>
        </w:rPr>
        <w:t>e México</w:t>
      </w:r>
    </w:p>
    <w:p w14:paraId="26ABA6DD"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color w:val="025850"/>
          <w:sz w:val="22"/>
          <w:szCs w:val="22"/>
        </w:rPr>
        <w:t xml:space="preserve">Artículo 123.- </w:t>
      </w:r>
      <w:r w:rsidRPr="00B011C3">
        <w:rPr>
          <w:rFonts w:ascii="Century Gothic" w:hAnsi="Century Gothic"/>
          <w:sz w:val="22"/>
          <w:szCs w:val="22"/>
        </w:rPr>
        <w:t>Los ayuntamientos, en el ámbito de su competencia, desempeñarán facultades normativas, para el régimen de gobierno y administración del Municipio, así como funciones de inspección, concernientes al cumplimiento de las disposiciones de observancia general aplicables.</w:t>
      </w:r>
    </w:p>
    <w:p w14:paraId="222D3352" w14:textId="77777777" w:rsidR="00B011C3" w:rsidRPr="00B011C3" w:rsidRDefault="00B011C3" w:rsidP="00B011C3">
      <w:pPr>
        <w:spacing w:line="360" w:lineRule="auto"/>
        <w:ind w:firstLine="708"/>
        <w:jc w:val="both"/>
        <w:rPr>
          <w:rFonts w:ascii="Century Gothic" w:hAnsi="Century Gothic"/>
          <w:sz w:val="22"/>
          <w:szCs w:val="22"/>
        </w:rPr>
      </w:pPr>
      <w:r w:rsidRPr="00B011C3">
        <w:rPr>
          <w:rFonts w:ascii="Century Gothic" w:hAnsi="Century Gothic"/>
          <w:color w:val="025850"/>
          <w:sz w:val="22"/>
          <w:szCs w:val="22"/>
        </w:rPr>
        <w:t xml:space="preserve">Artículo 77, </w:t>
      </w:r>
      <w:r w:rsidRPr="00B011C3">
        <w:rPr>
          <w:rFonts w:ascii="Century Gothic" w:hAnsi="Century Gothic"/>
          <w:sz w:val="22"/>
          <w:szCs w:val="22"/>
        </w:rPr>
        <w:t xml:space="preserve">fracción VI. - Planear y conducir el desarrollo integral del Estado; formular, aprobar, desarrollar, ejecutar, controlar y evaluar el Plan Estatal de </w:t>
      </w:r>
      <w:r w:rsidRPr="00B011C3">
        <w:rPr>
          <w:rFonts w:ascii="Century Gothic" w:hAnsi="Century Gothic"/>
          <w:sz w:val="22"/>
          <w:szCs w:val="22"/>
        </w:rPr>
        <w:lastRenderedPageBreak/>
        <w:t>Desarrollo, planes sectoriales, metropolitanos y regionales, y los programas que de éstos se deriven. En los procesos de planeación metropolitana y regional deberá consultarse a los ayuntamientos.</w:t>
      </w:r>
    </w:p>
    <w:p w14:paraId="3B168BC2"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139.- </w:t>
      </w:r>
      <w:r w:rsidRPr="00B011C3">
        <w:rPr>
          <w:rFonts w:ascii="Century Gothic" w:hAnsi="Century Gothic"/>
          <w:sz w:val="22"/>
          <w:szCs w:val="22"/>
        </w:rPr>
        <w:t>El desarrollo de la entidad se sustenta en el Sistema Estatal de Planeación Democrática, que imprima solidez, dinamismo, competitividad, permanencia y equidad al crecimiento de la economía para la libertad y la democratización política, social y cultural del Estado y que tiene como base el Plan de Desarrollo del Estado de México.</w:t>
      </w:r>
    </w:p>
    <w:p w14:paraId="6AFC6971"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 xml:space="preserve">I. El Sistema Estatal de Planeación Democrática se integra por los planes y programas que formulen las autoridades estatales y municipales y considerará en su proceso: El planteamiento de la problemática con base en la realidad objetiva, los indicadores de desarrollo social y humano, la proyección genérica de los objetivos para la estructuración de planes, programas y acciones que regirán el ejercicio de sus funciones públicas, su control y evaluación. Las Leyes de la materia proveerán la participación de los sectores público, privado y social en </w:t>
      </w:r>
      <w:r w:rsidRPr="00B011C3">
        <w:rPr>
          <w:rFonts w:ascii="Century Gothic" w:hAnsi="Century Gothic"/>
          <w:sz w:val="22"/>
          <w:szCs w:val="22"/>
        </w:rPr>
        <w:t>el proceso y el mecanismo de retroalimentación permanente en el sistema.</w:t>
      </w:r>
    </w:p>
    <w:p w14:paraId="7065F754"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Los planes, programas y acciones que formulen y ejecuten los ayuntamientos en las materias de su competencia, se sujetarán a las disposiciones legales aplicables y serán congruentes con los planes y programas federales, estatales, regionales y metropolitanos, para la integración social de sus habitantes y el desarrollo de las comunidades en su caso.</w:t>
      </w:r>
    </w:p>
    <w:p w14:paraId="12CE4548"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Los    ciudadanos    del    Estado, individualmente o a través de agrupaciones legalmente constituidas podrán participar en el proceso de planeación democrática en los términos establecidos por las leyes para la formulación de planes y programas estatales, municipales, regionales y metropolitanos para la integración social de sus habitantes y el desarrollo de las comunidades.</w:t>
      </w:r>
    </w:p>
    <w:p w14:paraId="297EFC6D" w14:textId="2C54E672" w:rsidR="00B011C3" w:rsidRPr="008E7568" w:rsidRDefault="008E7568" w:rsidP="00B011C3">
      <w:pPr>
        <w:spacing w:line="360" w:lineRule="auto"/>
        <w:jc w:val="both"/>
        <w:rPr>
          <w:rFonts w:ascii="Century Gothic" w:hAnsi="Century Gothic"/>
          <w:b/>
          <w:bCs/>
          <w:color w:val="025850"/>
          <w:sz w:val="22"/>
          <w:szCs w:val="22"/>
        </w:rPr>
      </w:pPr>
      <w:r w:rsidRPr="008E7568">
        <w:rPr>
          <w:rFonts w:ascii="Century Gothic" w:hAnsi="Century Gothic"/>
          <w:b/>
          <w:bCs/>
          <w:color w:val="025850"/>
          <w:sz w:val="22"/>
          <w:szCs w:val="22"/>
        </w:rPr>
        <w:t xml:space="preserve">Ley </w:t>
      </w:r>
      <w:r>
        <w:rPr>
          <w:rFonts w:ascii="Century Gothic" w:hAnsi="Century Gothic"/>
          <w:b/>
          <w:bCs/>
          <w:color w:val="025850"/>
          <w:sz w:val="22"/>
          <w:szCs w:val="22"/>
        </w:rPr>
        <w:t>d</w:t>
      </w:r>
      <w:r w:rsidRPr="008E7568">
        <w:rPr>
          <w:rFonts w:ascii="Century Gothic" w:hAnsi="Century Gothic"/>
          <w:b/>
          <w:bCs/>
          <w:color w:val="025850"/>
          <w:sz w:val="22"/>
          <w:szCs w:val="22"/>
        </w:rPr>
        <w:t xml:space="preserve">e Planeación </w:t>
      </w:r>
      <w:r>
        <w:rPr>
          <w:rFonts w:ascii="Century Gothic" w:hAnsi="Century Gothic"/>
          <w:b/>
          <w:bCs/>
          <w:color w:val="025850"/>
          <w:sz w:val="22"/>
          <w:szCs w:val="22"/>
        </w:rPr>
        <w:t>d</w:t>
      </w:r>
      <w:r w:rsidRPr="008E7568">
        <w:rPr>
          <w:rFonts w:ascii="Century Gothic" w:hAnsi="Century Gothic"/>
          <w:b/>
          <w:bCs/>
          <w:color w:val="025850"/>
          <w:sz w:val="22"/>
          <w:szCs w:val="22"/>
        </w:rPr>
        <w:t xml:space="preserve">el Estado </w:t>
      </w:r>
      <w:r>
        <w:rPr>
          <w:rFonts w:ascii="Century Gothic" w:hAnsi="Century Gothic"/>
          <w:b/>
          <w:bCs/>
          <w:color w:val="025850"/>
          <w:sz w:val="22"/>
          <w:szCs w:val="22"/>
        </w:rPr>
        <w:t>d</w:t>
      </w:r>
      <w:r w:rsidRPr="008E7568">
        <w:rPr>
          <w:rFonts w:ascii="Century Gothic" w:hAnsi="Century Gothic"/>
          <w:b/>
          <w:bCs/>
          <w:color w:val="025850"/>
          <w:sz w:val="22"/>
          <w:szCs w:val="22"/>
        </w:rPr>
        <w:t xml:space="preserve">e México </w:t>
      </w:r>
      <w:r>
        <w:rPr>
          <w:rFonts w:ascii="Century Gothic" w:hAnsi="Century Gothic"/>
          <w:b/>
          <w:bCs/>
          <w:color w:val="025850"/>
          <w:sz w:val="22"/>
          <w:szCs w:val="22"/>
        </w:rPr>
        <w:t>y</w:t>
      </w:r>
      <w:r w:rsidRPr="008E7568">
        <w:rPr>
          <w:rFonts w:ascii="Century Gothic" w:hAnsi="Century Gothic"/>
          <w:b/>
          <w:bCs/>
          <w:color w:val="025850"/>
          <w:sz w:val="22"/>
          <w:szCs w:val="22"/>
        </w:rPr>
        <w:t xml:space="preserve"> Municipios</w:t>
      </w:r>
    </w:p>
    <w:p w14:paraId="07A6B6F2"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9.- </w:t>
      </w:r>
      <w:r w:rsidRPr="00B011C3">
        <w:rPr>
          <w:rFonts w:ascii="Century Gothic" w:hAnsi="Century Gothic"/>
          <w:sz w:val="22"/>
          <w:szCs w:val="22"/>
        </w:rPr>
        <w:t xml:space="preserve">En la planeación democrática para el desarrollo del Estado de México y municipios, se deberán consolidar los métodos para la generación, tratamiento, uso y divulgación de la información geográfica y </w:t>
      </w:r>
      <w:r w:rsidRPr="00B011C3">
        <w:rPr>
          <w:rFonts w:ascii="Century Gothic" w:hAnsi="Century Gothic"/>
          <w:sz w:val="22"/>
          <w:szCs w:val="22"/>
        </w:rPr>
        <w:lastRenderedPageBreak/>
        <w:t>estadística como sustento del proceso de planeación establecido en la presente Ley, a fin de disponer de información veraz, oportuna y suficiente, con el propósito de garantizar la permanencia y fortalecimiento del desarrollo del Estado de México y municipios.</w:t>
      </w:r>
    </w:p>
    <w:p w14:paraId="21C5111F" w14:textId="77777777" w:rsidR="00B011C3" w:rsidRPr="00B011C3" w:rsidRDefault="00B011C3" w:rsidP="00B011C3">
      <w:pPr>
        <w:spacing w:line="360" w:lineRule="auto"/>
        <w:jc w:val="both"/>
        <w:rPr>
          <w:rFonts w:ascii="Century Gothic" w:hAnsi="Century Gothic"/>
          <w:sz w:val="22"/>
          <w:szCs w:val="22"/>
        </w:rPr>
      </w:pPr>
      <w:r w:rsidRPr="008E7568">
        <w:rPr>
          <w:rFonts w:ascii="Century Gothic" w:hAnsi="Century Gothic"/>
          <w:color w:val="025850"/>
          <w:sz w:val="22"/>
          <w:szCs w:val="22"/>
        </w:rPr>
        <w:t xml:space="preserve">Artículo 14.- </w:t>
      </w:r>
      <w:r w:rsidRPr="00B011C3">
        <w:rPr>
          <w:rFonts w:ascii="Century Gothic" w:hAnsi="Century Gothic"/>
          <w:sz w:val="22"/>
          <w:szCs w:val="22"/>
        </w:rPr>
        <w:t>El Sistema de Planeación Democrática para el Desarrollo del Estado de México y Municipios se conforma por:</w:t>
      </w:r>
    </w:p>
    <w:p w14:paraId="202E9660"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El Plan de Desarrollo del Estado de México;</w:t>
      </w:r>
    </w:p>
    <w:p w14:paraId="364B989F"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planes de desarrollo municipales;</w:t>
      </w:r>
    </w:p>
    <w:p w14:paraId="0D2AEB00"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programas sectoriales de corto, mediano y largo plazo;</w:t>
      </w:r>
    </w:p>
    <w:p w14:paraId="42860D4E"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programas regionales de corto, mediano y largo plazo;</w:t>
      </w:r>
    </w:p>
    <w:p w14:paraId="2BB94CEB"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programas especiales;</w:t>
      </w:r>
    </w:p>
    <w:p w14:paraId="7EC89634"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presupuestos por programas;</w:t>
      </w:r>
    </w:p>
    <w:p w14:paraId="703749FD"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convenios de coordinación;</w:t>
      </w:r>
    </w:p>
    <w:p w14:paraId="141E6DEB"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convenios de participación;</w:t>
      </w:r>
    </w:p>
    <w:p w14:paraId="6E6B7F59"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informes de evaluación;</w:t>
      </w:r>
    </w:p>
    <w:p w14:paraId="2D017544"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dictámenes de reconducción y actualización.</w:t>
      </w:r>
    </w:p>
    <w:p w14:paraId="2BFC75F7" w14:textId="77777777" w:rsidR="00B011C3" w:rsidRPr="00B011C3" w:rsidRDefault="00B011C3" w:rsidP="005A1ADF">
      <w:pPr>
        <w:pStyle w:val="Prrafodelista"/>
        <w:widowControl w:val="0"/>
        <w:numPr>
          <w:ilvl w:val="0"/>
          <w:numId w:val="2"/>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Los planes de desarrollo a largo plazo.</w:t>
      </w:r>
    </w:p>
    <w:p w14:paraId="0F464A6B"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Inicio del período constitucional de gobierno y en su elaboración se tomarán en cuenta las opiniones y aportaciones de los diversos grupos de la sociedad.</w:t>
      </w:r>
    </w:p>
    <w:p w14:paraId="16A19B81" w14:textId="77777777" w:rsidR="00B011C3" w:rsidRPr="00B011C3" w:rsidRDefault="00B011C3" w:rsidP="00B011C3">
      <w:pPr>
        <w:spacing w:line="360" w:lineRule="auto"/>
        <w:ind w:firstLine="360"/>
        <w:jc w:val="both"/>
        <w:rPr>
          <w:rFonts w:ascii="Century Gothic" w:hAnsi="Century Gothic"/>
          <w:sz w:val="22"/>
          <w:szCs w:val="22"/>
        </w:rPr>
      </w:pPr>
      <w:r w:rsidRPr="008E7568">
        <w:rPr>
          <w:rFonts w:ascii="Century Gothic" w:hAnsi="Century Gothic"/>
          <w:color w:val="025850"/>
          <w:sz w:val="22"/>
          <w:szCs w:val="22"/>
        </w:rPr>
        <w:t xml:space="preserve">Artículo 18.- </w:t>
      </w:r>
      <w:r w:rsidRPr="00B011C3">
        <w:rPr>
          <w:rFonts w:ascii="Century Gothic" w:hAnsi="Century Gothic"/>
          <w:sz w:val="22"/>
          <w:szCs w:val="22"/>
        </w:rPr>
        <w:t xml:space="preserve">Compete a las dependencias, organismos, entidades públicas y unidades administrativas del Poder Ejecutivo, en materia de planeación democrática para el desarrollo: </w:t>
      </w:r>
    </w:p>
    <w:p w14:paraId="50D752EB" w14:textId="77777777" w:rsidR="00B011C3" w:rsidRPr="00B011C3" w:rsidRDefault="00B011C3" w:rsidP="005A1ADF">
      <w:pPr>
        <w:pStyle w:val="Prrafodelista"/>
        <w:widowControl w:val="0"/>
        <w:numPr>
          <w:ilvl w:val="0"/>
          <w:numId w:val="3"/>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Participar en la elaboración del Plan de Desarrollo del Estado de México, respecto de las materias que les correspondan.</w:t>
      </w:r>
    </w:p>
    <w:p w14:paraId="6F94DDE8" w14:textId="77777777" w:rsidR="00B011C3" w:rsidRPr="00B011C3" w:rsidRDefault="00B011C3" w:rsidP="005A1ADF">
      <w:pPr>
        <w:pStyle w:val="Prrafodelista"/>
        <w:widowControl w:val="0"/>
        <w:numPr>
          <w:ilvl w:val="0"/>
          <w:numId w:val="3"/>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Establecer unidades administrativas de información, planeación, programación y evaluación, las cuales estarán vinculadas con la Secretaría.</w:t>
      </w:r>
    </w:p>
    <w:p w14:paraId="3D11F3A2"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19.- </w:t>
      </w:r>
      <w:r w:rsidRPr="00B011C3">
        <w:rPr>
          <w:rFonts w:ascii="Century Gothic" w:hAnsi="Century Gothic"/>
          <w:sz w:val="22"/>
          <w:szCs w:val="22"/>
        </w:rPr>
        <w:t xml:space="preserve">Compete a los ayuntamientos, en materia de planeación democrática para el desarrollo: </w:t>
      </w:r>
    </w:p>
    <w:p w14:paraId="74BC6C7C" w14:textId="77777777" w:rsidR="00B011C3" w:rsidRPr="00B011C3" w:rsidRDefault="00B011C3" w:rsidP="005A1ADF">
      <w:pPr>
        <w:pStyle w:val="Prrafodelista"/>
        <w:widowControl w:val="0"/>
        <w:numPr>
          <w:ilvl w:val="0"/>
          <w:numId w:val="4"/>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Elaborar, aprobar, ejecutar, dar seguimiento, evaluar y el control del Plan de Desarrollo Municipal y sus programas.</w:t>
      </w:r>
    </w:p>
    <w:p w14:paraId="7B9ABAB1" w14:textId="77777777" w:rsidR="00B011C3" w:rsidRPr="00B011C3" w:rsidRDefault="00B011C3" w:rsidP="005A1ADF">
      <w:pPr>
        <w:pStyle w:val="Prrafodelista"/>
        <w:widowControl w:val="0"/>
        <w:numPr>
          <w:ilvl w:val="0"/>
          <w:numId w:val="4"/>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 xml:space="preserve">Establecer los órganos, unidades administrativas o servidores públicos que lleven a cabo las labores </w:t>
      </w:r>
      <w:r w:rsidRPr="00B011C3">
        <w:rPr>
          <w:rFonts w:ascii="Century Gothic" w:hAnsi="Century Gothic"/>
          <w:sz w:val="22"/>
          <w:szCs w:val="22"/>
        </w:rPr>
        <w:lastRenderedPageBreak/>
        <w:t>de información, planeación, programación y evaluación</w:t>
      </w:r>
    </w:p>
    <w:p w14:paraId="79F91CFF"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22.- </w:t>
      </w:r>
      <w:r w:rsidRPr="00B011C3">
        <w:rPr>
          <w:rFonts w:ascii="Century Gothic" w:hAnsi="Century Gothic"/>
          <w:sz w:val="22"/>
          <w:szCs w:val="22"/>
        </w:rPr>
        <w:t>Los planes de desarrollo se formularán, aprobarán y publicarán dentro de un plazo de seis meses para el Ejecutivo del Estado y tres meses para los ayuntamientos,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w:t>
      </w:r>
    </w:p>
    <w:p w14:paraId="64DA56D9"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24.- </w:t>
      </w:r>
      <w:r w:rsidRPr="00B011C3">
        <w:rPr>
          <w:rFonts w:ascii="Century Gothic" w:hAnsi="Century Gothic"/>
          <w:sz w:val="22"/>
          <w:szCs w:val="22"/>
        </w:rPr>
        <w:t xml:space="preserve">Las estrategias contenidas en los planes de desarrollo estatal y municipales y sus programas podrán ser modificadas, entre otras causas, a </w:t>
      </w:r>
      <w:r w:rsidRPr="00B011C3">
        <w:rPr>
          <w:rFonts w:ascii="Century Gothic" w:hAnsi="Century Gothic"/>
          <w:sz w:val="22"/>
          <w:szCs w:val="22"/>
        </w:rPr>
        <w:t>consecuencia de la publicación, modificación o actualización del Plan Nacional de Desarrollo o del Plan de Desarrollo del Estado de México.</w:t>
      </w:r>
    </w:p>
    <w:p w14:paraId="2742B88C"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I.- La estrategia podrá modificarse cuando, con motivo del proceso de evaluación, el dictamen de reconducción y actualización así lo justifique.</w:t>
      </w:r>
    </w:p>
    <w:p w14:paraId="21893664" w14:textId="1051DF18" w:rsidR="00B011C3" w:rsidRPr="008E7568" w:rsidRDefault="008E7568" w:rsidP="00B011C3">
      <w:pPr>
        <w:spacing w:line="360" w:lineRule="auto"/>
        <w:jc w:val="both"/>
        <w:rPr>
          <w:rFonts w:ascii="Century Gothic" w:hAnsi="Century Gothic"/>
          <w:b/>
          <w:bCs/>
          <w:color w:val="025850"/>
          <w:sz w:val="22"/>
          <w:szCs w:val="22"/>
        </w:rPr>
      </w:pPr>
      <w:r w:rsidRPr="008E7568">
        <w:rPr>
          <w:rFonts w:ascii="Century Gothic" w:hAnsi="Century Gothic"/>
          <w:b/>
          <w:bCs/>
          <w:color w:val="025850"/>
          <w:sz w:val="22"/>
          <w:szCs w:val="22"/>
        </w:rPr>
        <w:t xml:space="preserve">Reglamento </w:t>
      </w:r>
      <w:r>
        <w:rPr>
          <w:rFonts w:ascii="Century Gothic" w:hAnsi="Century Gothic"/>
          <w:b/>
          <w:bCs/>
          <w:color w:val="025850"/>
          <w:sz w:val="22"/>
          <w:szCs w:val="22"/>
        </w:rPr>
        <w:t>d</w:t>
      </w:r>
      <w:r w:rsidRPr="008E7568">
        <w:rPr>
          <w:rFonts w:ascii="Century Gothic" w:hAnsi="Century Gothic"/>
          <w:b/>
          <w:bCs/>
          <w:color w:val="025850"/>
          <w:sz w:val="22"/>
          <w:szCs w:val="22"/>
        </w:rPr>
        <w:t xml:space="preserve">e </w:t>
      </w:r>
      <w:r>
        <w:rPr>
          <w:rFonts w:ascii="Century Gothic" w:hAnsi="Century Gothic"/>
          <w:b/>
          <w:bCs/>
          <w:color w:val="025850"/>
          <w:sz w:val="22"/>
          <w:szCs w:val="22"/>
        </w:rPr>
        <w:t>l</w:t>
      </w:r>
      <w:r w:rsidRPr="008E7568">
        <w:rPr>
          <w:rFonts w:ascii="Century Gothic" w:hAnsi="Century Gothic"/>
          <w:b/>
          <w:bCs/>
          <w:color w:val="025850"/>
          <w:sz w:val="22"/>
          <w:szCs w:val="22"/>
        </w:rPr>
        <w:t xml:space="preserve">a Ley </w:t>
      </w:r>
      <w:r>
        <w:rPr>
          <w:rFonts w:ascii="Century Gothic" w:hAnsi="Century Gothic"/>
          <w:b/>
          <w:bCs/>
          <w:color w:val="025850"/>
          <w:sz w:val="22"/>
          <w:szCs w:val="22"/>
        </w:rPr>
        <w:t>d</w:t>
      </w:r>
      <w:r w:rsidRPr="008E7568">
        <w:rPr>
          <w:rFonts w:ascii="Century Gothic" w:hAnsi="Century Gothic"/>
          <w:b/>
          <w:bCs/>
          <w:color w:val="025850"/>
          <w:sz w:val="22"/>
          <w:szCs w:val="22"/>
        </w:rPr>
        <w:t xml:space="preserve">e Planeación </w:t>
      </w:r>
      <w:r>
        <w:rPr>
          <w:rFonts w:ascii="Century Gothic" w:hAnsi="Century Gothic"/>
          <w:b/>
          <w:bCs/>
          <w:color w:val="025850"/>
          <w:sz w:val="22"/>
          <w:szCs w:val="22"/>
        </w:rPr>
        <w:t>d</w:t>
      </w:r>
      <w:r w:rsidRPr="008E7568">
        <w:rPr>
          <w:rFonts w:ascii="Century Gothic" w:hAnsi="Century Gothic"/>
          <w:b/>
          <w:bCs/>
          <w:color w:val="025850"/>
          <w:sz w:val="22"/>
          <w:szCs w:val="22"/>
        </w:rPr>
        <w:t xml:space="preserve">el Estado </w:t>
      </w:r>
      <w:r>
        <w:rPr>
          <w:rFonts w:ascii="Century Gothic" w:hAnsi="Century Gothic"/>
          <w:b/>
          <w:bCs/>
          <w:color w:val="025850"/>
          <w:sz w:val="22"/>
          <w:szCs w:val="22"/>
        </w:rPr>
        <w:t>d</w:t>
      </w:r>
      <w:r w:rsidRPr="008E7568">
        <w:rPr>
          <w:rFonts w:ascii="Century Gothic" w:hAnsi="Century Gothic"/>
          <w:b/>
          <w:bCs/>
          <w:color w:val="025850"/>
          <w:sz w:val="22"/>
          <w:szCs w:val="22"/>
        </w:rPr>
        <w:t xml:space="preserve">e México </w:t>
      </w:r>
      <w:r>
        <w:rPr>
          <w:rFonts w:ascii="Century Gothic" w:hAnsi="Century Gothic"/>
          <w:b/>
          <w:bCs/>
          <w:color w:val="025850"/>
          <w:sz w:val="22"/>
          <w:szCs w:val="22"/>
        </w:rPr>
        <w:t>y</w:t>
      </w:r>
      <w:r w:rsidRPr="008E7568">
        <w:rPr>
          <w:rFonts w:ascii="Century Gothic" w:hAnsi="Century Gothic"/>
          <w:b/>
          <w:bCs/>
          <w:color w:val="025850"/>
          <w:sz w:val="22"/>
          <w:szCs w:val="22"/>
        </w:rPr>
        <w:t xml:space="preserve"> Municipios</w:t>
      </w:r>
      <w:r>
        <w:rPr>
          <w:rFonts w:ascii="Century Gothic" w:hAnsi="Century Gothic"/>
          <w:b/>
          <w:bCs/>
          <w:color w:val="025850"/>
          <w:sz w:val="22"/>
          <w:szCs w:val="22"/>
        </w:rPr>
        <w:t>.</w:t>
      </w:r>
    </w:p>
    <w:p w14:paraId="27F86063"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18.- </w:t>
      </w:r>
      <w:r w:rsidRPr="00B011C3">
        <w:rPr>
          <w:rFonts w:ascii="Century Gothic" w:hAnsi="Century Gothic"/>
          <w:sz w:val="22"/>
          <w:szCs w:val="22"/>
        </w:rPr>
        <w:t xml:space="preserve">Para efectos de lo dispuesto en el artículo 19 de la Ley, los Ayuntamientos de los municipios del Estado realizarán las siguientes acciones: </w:t>
      </w:r>
    </w:p>
    <w:p w14:paraId="7E96896E" w14:textId="77777777" w:rsidR="00B011C3" w:rsidRPr="00B011C3" w:rsidRDefault="00B011C3" w:rsidP="005A1ADF">
      <w:pPr>
        <w:pStyle w:val="Prrafodelista"/>
        <w:numPr>
          <w:ilvl w:val="0"/>
          <w:numId w:val="5"/>
        </w:numPr>
        <w:spacing w:line="360" w:lineRule="auto"/>
        <w:jc w:val="both"/>
        <w:rPr>
          <w:rFonts w:ascii="Century Gothic" w:hAnsi="Century Gothic"/>
          <w:sz w:val="22"/>
          <w:szCs w:val="22"/>
        </w:rPr>
      </w:pPr>
      <w:r w:rsidRPr="00B011C3">
        <w:rPr>
          <w:rFonts w:ascii="Century Gothic" w:hAnsi="Century Gothic"/>
          <w:sz w:val="22"/>
          <w:szCs w:val="22"/>
        </w:rPr>
        <w:t>Elaborar conforme a los criterios y metodología que el Ejecutivo del Estado proponga a través de la Secretaría, los planes de desarrollo y sus programas al inicio de cada periodo constitucional de Gobierno, los cuales, una vez aprobados por el Cabildo, deberán ser documentados en el Registro Estatal de Planes y Programas.</w:t>
      </w:r>
    </w:p>
    <w:p w14:paraId="70234E7F" w14:textId="77777777" w:rsidR="00B011C3" w:rsidRPr="00B011C3" w:rsidRDefault="00B011C3" w:rsidP="005A1ADF">
      <w:pPr>
        <w:pStyle w:val="Prrafodelista"/>
        <w:numPr>
          <w:ilvl w:val="0"/>
          <w:numId w:val="5"/>
        </w:numPr>
        <w:spacing w:line="360" w:lineRule="auto"/>
        <w:jc w:val="both"/>
        <w:rPr>
          <w:rFonts w:ascii="Century Gothic" w:hAnsi="Century Gothic"/>
          <w:sz w:val="22"/>
          <w:szCs w:val="22"/>
        </w:rPr>
      </w:pPr>
      <w:r w:rsidRPr="00B011C3">
        <w:rPr>
          <w:rFonts w:ascii="Century Gothic" w:hAnsi="Century Gothic"/>
          <w:sz w:val="22"/>
          <w:szCs w:val="22"/>
        </w:rPr>
        <w:t xml:space="preserve">Crear, determinar o ratificar en su caso, al inicio de cada período de gestión, la unidad o servidores </w:t>
      </w:r>
      <w:r w:rsidRPr="00B011C3">
        <w:rPr>
          <w:rFonts w:ascii="Century Gothic" w:hAnsi="Century Gothic"/>
          <w:sz w:val="22"/>
          <w:szCs w:val="22"/>
        </w:rPr>
        <w:lastRenderedPageBreak/>
        <w:t>públicos, independientes de la tesorería, que deberán llevar a cabo las funciones de integración de la información, planeación, programación, presupuestación y evaluación.</w:t>
      </w:r>
    </w:p>
    <w:p w14:paraId="158762FD" w14:textId="77777777" w:rsidR="00B011C3" w:rsidRPr="00B011C3" w:rsidRDefault="00B011C3" w:rsidP="005A1ADF">
      <w:pPr>
        <w:pStyle w:val="Prrafodelista"/>
        <w:numPr>
          <w:ilvl w:val="0"/>
          <w:numId w:val="5"/>
        </w:numPr>
        <w:spacing w:line="360" w:lineRule="auto"/>
        <w:jc w:val="both"/>
        <w:rPr>
          <w:rFonts w:ascii="Century Gothic" w:hAnsi="Century Gothic"/>
          <w:sz w:val="22"/>
          <w:szCs w:val="22"/>
        </w:rPr>
      </w:pPr>
      <w:r w:rsidRPr="00B011C3">
        <w:rPr>
          <w:rFonts w:ascii="Century Gothic" w:hAnsi="Century Gothic"/>
          <w:sz w:val="22"/>
          <w:szCs w:val="22"/>
        </w:rPr>
        <w:t>Integrar en los primeros treinta días de gestión, a partir de la toma de posesión, el programa para la formulación y aprobación del Plan de Desarrollo Municipal correspondiente.</w:t>
      </w:r>
    </w:p>
    <w:p w14:paraId="05ED3957"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24.- </w:t>
      </w:r>
      <w:r w:rsidRPr="00B011C3">
        <w:rPr>
          <w:rFonts w:ascii="Century Gothic" w:hAnsi="Century Gothic"/>
          <w:sz w:val="22"/>
          <w:szCs w:val="22"/>
        </w:rPr>
        <w:t xml:space="preserve">Para la elaboración e integración de los planes y programas en los términos que señala la Ley y el presente Reglamento, los mecanismos e instrumentos de participación social a través de los cuales se podrá captar y considerar las propuestas y aportaciones de la sociedad en el proceso de planeación del desarrollo podrán ser: </w:t>
      </w:r>
    </w:p>
    <w:p w14:paraId="78BD5F45"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Foros temáticos abiertos.</w:t>
      </w:r>
    </w:p>
    <w:p w14:paraId="13FCE1C4"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Foros regionales abiertos.</w:t>
      </w:r>
    </w:p>
    <w:p w14:paraId="676DCDE1"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Encuestas, sondeos de opinión y deberán ser presentados a la H. Legislatura Local a través del Órgano Superior de Fiscalización del Estado de México.</w:t>
      </w:r>
    </w:p>
    <w:p w14:paraId="7A801AFC"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Buzones de opinión ciudadana.</w:t>
      </w:r>
    </w:p>
    <w:p w14:paraId="1F98251E"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Estudios e investigaciones académicas y sociales.</w:t>
      </w:r>
    </w:p>
    <w:p w14:paraId="2AD4B535"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Registro de demandas de campaña.</w:t>
      </w:r>
    </w:p>
    <w:p w14:paraId="3D388CC5"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Consulta popular a través de medios electrónicos.</w:t>
      </w:r>
    </w:p>
    <w:p w14:paraId="3D7D253A" w14:textId="77777777" w:rsidR="00B011C3" w:rsidRPr="00B011C3" w:rsidRDefault="00B011C3" w:rsidP="005A1ADF">
      <w:pPr>
        <w:pStyle w:val="Prrafodelista"/>
        <w:widowControl w:val="0"/>
        <w:numPr>
          <w:ilvl w:val="0"/>
          <w:numId w:val="6"/>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Recepción de documentos y propuestas en las instancias auxiliares del COPLADEM.</w:t>
      </w:r>
    </w:p>
    <w:p w14:paraId="0509FCBD"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50.- </w:t>
      </w:r>
      <w:r w:rsidRPr="00B011C3">
        <w:rPr>
          <w:rFonts w:ascii="Century Gothic" w:hAnsi="Century Gothic"/>
          <w:sz w:val="22"/>
          <w:szCs w:val="22"/>
        </w:rPr>
        <w:t>El Plan de Desarrollo Municipal, es el instrumento rector de la Planeación Municipal, en el que deberán quedar expresadas claramente las prioridades, objetivos, estrategias y líneas generales de acción en materia económica, política y social para promover y fomentar el desarrollo integral y el mejoramiento en la calidad de vida de la población y orientar la acción de este orden de gobierno y los grupos sociales del municipio hacia ese fin.</w:t>
      </w:r>
    </w:p>
    <w:p w14:paraId="6B3189E4" w14:textId="77777777" w:rsidR="00B011C3" w:rsidRPr="00B011C3" w:rsidRDefault="00B011C3" w:rsidP="00B011C3">
      <w:pPr>
        <w:spacing w:line="360" w:lineRule="auto"/>
        <w:ind w:firstLine="708"/>
        <w:jc w:val="both"/>
        <w:rPr>
          <w:rFonts w:ascii="Century Gothic" w:hAnsi="Century Gothic"/>
          <w:sz w:val="22"/>
          <w:szCs w:val="22"/>
        </w:rPr>
      </w:pPr>
      <w:r w:rsidRPr="008E7568">
        <w:rPr>
          <w:rFonts w:ascii="Century Gothic" w:hAnsi="Century Gothic"/>
          <w:color w:val="025850"/>
          <w:sz w:val="22"/>
          <w:szCs w:val="22"/>
        </w:rPr>
        <w:t xml:space="preserve">Artículo 51.- </w:t>
      </w:r>
      <w:r w:rsidRPr="00B011C3">
        <w:rPr>
          <w:rFonts w:ascii="Century Gothic" w:hAnsi="Century Gothic"/>
          <w:sz w:val="22"/>
          <w:szCs w:val="22"/>
        </w:rPr>
        <w:t>El Plan de Desarrollo Municipal se integrará con la siguiente estructura:</w:t>
      </w:r>
    </w:p>
    <w:p w14:paraId="6683E89C"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proofErr w:type="gramStart"/>
      <w:r w:rsidRPr="00B011C3">
        <w:rPr>
          <w:rFonts w:ascii="Century Gothic" w:hAnsi="Century Gothic"/>
          <w:sz w:val="22"/>
          <w:szCs w:val="22"/>
        </w:rPr>
        <w:t>Tesis y proyecto político a desarrollar</w:t>
      </w:r>
      <w:proofErr w:type="gramEnd"/>
      <w:r w:rsidRPr="00B011C3">
        <w:rPr>
          <w:rFonts w:ascii="Century Gothic" w:hAnsi="Century Gothic"/>
          <w:sz w:val="22"/>
          <w:szCs w:val="22"/>
        </w:rPr>
        <w:t xml:space="preserve"> durante el período del gobierno municipal.</w:t>
      </w:r>
    </w:p>
    <w:p w14:paraId="6D7FA161"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r w:rsidRPr="00B011C3">
        <w:rPr>
          <w:rFonts w:ascii="Century Gothic" w:hAnsi="Century Gothic"/>
          <w:sz w:val="22"/>
          <w:szCs w:val="22"/>
        </w:rPr>
        <w:t>Diagnóstico del contexto económico, político y social del municipio.</w:t>
      </w:r>
    </w:p>
    <w:p w14:paraId="545EF7FB"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r w:rsidRPr="00B011C3">
        <w:rPr>
          <w:rFonts w:ascii="Century Gothic" w:hAnsi="Century Gothic"/>
          <w:sz w:val="22"/>
          <w:szCs w:val="22"/>
        </w:rPr>
        <w:t>Visión del desarrollo municipal a mediano y largo plazo.</w:t>
      </w:r>
    </w:p>
    <w:p w14:paraId="5A5C27D5"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r w:rsidRPr="00B011C3">
        <w:rPr>
          <w:rFonts w:ascii="Century Gothic" w:hAnsi="Century Gothic"/>
          <w:sz w:val="22"/>
          <w:szCs w:val="22"/>
        </w:rPr>
        <w:lastRenderedPageBreak/>
        <w:t xml:space="preserve">Prioridades generales del plan. </w:t>
      </w:r>
    </w:p>
    <w:p w14:paraId="1C70F371"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r w:rsidRPr="00B011C3">
        <w:rPr>
          <w:rFonts w:ascii="Century Gothic" w:hAnsi="Century Gothic"/>
          <w:sz w:val="22"/>
          <w:szCs w:val="22"/>
        </w:rPr>
        <w:t>Objetivos, estrategias y líneas de acción por cada programa y proyecto incluido.</w:t>
      </w:r>
    </w:p>
    <w:p w14:paraId="34380075"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proofErr w:type="gramStart"/>
      <w:r w:rsidRPr="00B011C3">
        <w:rPr>
          <w:rFonts w:ascii="Century Gothic" w:hAnsi="Century Gothic"/>
          <w:sz w:val="22"/>
          <w:szCs w:val="22"/>
        </w:rPr>
        <w:t>Metas terminales a alcanzar</w:t>
      </w:r>
      <w:proofErr w:type="gramEnd"/>
      <w:r w:rsidRPr="00B011C3">
        <w:rPr>
          <w:rFonts w:ascii="Century Gothic" w:hAnsi="Century Gothic"/>
          <w:sz w:val="22"/>
          <w:szCs w:val="22"/>
        </w:rPr>
        <w:t xml:space="preserve"> al término de la gestión municipal y metas intermedias anuales.</w:t>
      </w:r>
    </w:p>
    <w:p w14:paraId="63764A24" w14:textId="77777777" w:rsidR="00B011C3" w:rsidRPr="00B011C3" w:rsidRDefault="00B011C3" w:rsidP="005A1ADF">
      <w:pPr>
        <w:pStyle w:val="Prrafodelista"/>
        <w:numPr>
          <w:ilvl w:val="0"/>
          <w:numId w:val="7"/>
        </w:numPr>
        <w:spacing w:after="0" w:line="360" w:lineRule="auto"/>
        <w:jc w:val="both"/>
        <w:rPr>
          <w:rFonts w:ascii="Century Gothic" w:hAnsi="Century Gothic"/>
          <w:sz w:val="22"/>
          <w:szCs w:val="22"/>
        </w:rPr>
      </w:pPr>
      <w:r w:rsidRPr="00B011C3">
        <w:rPr>
          <w:rFonts w:ascii="Century Gothic" w:hAnsi="Century Gothic"/>
          <w:sz w:val="22"/>
          <w:szCs w:val="22"/>
        </w:rPr>
        <w:t>Mecanismos e instrumentos generales para la evaluación del plan.</w:t>
      </w:r>
    </w:p>
    <w:p w14:paraId="295F9E2B" w14:textId="633EB85D" w:rsidR="00725254" w:rsidRPr="00725254" w:rsidRDefault="00B011C3" w:rsidP="005A1ADF">
      <w:pPr>
        <w:pStyle w:val="Prrafodelista"/>
        <w:numPr>
          <w:ilvl w:val="0"/>
          <w:numId w:val="7"/>
        </w:numPr>
        <w:spacing w:after="0" w:line="360" w:lineRule="auto"/>
        <w:jc w:val="both"/>
        <w:rPr>
          <w:rFonts w:ascii="Century Gothic" w:hAnsi="Century Gothic"/>
          <w:sz w:val="22"/>
          <w:szCs w:val="22"/>
        </w:rPr>
      </w:pPr>
      <w:r w:rsidRPr="00B011C3">
        <w:rPr>
          <w:rFonts w:ascii="Century Gothic" w:hAnsi="Century Gothic"/>
          <w:sz w:val="22"/>
          <w:szCs w:val="22"/>
        </w:rPr>
        <w:t>Propuesta de estructura orgánica – administrativa del gobierno municipal para cumplir los objetivos del plan.</w:t>
      </w:r>
    </w:p>
    <w:p w14:paraId="74FC4D0C" w14:textId="77777777" w:rsidR="00725254" w:rsidRDefault="00725254" w:rsidP="00B011C3">
      <w:pPr>
        <w:spacing w:line="360" w:lineRule="auto"/>
        <w:jc w:val="both"/>
        <w:rPr>
          <w:rFonts w:ascii="Century Gothic" w:hAnsi="Century Gothic"/>
          <w:b/>
          <w:bCs/>
          <w:color w:val="025850"/>
          <w:sz w:val="22"/>
          <w:szCs w:val="22"/>
        </w:rPr>
      </w:pPr>
    </w:p>
    <w:p w14:paraId="4F9C445B" w14:textId="7833C43D" w:rsidR="00B011C3" w:rsidRPr="00725254" w:rsidRDefault="00725254" w:rsidP="00B011C3">
      <w:pPr>
        <w:spacing w:line="360" w:lineRule="auto"/>
        <w:jc w:val="both"/>
        <w:rPr>
          <w:rFonts w:ascii="Century Gothic" w:hAnsi="Century Gothic"/>
          <w:b/>
          <w:bCs/>
          <w:color w:val="025850"/>
          <w:sz w:val="22"/>
          <w:szCs w:val="22"/>
        </w:rPr>
      </w:pPr>
      <w:r w:rsidRPr="00725254">
        <w:rPr>
          <w:rFonts w:ascii="Century Gothic" w:hAnsi="Century Gothic"/>
          <w:b/>
          <w:bCs/>
          <w:color w:val="025850"/>
          <w:sz w:val="22"/>
          <w:szCs w:val="22"/>
        </w:rPr>
        <w:t xml:space="preserve">Ley Orgánica Municipal </w:t>
      </w:r>
      <w:r>
        <w:rPr>
          <w:rFonts w:ascii="Century Gothic" w:hAnsi="Century Gothic"/>
          <w:b/>
          <w:bCs/>
          <w:color w:val="025850"/>
          <w:sz w:val="22"/>
          <w:szCs w:val="22"/>
        </w:rPr>
        <w:t>d</w:t>
      </w:r>
      <w:r w:rsidRPr="00725254">
        <w:rPr>
          <w:rFonts w:ascii="Century Gothic" w:hAnsi="Century Gothic"/>
          <w:b/>
          <w:bCs/>
          <w:color w:val="025850"/>
          <w:sz w:val="22"/>
          <w:szCs w:val="22"/>
        </w:rPr>
        <w:t xml:space="preserve">el Estado </w:t>
      </w:r>
      <w:r>
        <w:rPr>
          <w:rFonts w:ascii="Century Gothic" w:hAnsi="Century Gothic"/>
          <w:b/>
          <w:bCs/>
          <w:color w:val="025850"/>
          <w:sz w:val="22"/>
          <w:szCs w:val="22"/>
        </w:rPr>
        <w:t>d</w:t>
      </w:r>
      <w:r w:rsidRPr="00725254">
        <w:rPr>
          <w:rFonts w:ascii="Century Gothic" w:hAnsi="Century Gothic"/>
          <w:b/>
          <w:bCs/>
          <w:color w:val="025850"/>
          <w:sz w:val="22"/>
          <w:szCs w:val="22"/>
        </w:rPr>
        <w:t>e México</w:t>
      </w:r>
    </w:p>
    <w:p w14:paraId="38F735B2"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69.- </w:t>
      </w:r>
      <w:r w:rsidRPr="00B011C3">
        <w:rPr>
          <w:rFonts w:ascii="Century Gothic" w:hAnsi="Century Gothic"/>
          <w:sz w:val="22"/>
          <w:szCs w:val="22"/>
        </w:rPr>
        <w:t xml:space="preserve">Las comisiones las determinará el ayuntamiento </w:t>
      </w:r>
      <w:proofErr w:type="gramStart"/>
      <w:r w:rsidRPr="00B011C3">
        <w:rPr>
          <w:rFonts w:ascii="Century Gothic" w:hAnsi="Century Gothic"/>
          <w:sz w:val="22"/>
          <w:szCs w:val="22"/>
        </w:rPr>
        <w:t>de acuerdo a</w:t>
      </w:r>
      <w:proofErr w:type="gramEnd"/>
      <w:r w:rsidRPr="00B011C3">
        <w:rPr>
          <w:rFonts w:ascii="Century Gothic" w:hAnsi="Century Gothic"/>
          <w:sz w:val="22"/>
          <w:szCs w:val="22"/>
        </w:rPr>
        <w:t xml:space="preserve"> las necesidades del municipio y podrán ser permanentes o transitorias.</w:t>
      </w:r>
    </w:p>
    <w:p w14:paraId="7ED3B0F2"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I. Serán permanentes las comisiones:</w:t>
      </w:r>
    </w:p>
    <w:p w14:paraId="1A383877" w14:textId="77777777" w:rsidR="00B011C3" w:rsidRPr="00B011C3" w:rsidRDefault="00B011C3" w:rsidP="00B011C3">
      <w:pPr>
        <w:spacing w:line="360" w:lineRule="auto"/>
        <w:jc w:val="both"/>
        <w:rPr>
          <w:rFonts w:ascii="Century Gothic" w:hAnsi="Century Gothic"/>
          <w:sz w:val="22"/>
          <w:szCs w:val="22"/>
        </w:rPr>
      </w:pPr>
      <w:r w:rsidRPr="00B011C3">
        <w:rPr>
          <w:rFonts w:ascii="Century Gothic" w:hAnsi="Century Gothic"/>
          <w:sz w:val="22"/>
          <w:szCs w:val="22"/>
        </w:rPr>
        <w:t>b) De planeación para el desarrollo, que estará a cargo del presidente municipal.</w:t>
      </w:r>
    </w:p>
    <w:p w14:paraId="79DAED24"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70.- </w:t>
      </w:r>
      <w:r w:rsidRPr="00B011C3">
        <w:rPr>
          <w:rFonts w:ascii="Century Gothic" w:hAnsi="Century Gothic"/>
          <w:sz w:val="22"/>
          <w:szCs w:val="22"/>
        </w:rPr>
        <w:t>Las comisiones del ayuntamiento coadyuvarán en la elaboración del Plan de Desarrollo Municipal y en su evaluación.</w:t>
      </w:r>
    </w:p>
    <w:p w14:paraId="5EC87BF5"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72.- </w:t>
      </w:r>
      <w:r w:rsidRPr="00B011C3">
        <w:rPr>
          <w:rFonts w:ascii="Century Gothic" w:hAnsi="Century Gothic"/>
          <w:sz w:val="22"/>
          <w:szCs w:val="22"/>
        </w:rPr>
        <w:t>Para la gestión, promoción y ejecución de los planes y programas municipales en las diversas materias, los ayuntamientos podrán auxiliarse de consejos de participación ciudadana municipal.</w:t>
      </w:r>
    </w:p>
    <w:p w14:paraId="4C4845D6"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74.- </w:t>
      </w:r>
      <w:r w:rsidRPr="00B011C3">
        <w:rPr>
          <w:rFonts w:ascii="Century Gothic" w:hAnsi="Century Gothic"/>
          <w:sz w:val="22"/>
          <w:szCs w:val="22"/>
        </w:rPr>
        <w:t>Los consejos de participación ciudadana, como órganos de comunicación y colaboración entre la comunidad y las autoridades, tendrán las siguientes atribuciones:</w:t>
      </w:r>
    </w:p>
    <w:p w14:paraId="0BAC08CC" w14:textId="77777777" w:rsidR="00B011C3" w:rsidRPr="00B011C3" w:rsidRDefault="00B011C3" w:rsidP="005A1ADF">
      <w:pPr>
        <w:pStyle w:val="Prrafodelista"/>
        <w:widowControl w:val="0"/>
        <w:numPr>
          <w:ilvl w:val="0"/>
          <w:numId w:val="8"/>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Promover la participación ciudadana en la realización de los programas municipales.</w:t>
      </w:r>
    </w:p>
    <w:p w14:paraId="61DA3CB8" w14:textId="77777777" w:rsidR="00B011C3" w:rsidRPr="00B011C3" w:rsidRDefault="00B011C3" w:rsidP="005A1ADF">
      <w:pPr>
        <w:pStyle w:val="Prrafodelista"/>
        <w:widowControl w:val="0"/>
        <w:numPr>
          <w:ilvl w:val="0"/>
          <w:numId w:val="8"/>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Coadyuvar para el cumplimiento eficaz de los planes y programas municipales aprobados.</w:t>
      </w:r>
    </w:p>
    <w:p w14:paraId="0C584B0B" w14:textId="77777777" w:rsidR="00B011C3" w:rsidRPr="00B011C3" w:rsidRDefault="00B011C3" w:rsidP="005A1ADF">
      <w:pPr>
        <w:pStyle w:val="Prrafodelista"/>
        <w:widowControl w:val="0"/>
        <w:numPr>
          <w:ilvl w:val="0"/>
          <w:numId w:val="8"/>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Proponer al ayuntamiento las acciones tendientes a integrar o modificar los planes y programas municipales.</w:t>
      </w:r>
    </w:p>
    <w:p w14:paraId="3243A390"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82.- </w:t>
      </w:r>
      <w:r w:rsidRPr="00B011C3">
        <w:rPr>
          <w:rFonts w:ascii="Century Gothic" w:hAnsi="Century Gothic"/>
          <w:sz w:val="22"/>
          <w:szCs w:val="22"/>
        </w:rPr>
        <w:t xml:space="preserve">La Comisión de Planeación para el Desarrollo Municipal, se integrará con ciudadanos distinguidos del municipio, representativos de los sectores </w:t>
      </w:r>
      <w:r w:rsidRPr="00B011C3">
        <w:rPr>
          <w:rFonts w:ascii="Century Gothic" w:hAnsi="Century Gothic"/>
          <w:sz w:val="22"/>
          <w:szCs w:val="22"/>
        </w:rPr>
        <w:lastRenderedPageBreak/>
        <w:t>público, social y privado, así como de las organizaciones sociales del municipio, también podrán incorporarse a miembros de los consejos de participación ciudadana.</w:t>
      </w:r>
    </w:p>
    <w:p w14:paraId="67E6987D"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83.- </w:t>
      </w:r>
      <w:r w:rsidRPr="00B011C3">
        <w:rPr>
          <w:rFonts w:ascii="Century Gothic" w:hAnsi="Century Gothic"/>
          <w:sz w:val="22"/>
          <w:szCs w:val="22"/>
        </w:rPr>
        <w:t>La Comisión de Planeación para el Desarrollo Municipal tendrá las siguientes atribuciones:</w:t>
      </w:r>
    </w:p>
    <w:p w14:paraId="1474D0B3" w14:textId="77777777" w:rsidR="00B011C3" w:rsidRPr="00B011C3" w:rsidRDefault="00B011C3" w:rsidP="005A1ADF">
      <w:pPr>
        <w:pStyle w:val="Prrafodelista"/>
        <w:widowControl w:val="0"/>
        <w:numPr>
          <w:ilvl w:val="0"/>
          <w:numId w:val="9"/>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Proponer al ayuntamiento los mecanismos, instrumentos o acciones para la formulación. control y evaluación del Plan de Desarrollo Municipal.</w:t>
      </w:r>
    </w:p>
    <w:p w14:paraId="60771BF9" w14:textId="77777777" w:rsidR="00B011C3" w:rsidRPr="00B011C3" w:rsidRDefault="00B011C3" w:rsidP="005A1ADF">
      <w:pPr>
        <w:pStyle w:val="Prrafodelista"/>
        <w:widowControl w:val="0"/>
        <w:numPr>
          <w:ilvl w:val="0"/>
          <w:numId w:val="9"/>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Consolidar un proceso permanente y participativo de planeación orientado a resolver los problemas municipales.</w:t>
      </w:r>
    </w:p>
    <w:p w14:paraId="5478FB18"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84.- </w:t>
      </w:r>
      <w:r w:rsidRPr="00B011C3">
        <w:rPr>
          <w:rFonts w:ascii="Century Gothic" w:hAnsi="Century Gothic"/>
          <w:sz w:val="22"/>
          <w:szCs w:val="22"/>
        </w:rPr>
        <w:t>El presidente municipal, al inicio de su período constitucional, convocará a organizaciones sociales de la comunidad para que se integren a la Comisión de Planeación para el Desarrollo Municipal.</w:t>
      </w:r>
    </w:p>
    <w:p w14:paraId="4045A72D"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Artículo 114</w:t>
      </w:r>
      <w:r w:rsidRPr="00B011C3">
        <w:rPr>
          <w:rFonts w:ascii="Century Gothic" w:hAnsi="Century Gothic"/>
          <w:color w:val="FF0000"/>
          <w:sz w:val="22"/>
          <w:szCs w:val="22"/>
        </w:rPr>
        <w:t xml:space="preserve">.- </w:t>
      </w:r>
      <w:r w:rsidRPr="00B011C3">
        <w:rPr>
          <w:rFonts w:ascii="Century Gothic" w:hAnsi="Century Gothic"/>
          <w:sz w:val="22"/>
          <w:szCs w:val="22"/>
        </w:rPr>
        <w:t>Cada ayuntamiento elaborará su Plan de Desarrollo Municipal y los programas de trabajo necesarios para su ejecución en forma democrática y participativa.</w:t>
      </w:r>
    </w:p>
    <w:p w14:paraId="4B2B52EC"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116.- </w:t>
      </w:r>
      <w:r w:rsidRPr="00B011C3">
        <w:rPr>
          <w:rFonts w:ascii="Century Gothic" w:hAnsi="Century Gothic"/>
          <w:sz w:val="22"/>
          <w:szCs w:val="22"/>
        </w:rPr>
        <w:t>El Plan de Desarrollo Municipal deberá ser elaborado, aprobado y publicado, dentro de los primeros tres meses de la gestión municipal. Su evaluación deberá realizarse anualmente; y en caso de no hacerse se hará acreedor a las sanciones de las dependencias normativas en el ámbito de su competencia.</w:t>
      </w:r>
    </w:p>
    <w:p w14:paraId="5818FEF3"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117.- </w:t>
      </w:r>
      <w:r w:rsidRPr="00B011C3">
        <w:rPr>
          <w:rFonts w:ascii="Century Gothic" w:hAnsi="Century Gothic"/>
          <w:sz w:val="22"/>
          <w:szCs w:val="22"/>
        </w:rPr>
        <w:t>El Plan de Desarrollo Municipal tendrá los objetivos siguientes:</w:t>
      </w:r>
    </w:p>
    <w:p w14:paraId="51F99A9A" w14:textId="77777777" w:rsidR="00B011C3" w:rsidRPr="00B011C3" w:rsidRDefault="00B011C3" w:rsidP="005A1ADF">
      <w:pPr>
        <w:pStyle w:val="Prrafodelista"/>
        <w:widowControl w:val="0"/>
        <w:numPr>
          <w:ilvl w:val="0"/>
          <w:numId w:val="10"/>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Atender las demandas prioritarias de la población.</w:t>
      </w:r>
    </w:p>
    <w:p w14:paraId="6FACD61E" w14:textId="77777777" w:rsidR="00B011C3" w:rsidRPr="00B011C3" w:rsidRDefault="00B011C3" w:rsidP="005A1ADF">
      <w:pPr>
        <w:pStyle w:val="Prrafodelista"/>
        <w:widowControl w:val="0"/>
        <w:numPr>
          <w:ilvl w:val="0"/>
          <w:numId w:val="10"/>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Propiciar el desarrollo armónico del municipio.</w:t>
      </w:r>
    </w:p>
    <w:p w14:paraId="549F2460" w14:textId="77777777" w:rsidR="00B011C3" w:rsidRPr="00B011C3" w:rsidRDefault="00B011C3" w:rsidP="005A1ADF">
      <w:pPr>
        <w:pStyle w:val="Prrafodelista"/>
        <w:widowControl w:val="0"/>
        <w:numPr>
          <w:ilvl w:val="0"/>
          <w:numId w:val="10"/>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Asegurar la participación de la sociedad en las acciones del gobierno municipal.</w:t>
      </w:r>
    </w:p>
    <w:p w14:paraId="78434ADE" w14:textId="77777777" w:rsidR="00B011C3" w:rsidRPr="00B011C3" w:rsidRDefault="00B011C3" w:rsidP="005A1ADF">
      <w:pPr>
        <w:pStyle w:val="Prrafodelista"/>
        <w:widowControl w:val="0"/>
        <w:numPr>
          <w:ilvl w:val="0"/>
          <w:numId w:val="10"/>
        </w:numPr>
        <w:autoSpaceDE w:val="0"/>
        <w:autoSpaceDN w:val="0"/>
        <w:spacing w:after="0" w:line="360" w:lineRule="auto"/>
        <w:jc w:val="both"/>
        <w:rPr>
          <w:rFonts w:ascii="Century Gothic" w:hAnsi="Century Gothic"/>
          <w:sz w:val="22"/>
          <w:szCs w:val="22"/>
        </w:rPr>
      </w:pPr>
      <w:r w:rsidRPr="00B011C3">
        <w:rPr>
          <w:rFonts w:ascii="Century Gothic" w:hAnsi="Century Gothic"/>
          <w:sz w:val="22"/>
          <w:szCs w:val="22"/>
        </w:rPr>
        <w:t>Vincular el Plan de Desarrollo Municipal con los planes de desarrollo federal y estatal.</w:t>
      </w:r>
    </w:p>
    <w:p w14:paraId="489C183D" w14:textId="77777777" w:rsidR="00B011C3" w:rsidRPr="00B011C3" w:rsidRDefault="00B011C3" w:rsidP="005A1ADF">
      <w:pPr>
        <w:pStyle w:val="Prrafodelista"/>
        <w:numPr>
          <w:ilvl w:val="0"/>
          <w:numId w:val="10"/>
        </w:numPr>
        <w:spacing w:line="360" w:lineRule="auto"/>
        <w:jc w:val="both"/>
        <w:rPr>
          <w:rFonts w:ascii="Century Gothic" w:hAnsi="Century Gothic"/>
          <w:sz w:val="22"/>
          <w:szCs w:val="22"/>
        </w:rPr>
      </w:pPr>
      <w:r w:rsidRPr="00B011C3">
        <w:rPr>
          <w:rFonts w:ascii="Century Gothic" w:hAnsi="Century Gothic"/>
          <w:sz w:val="22"/>
          <w:szCs w:val="22"/>
        </w:rPr>
        <w:t>Aplicar de manera racional los recursos financieros para el cumplimiento del plan y los programas de desarrollo.</w:t>
      </w:r>
    </w:p>
    <w:p w14:paraId="275AC416"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118.- </w:t>
      </w:r>
      <w:r w:rsidRPr="00B011C3">
        <w:rPr>
          <w:rFonts w:ascii="Century Gothic" w:hAnsi="Century Gothic"/>
          <w:sz w:val="22"/>
          <w:szCs w:val="22"/>
        </w:rPr>
        <w:t xml:space="preserve">El Plan de Desarrollo Municipal contendrá al menos, un diagnóstico sobre las condiciones económicas y sociales del municipio, las </w:t>
      </w:r>
      <w:r w:rsidRPr="00B011C3">
        <w:rPr>
          <w:rFonts w:ascii="Century Gothic" w:hAnsi="Century Gothic"/>
          <w:sz w:val="22"/>
          <w:szCs w:val="22"/>
        </w:rPr>
        <w:lastRenderedPageBreak/>
        <w:t>metas a alcanzar, las estrategias a seguir, los plazos de ejecución, las dependencias y organismos responsables de su cumplimiento y las bases de coordinación y concertación que se requieren para su cumplimiento.</w:t>
      </w:r>
    </w:p>
    <w:p w14:paraId="6021575B"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119.- </w:t>
      </w:r>
      <w:r w:rsidRPr="00B011C3">
        <w:rPr>
          <w:rFonts w:ascii="Century Gothic" w:hAnsi="Century Gothic"/>
          <w:sz w:val="22"/>
          <w:szCs w:val="22"/>
        </w:rPr>
        <w:t xml:space="preserve">El Plan de Desarrollo Municipal se complementará con programas anuales sectoriales de la administración municipal y con programas especiales de los organismos desconcentrados y descentralizados de carácter municipal. Asimismo, los ayuntamientos deberán formular, ejecutar, remitir y evaluar el Programa Municipal para la Igualdad de Trato y Oportunidades entre Mujeres y Hombres y para Prevenir, Atender, Sancionar y Erradicar la Violencia contra las Mujeres, así como las Estrategias respectivas, en los términos previstos por las disposiciones aplicables. </w:t>
      </w:r>
    </w:p>
    <w:p w14:paraId="7A213651"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120.- </w:t>
      </w:r>
      <w:r w:rsidRPr="00B011C3">
        <w:rPr>
          <w:rFonts w:ascii="Century Gothic" w:hAnsi="Century Gothic"/>
          <w:sz w:val="22"/>
          <w:szCs w:val="22"/>
        </w:rPr>
        <w:t>En la elaboración de su Plan de Desarrollo Municipal, los ayuntamientos proveerán lo necesario para promover la participación y consulta populares.</w:t>
      </w:r>
    </w:p>
    <w:p w14:paraId="672DAFB8"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121.- </w:t>
      </w:r>
      <w:r w:rsidRPr="00B011C3">
        <w:rPr>
          <w:rFonts w:ascii="Century Gothic" w:hAnsi="Century Gothic"/>
          <w:sz w:val="22"/>
          <w:szCs w:val="22"/>
        </w:rPr>
        <w:t xml:space="preserve">Los ayuntamientos publicarán su Plan de Desarrollo Municipal a través de la Gaceta Municipal </w:t>
      </w:r>
      <w:r w:rsidRPr="00B011C3">
        <w:rPr>
          <w:rFonts w:ascii="Century Gothic" w:hAnsi="Century Gothic"/>
          <w:sz w:val="22"/>
          <w:szCs w:val="22"/>
        </w:rPr>
        <w:t>y de los estrados de los Ayuntamientos durante el primer año de gestión y lo difundirán en forma extensa.</w:t>
      </w:r>
    </w:p>
    <w:p w14:paraId="5EBB0E11"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122.- </w:t>
      </w:r>
      <w:r w:rsidRPr="00B011C3">
        <w:rPr>
          <w:rFonts w:ascii="Century Gothic" w:hAnsi="Century Gothic"/>
          <w:sz w:val="22"/>
          <w:szCs w:val="22"/>
        </w:rPr>
        <w:t>El Plan de Desarrollo y los programas que de éste se deriven, serán obligatorios para las dependencias de la administración pública municipal, y en general para las entidades públicas de carácter municipal.</w:t>
      </w:r>
    </w:p>
    <w:p w14:paraId="44CFDC48" w14:textId="77777777" w:rsidR="00725254" w:rsidRDefault="00B011C3" w:rsidP="00725254">
      <w:pPr>
        <w:spacing w:line="360" w:lineRule="auto"/>
        <w:jc w:val="both"/>
        <w:rPr>
          <w:rFonts w:ascii="Century Gothic" w:hAnsi="Century Gothic"/>
          <w:sz w:val="22"/>
          <w:szCs w:val="22"/>
        </w:rPr>
      </w:pPr>
      <w:r w:rsidRPr="00B011C3">
        <w:rPr>
          <w:rFonts w:ascii="Century Gothic" w:hAnsi="Century Gothic"/>
          <w:sz w:val="22"/>
          <w:szCs w:val="22"/>
        </w:rPr>
        <w:t>Los planes y programas podrán ser modificados o suspendidos siguiendo el mismo procedimiento que para su elaboración, aprobación y publicación, cuando lo demande el interés social o lo requieran las circunstancias de tipo técnico o económic</w:t>
      </w:r>
      <w:r w:rsidR="00725254">
        <w:rPr>
          <w:rFonts w:ascii="Century Gothic" w:hAnsi="Century Gothic"/>
          <w:sz w:val="22"/>
          <w:szCs w:val="22"/>
        </w:rPr>
        <w:t>o.</w:t>
      </w:r>
    </w:p>
    <w:p w14:paraId="61DFFC6A" w14:textId="73B68A94" w:rsidR="00B011C3" w:rsidRPr="00725254" w:rsidRDefault="00725254" w:rsidP="00B011C3">
      <w:pPr>
        <w:spacing w:line="360" w:lineRule="auto"/>
        <w:jc w:val="both"/>
        <w:rPr>
          <w:rFonts w:ascii="Century Gothic" w:hAnsi="Century Gothic"/>
          <w:color w:val="025850"/>
          <w:sz w:val="22"/>
          <w:szCs w:val="22"/>
        </w:rPr>
      </w:pPr>
      <w:r w:rsidRPr="00725254">
        <w:rPr>
          <w:rFonts w:ascii="Century Gothic" w:hAnsi="Century Gothic"/>
          <w:b/>
          <w:bCs/>
          <w:color w:val="025850"/>
          <w:sz w:val="22"/>
          <w:szCs w:val="22"/>
        </w:rPr>
        <w:t xml:space="preserve">Bando Municipal San Antonio </w:t>
      </w:r>
      <w:r>
        <w:rPr>
          <w:rFonts w:ascii="Century Gothic" w:hAnsi="Century Gothic"/>
          <w:b/>
          <w:bCs/>
          <w:color w:val="025850"/>
          <w:sz w:val="22"/>
          <w:szCs w:val="22"/>
        </w:rPr>
        <w:t>l</w:t>
      </w:r>
      <w:r w:rsidRPr="00725254">
        <w:rPr>
          <w:rFonts w:ascii="Century Gothic" w:hAnsi="Century Gothic"/>
          <w:b/>
          <w:bCs/>
          <w:color w:val="025850"/>
          <w:sz w:val="22"/>
          <w:szCs w:val="22"/>
        </w:rPr>
        <w:t>a Isla 2025</w:t>
      </w:r>
    </w:p>
    <w:p w14:paraId="68E35C0D" w14:textId="77777777" w:rsidR="00B011C3" w:rsidRPr="00B011C3"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t xml:space="preserve">Artículo 56.- </w:t>
      </w:r>
      <w:r w:rsidRPr="00B011C3">
        <w:rPr>
          <w:rFonts w:ascii="Century Gothic" w:hAnsi="Century Gothic"/>
          <w:sz w:val="22"/>
          <w:szCs w:val="22"/>
        </w:rPr>
        <w:t>El Comité de Planeación para el Desarrollo Municipal por sus siglas COPLADEMUN, tendrá como función coordinar las acciones de implementación y evaluación del Plan de Desarrollo Municipal, con el Comité Estatal de Planeación del Estado de México COPLADEM.</w:t>
      </w:r>
    </w:p>
    <w:p w14:paraId="754F4DFD" w14:textId="05A8F47A" w:rsidR="00725254" w:rsidRDefault="00B011C3" w:rsidP="00B011C3">
      <w:pPr>
        <w:spacing w:line="360" w:lineRule="auto"/>
        <w:ind w:firstLine="708"/>
        <w:jc w:val="both"/>
        <w:rPr>
          <w:rFonts w:ascii="Century Gothic" w:hAnsi="Century Gothic"/>
          <w:sz w:val="22"/>
          <w:szCs w:val="22"/>
        </w:rPr>
      </w:pPr>
      <w:r w:rsidRPr="00725254">
        <w:rPr>
          <w:rFonts w:ascii="Century Gothic" w:hAnsi="Century Gothic"/>
          <w:color w:val="025850"/>
          <w:sz w:val="22"/>
          <w:szCs w:val="22"/>
        </w:rPr>
        <w:lastRenderedPageBreak/>
        <w:t xml:space="preserve">Artículo 57.- </w:t>
      </w:r>
      <w:r w:rsidRPr="00B011C3">
        <w:rPr>
          <w:rFonts w:ascii="Century Gothic" w:hAnsi="Century Gothic"/>
          <w:sz w:val="22"/>
          <w:szCs w:val="22"/>
        </w:rPr>
        <w:t>El Consejo de Desarrollo Municipal (CODEMUN) es el órgano cuya misión es conocer y legitimar por consenso la programación de obras y acciones que deberá estar contenida en el Programa Operativo Anual.</w:t>
      </w:r>
    </w:p>
    <w:p w14:paraId="3DB7A7BD" w14:textId="77777777" w:rsidR="00725254" w:rsidRDefault="00725254">
      <w:pPr>
        <w:rPr>
          <w:rFonts w:ascii="Century Gothic" w:hAnsi="Century Gothic"/>
          <w:sz w:val="22"/>
          <w:szCs w:val="22"/>
        </w:rPr>
      </w:pPr>
      <w:r>
        <w:rPr>
          <w:rFonts w:ascii="Century Gothic" w:hAnsi="Century Gothic"/>
          <w:sz w:val="22"/>
          <w:szCs w:val="22"/>
        </w:rPr>
        <w:br w:type="page"/>
      </w:r>
    </w:p>
    <w:p w14:paraId="3F20EEA3" w14:textId="3732BB8D" w:rsidR="005722A1" w:rsidRPr="005722A1" w:rsidRDefault="00C43EE2" w:rsidP="005722A1">
      <w:pPr>
        <w:widowControl w:val="0"/>
        <w:autoSpaceDE w:val="0"/>
        <w:autoSpaceDN w:val="0"/>
        <w:spacing w:before="102" w:after="0" w:line="360" w:lineRule="auto"/>
        <w:jc w:val="both"/>
        <w:rPr>
          <w:rFonts w:ascii="Century Gothic" w:hAnsi="Century Gothic"/>
          <w:b/>
          <w:bCs/>
          <w:color w:val="8DD873" w:themeColor="accent6" w:themeTint="99"/>
          <w:sz w:val="28"/>
          <w:szCs w:val="28"/>
        </w:rPr>
      </w:pPr>
      <w:r w:rsidRPr="00C43EE2">
        <w:rPr>
          <w:rFonts w:ascii="Century Gothic" w:hAnsi="Century Gothic"/>
          <w:b/>
          <w:bCs/>
          <w:color w:val="025850"/>
          <w:sz w:val="28"/>
          <w:szCs w:val="28"/>
        </w:rPr>
        <w:lastRenderedPageBreak/>
        <w:t>Alineación del Plan de Desarrollo Municipal 2025-2027 con el PND, el PDEM 2023-2029 y sus Programas.</w:t>
      </w:r>
    </w:p>
    <w:p w14:paraId="03F4DA0D" w14:textId="62832C16" w:rsidR="005722A1" w:rsidRPr="005722A1" w:rsidRDefault="005722A1" w:rsidP="005722A1">
      <w:pPr>
        <w:spacing w:before="102" w:line="360" w:lineRule="auto"/>
        <w:ind w:firstLine="708"/>
        <w:jc w:val="both"/>
        <w:rPr>
          <w:rFonts w:ascii="Century Gothic" w:hAnsi="Century Gothic"/>
          <w:color w:val="000000" w:themeColor="text1"/>
          <w:lang w:val="es-US"/>
        </w:rPr>
      </w:pPr>
      <w:r w:rsidRPr="005722A1">
        <w:rPr>
          <w:rFonts w:ascii="Century Gothic" w:hAnsi="Century Gothic"/>
          <w:color w:val="000000" w:themeColor="text1"/>
          <w:lang w:val="es-US"/>
        </w:rPr>
        <w:t>Los planes de desarrollo son instrumentos fundamentales para la planificación y ejecución de políticas públicas en México.</w:t>
      </w:r>
    </w:p>
    <w:p w14:paraId="21B1F469" w14:textId="62FAA769" w:rsidR="005722A1" w:rsidRPr="005722A1" w:rsidRDefault="005722A1" w:rsidP="005A1ADF">
      <w:pPr>
        <w:pStyle w:val="Prrafodelista"/>
        <w:widowControl w:val="0"/>
        <w:numPr>
          <w:ilvl w:val="0"/>
          <w:numId w:val="11"/>
        </w:numPr>
        <w:autoSpaceDE w:val="0"/>
        <w:autoSpaceDN w:val="0"/>
        <w:spacing w:before="102" w:after="0" w:line="360" w:lineRule="auto"/>
        <w:jc w:val="both"/>
        <w:rPr>
          <w:rFonts w:ascii="Century Gothic" w:hAnsi="Century Gothic"/>
          <w:b/>
          <w:bCs/>
          <w:color w:val="025850"/>
          <w:lang w:val="es-US"/>
        </w:rPr>
      </w:pPr>
      <w:r w:rsidRPr="005722A1">
        <w:rPr>
          <w:rFonts w:ascii="Century Gothic" w:hAnsi="Century Gothic"/>
          <w:b/>
          <w:bCs/>
          <w:color w:val="025850"/>
          <w:lang w:val="es-US"/>
        </w:rPr>
        <w:t>Plan Nacional de Desarrollo (PND)</w:t>
      </w:r>
    </w:p>
    <w:p w14:paraId="0FA442DE" w14:textId="44F552F7" w:rsidR="005722A1" w:rsidRPr="005722A1" w:rsidRDefault="005722A1" w:rsidP="005722A1">
      <w:pPr>
        <w:spacing w:before="102" w:line="360" w:lineRule="auto"/>
        <w:ind w:firstLine="708"/>
        <w:jc w:val="both"/>
        <w:rPr>
          <w:rFonts w:ascii="Century Gothic" w:hAnsi="Century Gothic"/>
          <w:color w:val="000000" w:themeColor="text1"/>
          <w:lang w:val="es-US"/>
        </w:rPr>
      </w:pPr>
      <w:r w:rsidRPr="005722A1">
        <w:rPr>
          <w:rFonts w:ascii="Century Gothic" w:hAnsi="Century Gothic"/>
          <w:color w:val="000000" w:themeColor="text1"/>
          <w:lang w:val="es-US"/>
        </w:rPr>
        <w:t>El Plan Nacional de Desarrollo es el instrumento rector de la planificación nacional en México. Establece los objetivos, estrategias y metas para el desarrollo del país durante 6 años. El PND es elaborado por el Ejecutivo Federal y debe ser aprobado por el Congreso de la Unión.</w:t>
      </w:r>
    </w:p>
    <w:p w14:paraId="188004B7" w14:textId="22F345ED" w:rsidR="005722A1" w:rsidRPr="005722A1" w:rsidRDefault="005722A1" w:rsidP="005A1ADF">
      <w:pPr>
        <w:pStyle w:val="Prrafodelista"/>
        <w:widowControl w:val="0"/>
        <w:numPr>
          <w:ilvl w:val="0"/>
          <w:numId w:val="11"/>
        </w:numPr>
        <w:autoSpaceDE w:val="0"/>
        <w:autoSpaceDN w:val="0"/>
        <w:spacing w:before="102" w:after="0" w:line="360" w:lineRule="auto"/>
        <w:jc w:val="both"/>
        <w:rPr>
          <w:rFonts w:ascii="Century Gothic" w:hAnsi="Century Gothic"/>
          <w:b/>
          <w:bCs/>
          <w:color w:val="025850"/>
          <w:lang w:val="es-US"/>
        </w:rPr>
      </w:pPr>
      <w:r w:rsidRPr="005722A1">
        <w:rPr>
          <w:rFonts w:ascii="Century Gothic" w:hAnsi="Century Gothic"/>
          <w:b/>
          <w:bCs/>
          <w:color w:val="025850"/>
          <w:lang w:val="es-US"/>
        </w:rPr>
        <w:t>Plan de Desarrollo del Estado de México (PDEM)</w:t>
      </w:r>
    </w:p>
    <w:p w14:paraId="27EA3A48" w14:textId="69EA72E4" w:rsidR="005722A1" w:rsidRDefault="005722A1" w:rsidP="005722A1">
      <w:pPr>
        <w:spacing w:before="102" w:line="360" w:lineRule="auto"/>
        <w:ind w:firstLine="708"/>
        <w:jc w:val="both"/>
        <w:rPr>
          <w:rFonts w:ascii="Century Gothic" w:hAnsi="Century Gothic"/>
          <w:color w:val="000000" w:themeColor="text1"/>
          <w:lang w:val="es-US"/>
        </w:rPr>
      </w:pPr>
      <w:r w:rsidRPr="005722A1">
        <w:rPr>
          <w:rFonts w:ascii="Century Gothic" w:hAnsi="Century Gothic"/>
          <w:color w:val="000000" w:themeColor="text1"/>
          <w:lang w:val="es-US"/>
        </w:rPr>
        <w:t>El Plan de Desarrollo del Estado de México es el instrumento rector de la planificación del Estado México. Establece los objetivos, estrategias y metas para el desarrollo del estado durante 6 años. El PDEM es elaborado por el Ejecutivo Estatal y debe ser aprobado por el Congreso Estatal.</w:t>
      </w:r>
    </w:p>
    <w:p w14:paraId="69B66F47" w14:textId="77777777" w:rsidR="00446C98" w:rsidRPr="005722A1" w:rsidRDefault="00446C98" w:rsidP="005722A1">
      <w:pPr>
        <w:spacing w:before="102" w:line="360" w:lineRule="auto"/>
        <w:ind w:firstLine="708"/>
        <w:jc w:val="both"/>
        <w:rPr>
          <w:rFonts w:ascii="Century Gothic" w:hAnsi="Century Gothic"/>
          <w:color w:val="000000" w:themeColor="text1"/>
          <w:lang w:val="es-US"/>
        </w:rPr>
      </w:pPr>
    </w:p>
    <w:p w14:paraId="7D89EDC2" w14:textId="14FC897A" w:rsidR="005722A1" w:rsidRPr="005722A1" w:rsidRDefault="005722A1" w:rsidP="005A1ADF">
      <w:pPr>
        <w:pStyle w:val="Prrafodelista"/>
        <w:widowControl w:val="0"/>
        <w:numPr>
          <w:ilvl w:val="0"/>
          <w:numId w:val="11"/>
        </w:numPr>
        <w:autoSpaceDE w:val="0"/>
        <w:autoSpaceDN w:val="0"/>
        <w:spacing w:before="102" w:after="0" w:line="360" w:lineRule="auto"/>
        <w:jc w:val="both"/>
        <w:rPr>
          <w:rFonts w:ascii="Century Gothic" w:hAnsi="Century Gothic"/>
          <w:b/>
          <w:bCs/>
          <w:color w:val="025850"/>
          <w:lang w:val="es-US"/>
        </w:rPr>
      </w:pPr>
      <w:r w:rsidRPr="005722A1">
        <w:rPr>
          <w:rFonts w:ascii="Century Gothic" w:hAnsi="Century Gothic"/>
          <w:b/>
          <w:bCs/>
          <w:color w:val="025850"/>
          <w:lang w:val="es-US"/>
        </w:rPr>
        <w:t>Plan de Desarrollo Municipal (P</w:t>
      </w:r>
      <w:r w:rsidR="00C43EE2">
        <w:rPr>
          <w:rFonts w:ascii="Century Gothic" w:hAnsi="Century Gothic"/>
          <w:b/>
          <w:bCs/>
          <w:color w:val="025850"/>
          <w:lang w:val="es-US"/>
        </w:rPr>
        <w:t>DM</w:t>
      </w:r>
      <w:r w:rsidRPr="005722A1">
        <w:rPr>
          <w:rFonts w:ascii="Century Gothic" w:hAnsi="Century Gothic"/>
          <w:b/>
          <w:bCs/>
          <w:color w:val="025850"/>
          <w:lang w:val="es-US"/>
        </w:rPr>
        <w:t>)</w:t>
      </w:r>
    </w:p>
    <w:p w14:paraId="6FEF68ED" w14:textId="69CE639F" w:rsidR="005722A1" w:rsidRPr="005722A1" w:rsidRDefault="005722A1" w:rsidP="005722A1">
      <w:pPr>
        <w:spacing w:before="102" w:line="360" w:lineRule="auto"/>
        <w:ind w:firstLine="708"/>
        <w:jc w:val="both"/>
        <w:rPr>
          <w:rFonts w:ascii="Century Gothic" w:hAnsi="Century Gothic"/>
          <w:color w:val="000000" w:themeColor="text1"/>
          <w:lang w:val="es-US"/>
        </w:rPr>
      </w:pPr>
      <w:r w:rsidRPr="005722A1">
        <w:rPr>
          <w:rFonts w:ascii="Century Gothic" w:hAnsi="Century Gothic"/>
          <w:color w:val="000000" w:themeColor="text1"/>
          <w:lang w:val="es-US"/>
        </w:rPr>
        <w:t>El Plan de Desarrollo Municipal es el instrumento rector de la planificación de San Antonio la Isla. Establece los objetivos, estrategias y metas para el desarrollo de cada municipio en un período generalmente de 3 años. El PMD es elaborado por el Ayuntamiento Municipal y debe ser aprobado por el Cabildo.</w:t>
      </w:r>
    </w:p>
    <w:p w14:paraId="6556CE3D" w14:textId="6BDAE56A" w:rsidR="005722A1" w:rsidRPr="005722A1" w:rsidRDefault="005722A1" w:rsidP="005722A1">
      <w:p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Los PND, PDEM y P</w:t>
      </w:r>
      <w:r w:rsidR="00C43EE2">
        <w:rPr>
          <w:rFonts w:ascii="Century Gothic" w:hAnsi="Century Gothic"/>
          <w:color w:val="000000" w:themeColor="text1"/>
          <w:lang w:val="es-US"/>
        </w:rPr>
        <w:t>DM</w:t>
      </w:r>
      <w:r w:rsidRPr="005722A1">
        <w:rPr>
          <w:rFonts w:ascii="Century Gothic" w:hAnsi="Century Gothic"/>
          <w:color w:val="000000" w:themeColor="text1"/>
          <w:lang w:val="es-US"/>
        </w:rPr>
        <w:t xml:space="preserve"> tienen objetivos comunes:</w:t>
      </w:r>
    </w:p>
    <w:p w14:paraId="4E32EA1A" w14:textId="3C698223" w:rsidR="005722A1" w:rsidRPr="005722A1" w:rsidRDefault="005722A1" w:rsidP="005A1ADF">
      <w:pPr>
        <w:pStyle w:val="Prrafodelista"/>
        <w:numPr>
          <w:ilvl w:val="0"/>
          <w:numId w:val="12"/>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Mejorar la calidad de vida de los ciudadanos.</w:t>
      </w:r>
    </w:p>
    <w:p w14:paraId="124BCF86" w14:textId="2B5A4902" w:rsidR="005722A1" w:rsidRPr="005722A1" w:rsidRDefault="005722A1" w:rsidP="005A1ADF">
      <w:pPr>
        <w:pStyle w:val="Prrafodelista"/>
        <w:numPr>
          <w:ilvl w:val="0"/>
          <w:numId w:val="12"/>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Fomentar el desarrollo económico y social.</w:t>
      </w:r>
    </w:p>
    <w:p w14:paraId="016506A0" w14:textId="7C955DB9" w:rsidR="005722A1" w:rsidRPr="005722A1" w:rsidRDefault="005722A1" w:rsidP="005A1ADF">
      <w:pPr>
        <w:pStyle w:val="Prrafodelista"/>
        <w:numPr>
          <w:ilvl w:val="0"/>
          <w:numId w:val="12"/>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Reducir la pobreza y la desigualdad.</w:t>
      </w:r>
    </w:p>
    <w:p w14:paraId="1BBBCB6B" w14:textId="1F16C04C" w:rsidR="005722A1" w:rsidRPr="005722A1" w:rsidRDefault="005722A1" w:rsidP="005A1ADF">
      <w:pPr>
        <w:pStyle w:val="Prrafodelista"/>
        <w:numPr>
          <w:ilvl w:val="0"/>
          <w:numId w:val="12"/>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Proteger el medio ambiente y promover el desarrollo sostenible.</w:t>
      </w:r>
    </w:p>
    <w:p w14:paraId="1BF15DE9" w14:textId="1743B78F" w:rsidR="005722A1" w:rsidRPr="005722A1" w:rsidRDefault="005722A1" w:rsidP="005A1ADF">
      <w:pPr>
        <w:pStyle w:val="Prrafodelista"/>
        <w:numPr>
          <w:ilvl w:val="0"/>
          <w:numId w:val="12"/>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Fortalecer la gobernabilidad y la democracia.</w:t>
      </w:r>
    </w:p>
    <w:p w14:paraId="11D053F1" w14:textId="1137D017" w:rsidR="005722A1" w:rsidRPr="005722A1" w:rsidRDefault="005722A1" w:rsidP="005722A1">
      <w:p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La alineación de los PND, PDEM y PMD es fundamental para garantizar la coherencia y la eficacia en la planificación y ejecución de políticas, dado que la alineación permite:</w:t>
      </w:r>
    </w:p>
    <w:p w14:paraId="0030FDEA" w14:textId="1CE91C91" w:rsidR="005722A1" w:rsidRPr="005722A1" w:rsidRDefault="005722A1" w:rsidP="005A1ADF">
      <w:pPr>
        <w:pStyle w:val="Prrafodelista"/>
        <w:numPr>
          <w:ilvl w:val="0"/>
          <w:numId w:val="13"/>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Garantizar la coherencia en la planificación nacional, estatal y municipal.</w:t>
      </w:r>
    </w:p>
    <w:p w14:paraId="72899C0F" w14:textId="05F65B74" w:rsidR="005722A1" w:rsidRPr="005722A1" w:rsidRDefault="005722A1" w:rsidP="005A1ADF">
      <w:pPr>
        <w:pStyle w:val="Prrafodelista"/>
        <w:numPr>
          <w:ilvl w:val="0"/>
          <w:numId w:val="13"/>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Evitar la duplicidad de esfuerzos y recursos.</w:t>
      </w:r>
    </w:p>
    <w:p w14:paraId="2434EDCA" w14:textId="7BEDB501" w:rsidR="005722A1" w:rsidRPr="005722A1" w:rsidRDefault="005722A1" w:rsidP="005A1ADF">
      <w:pPr>
        <w:pStyle w:val="Prrafodelista"/>
        <w:numPr>
          <w:ilvl w:val="0"/>
          <w:numId w:val="13"/>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Maximizar el impacto de las políticas públicas.</w:t>
      </w:r>
    </w:p>
    <w:p w14:paraId="6FB48723" w14:textId="3ED06D3B" w:rsidR="005722A1" w:rsidRPr="007C27F6" w:rsidRDefault="005722A1" w:rsidP="007C27F6">
      <w:pPr>
        <w:pStyle w:val="Prrafodelista"/>
        <w:numPr>
          <w:ilvl w:val="0"/>
          <w:numId w:val="13"/>
        </w:numPr>
        <w:spacing w:before="102" w:line="360" w:lineRule="auto"/>
        <w:jc w:val="both"/>
        <w:rPr>
          <w:rFonts w:ascii="Century Gothic" w:hAnsi="Century Gothic"/>
          <w:color w:val="000000" w:themeColor="text1"/>
          <w:lang w:val="es-US"/>
        </w:rPr>
      </w:pPr>
      <w:r w:rsidRPr="005722A1">
        <w:rPr>
          <w:rFonts w:ascii="Century Gothic" w:hAnsi="Century Gothic"/>
          <w:color w:val="000000" w:themeColor="text1"/>
          <w:lang w:val="es-US"/>
        </w:rPr>
        <w:t>Mejorar la rendición de cuentas y la transparencia</w:t>
      </w:r>
    </w:p>
    <w:p w14:paraId="3B7523A7" w14:textId="77777777" w:rsidR="005722A1" w:rsidRPr="005722A1" w:rsidRDefault="005722A1" w:rsidP="005722A1">
      <w:pPr>
        <w:widowControl w:val="0"/>
        <w:autoSpaceDE w:val="0"/>
        <w:autoSpaceDN w:val="0"/>
        <w:spacing w:before="102" w:after="0" w:line="240" w:lineRule="auto"/>
        <w:jc w:val="both"/>
        <w:rPr>
          <w:rFonts w:ascii="Century Gothic" w:hAnsi="Century Gothic"/>
          <w:b/>
          <w:bCs/>
          <w:color w:val="025850"/>
        </w:rPr>
      </w:pPr>
      <w:r w:rsidRPr="005722A1">
        <w:rPr>
          <w:rFonts w:ascii="Century Gothic" w:hAnsi="Century Gothic"/>
          <w:b/>
          <w:bCs/>
          <w:color w:val="025850"/>
        </w:rPr>
        <w:lastRenderedPageBreak/>
        <w:t>Alineación del Plan de Desarrollo Municipal 2025-2027 con Agendas Internacionales</w:t>
      </w:r>
    </w:p>
    <w:p w14:paraId="7A8C8092" w14:textId="34F2A129"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color w:val="000000" w:themeColor="text1"/>
          <w:sz w:val="22"/>
          <w:szCs w:val="22"/>
          <w:lang w:val="es-US"/>
        </w:rPr>
        <w:t xml:space="preserve">La Agenda 2030 para el Desarrollo Sostenible, aprobada en septiembre de 2015 por la Asamblea General de las Naciones Unidas, establece una visión transformadora hacia la sostenibilidad económica, social y ambiental de los 193 Estados miembros de las Naciones Unidas que la suscribieron y es la guía de referencia para el trabajo de la comunidad internacional.  </w:t>
      </w:r>
    </w:p>
    <w:p w14:paraId="1551CC36" w14:textId="1377401D"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color w:val="000000" w:themeColor="text1"/>
          <w:sz w:val="22"/>
          <w:szCs w:val="22"/>
          <w:lang w:val="es-US"/>
        </w:rPr>
        <w:t>Es una agenda civilizatoria, que pone la dignidad y la igualdad de las personas en el centro y llama a cambiar nuestro estilo de desarrollo. Es un compromiso universal adquirido tanto por países desarrollados como en desarrollo, en el marco de una alianza mundial reforzada, que toma en cuenta los medios de implementación para realizar el cambio y la prevención de desastres por eventos naturales extremos, así como la mitigación y adaptación al cambio climático.</w:t>
      </w:r>
    </w:p>
    <w:p w14:paraId="5B5363E0" w14:textId="5B1D70A5"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color w:val="000000" w:themeColor="text1"/>
          <w:sz w:val="22"/>
          <w:szCs w:val="22"/>
          <w:lang w:val="es-US"/>
        </w:rPr>
        <w:t xml:space="preserve">La Agenda 2030 es el resultado del proceso de consultas más amplio y participativo de la historia de las Naciones Unidas y representa el consenso emergente multilateral entre gobiernos y actores diversos, como la </w:t>
      </w:r>
      <w:r w:rsidRPr="005722A1">
        <w:rPr>
          <w:rFonts w:ascii="Century Gothic" w:hAnsi="Century Gothic"/>
          <w:color w:val="000000" w:themeColor="text1"/>
          <w:sz w:val="22"/>
          <w:szCs w:val="22"/>
          <w:lang w:val="es-US"/>
        </w:rPr>
        <w:t>sociedad civil, el sector privado y la academia. Además, representa un consenso multilateral entre gobiernos y actores diversos, capaz de tornar compatibles las políticas nacionales a favor del empleo con derechos y el desarrollo con la expansión del comercio internacional y la prevención de conflictos y reconocen a las personas, la paz, la prosperidad compartida, al planeta y las alianzas como los principales rectores, compartidos y universales, en los que se debe basar una nueva batería de estrategias y políticas globales, regionales y nacionales, cuyo objetivo prioritario es caminar conjuntamente hacia una sociedad más igualitaria. La agenda plantea 17 objetivos con 169 metas de carácter integrado e indivisible que abarcan las esferas económica, social y ambiental.</w:t>
      </w:r>
    </w:p>
    <w:p w14:paraId="0086281B" w14:textId="60E347AA"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bookmarkStart w:id="1" w:name="_Hlk188542078"/>
      <w:r w:rsidRPr="005722A1">
        <w:rPr>
          <w:rFonts w:ascii="Century Gothic" w:hAnsi="Century Gothic"/>
          <w:color w:val="000000" w:themeColor="text1"/>
          <w:sz w:val="22"/>
          <w:szCs w:val="22"/>
          <w:lang w:val="es-US"/>
        </w:rPr>
        <w:t xml:space="preserve">Los Objetivos de Desarrollo Sostenible (ODS) son el corazón de la Agenda 2030 y muestran una mirada integral, indivisible y una colaboración internacional renovada. En conjunto, construyen una visión del futuro que queremos.  Gracias a su visión de largo plazo, constituyen un apoyo para transitar hacia un desarrollo sostenido, inclusivo y en armonía con el medio ambiente, </w:t>
      </w:r>
      <w:r w:rsidRPr="005722A1">
        <w:rPr>
          <w:rFonts w:ascii="Century Gothic" w:hAnsi="Century Gothic"/>
          <w:color w:val="000000" w:themeColor="text1"/>
          <w:sz w:val="22"/>
          <w:szCs w:val="22"/>
          <w:lang w:val="es-US"/>
        </w:rPr>
        <w:lastRenderedPageBreak/>
        <w:t>a través de políticas públicas e instrumentos de presupuesto, monitoreo y evaluación.</w:t>
      </w:r>
      <w:bookmarkEnd w:id="1"/>
    </w:p>
    <w:p w14:paraId="37A9E11C" w14:textId="76E9C6BE"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color w:val="000000" w:themeColor="text1"/>
          <w:sz w:val="22"/>
          <w:szCs w:val="22"/>
          <w:lang w:val="es-US"/>
        </w:rPr>
        <w:t>En ese sentido, Plan de Desarrollo Municipal de San Antonio la isla, se apegará totalmente al cumplimiento de los objetivos de la Agenda 2030, mediante sus cuatro Ejes del Cambio y tres Ejes Transversales. Cada objetivo, estrategia y línea de acción están alineadas con al menos un ODS, con el propósito de atender de manera integral los principales retos y desafíos que atraviesa nuestro municipio. Asimismo, los ODS presentan las siguientes peculiaridades:</w:t>
      </w:r>
    </w:p>
    <w:p w14:paraId="0B2DC27F" w14:textId="77777777"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b/>
          <w:bCs/>
          <w:color w:val="025850"/>
          <w:sz w:val="22"/>
          <w:szCs w:val="22"/>
          <w:lang w:val="es-US"/>
        </w:rPr>
        <w:t>Son universales</w:t>
      </w:r>
      <w:r w:rsidRPr="005722A1">
        <w:rPr>
          <w:rFonts w:ascii="Century Gothic" w:hAnsi="Century Gothic"/>
          <w:color w:val="000000" w:themeColor="text1"/>
          <w:sz w:val="22"/>
          <w:szCs w:val="22"/>
          <w:lang w:val="es-US"/>
        </w:rPr>
        <w:t>: Los ODS constituyen un marco de referencia verdaderamente universal y se aplicarán a todos los países. En la senda del desarrollo sostenible, todos los países tienen tareas pendientes y todos se enfrentan a retos tanto comunes como individuales en la consecución de las múltiples dimensiones del desarrollo sostenible resumidas en los ODS.</w:t>
      </w:r>
    </w:p>
    <w:p w14:paraId="15E90CAB" w14:textId="77777777" w:rsidR="007C62C8" w:rsidRDefault="007C62C8" w:rsidP="005722A1">
      <w:pPr>
        <w:spacing w:before="102" w:line="360" w:lineRule="auto"/>
        <w:ind w:firstLine="708"/>
        <w:jc w:val="both"/>
        <w:rPr>
          <w:rFonts w:ascii="Century Gothic" w:hAnsi="Century Gothic"/>
          <w:b/>
          <w:bCs/>
          <w:color w:val="025850"/>
          <w:sz w:val="22"/>
          <w:szCs w:val="22"/>
          <w:lang w:val="es-US"/>
        </w:rPr>
      </w:pPr>
    </w:p>
    <w:p w14:paraId="5F54E573" w14:textId="77777777" w:rsidR="007C62C8" w:rsidRDefault="007C62C8" w:rsidP="005722A1">
      <w:pPr>
        <w:spacing w:before="102" w:line="360" w:lineRule="auto"/>
        <w:ind w:firstLine="708"/>
        <w:jc w:val="both"/>
        <w:rPr>
          <w:rFonts w:ascii="Century Gothic" w:hAnsi="Century Gothic"/>
          <w:b/>
          <w:bCs/>
          <w:color w:val="025850"/>
          <w:sz w:val="22"/>
          <w:szCs w:val="22"/>
          <w:lang w:val="es-US"/>
        </w:rPr>
      </w:pPr>
    </w:p>
    <w:p w14:paraId="758B3503" w14:textId="56F3542D" w:rsidR="005722A1" w:rsidRPr="005722A1"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b/>
          <w:bCs/>
          <w:color w:val="025850"/>
          <w:sz w:val="22"/>
          <w:szCs w:val="22"/>
          <w:lang w:val="es-US"/>
        </w:rPr>
        <w:t>Son transformadores</w:t>
      </w:r>
      <w:r w:rsidRPr="005722A1">
        <w:rPr>
          <w:rFonts w:ascii="Century Gothic" w:hAnsi="Century Gothic"/>
          <w:color w:val="000000" w:themeColor="text1"/>
          <w:sz w:val="22"/>
          <w:szCs w:val="22"/>
          <w:lang w:val="es-US"/>
        </w:rPr>
        <w:t>: En su condición de programa para “la gente, el planeta, la prosperidad, la paz y las alianzas”, la Agenda 2030 ofrece un cambio de paradigma en relación con el modelo tradicional de desarrollo hacia un desarrollo sostenible que integra la dimensión económica, la social y la medioambiental. La Agenda 2030 proporciona una visión transformadora para un desarrollo sostenible centrado en las personas y el planeta, basado en los derechos humanos, y en la dignidad de las personas.</w:t>
      </w:r>
    </w:p>
    <w:p w14:paraId="2B1CF6C9" w14:textId="164FA987" w:rsidR="00C43EE2" w:rsidRDefault="005722A1" w:rsidP="005722A1">
      <w:pPr>
        <w:spacing w:before="102" w:line="360" w:lineRule="auto"/>
        <w:ind w:firstLine="708"/>
        <w:jc w:val="both"/>
        <w:rPr>
          <w:rFonts w:ascii="Century Gothic" w:hAnsi="Century Gothic"/>
          <w:color w:val="000000" w:themeColor="text1"/>
          <w:sz w:val="22"/>
          <w:szCs w:val="22"/>
          <w:lang w:val="es-US"/>
        </w:rPr>
      </w:pPr>
      <w:r w:rsidRPr="005722A1">
        <w:rPr>
          <w:rFonts w:ascii="Century Gothic" w:hAnsi="Century Gothic"/>
          <w:b/>
          <w:bCs/>
          <w:color w:val="025850"/>
          <w:sz w:val="22"/>
          <w:szCs w:val="22"/>
          <w:lang w:val="es-US"/>
        </w:rPr>
        <w:t>Son civilizatorios</w:t>
      </w:r>
      <w:r w:rsidRPr="005722A1">
        <w:rPr>
          <w:rFonts w:ascii="Century Gothic" w:hAnsi="Century Gothic"/>
          <w:color w:val="025850"/>
          <w:sz w:val="22"/>
          <w:szCs w:val="22"/>
          <w:lang w:val="es-US"/>
        </w:rPr>
        <w:t xml:space="preserve">: </w:t>
      </w:r>
      <w:r w:rsidRPr="005722A1">
        <w:rPr>
          <w:rFonts w:ascii="Century Gothic" w:hAnsi="Century Gothic"/>
          <w:color w:val="000000" w:themeColor="text1"/>
          <w:sz w:val="22"/>
          <w:szCs w:val="22"/>
          <w:lang w:val="es-US"/>
        </w:rPr>
        <w:t>La Agenda 2030 trata de que nadie quede rezagado y contempla “un mundo de respeto universal hacia la igualdad y la no discriminación” entre los países y en el interior de estos, incluso en lo tocante a la igualdad, mediante la confirmación de la responsabilidad de todos los Estados de “respetar, proteger y promover los derechos humanos, sin distinción alguna de raza, color, sexo, idioma, religión, opinión política o de otro tipo, origen nacional o social, propiedad, nacimiento, en situación de discapacidad o cualquier otra condición.”</w:t>
      </w:r>
    </w:p>
    <w:p w14:paraId="09274EE0" w14:textId="77777777" w:rsidR="00C43EE2" w:rsidRDefault="00C43EE2">
      <w:pPr>
        <w:rPr>
          <w:rFonts w:ascii="Century Gothic" w:hAnsi="Century Gothic"/>
          <w:color w:val="000000" w:themeColor="text1"/>
          <w:sz w:val="22"/>
          <w:szCs w:val="22"/>
          <w:lang w:val="es-US"/>
        </w:rPr>
      </w:pPr>
      <w:r>
        <w:rPr>
          <w:rFonts w:ascii="Century Gothic" w:hAnsi="Century Gothic"/>
          <w:color w:val="000000" w:themeColor="text1"/>
          <w:sz w:val="22"/>
          <w:szCs w:val="22"/>
          <w:lang w:val="es-US"/>
        </w:rPr>
        <w:br w:type="page"/>
      </w:r>
    </w:p>
    <w:p w14:paraId="1598CDBD" w14:textId="77777777" w:rsidR="00557C34" w:rsidRDefault="00557C34" w:rsidP="005722A1">
      <w:pPr>
        <w:spacing w:before="102" w:line="360" w:lineRule="auto"/>
        <w:ind w:firstLine="708"/>
        <w:jc w:val="both"/>
        <w:rPr>
          <w:rFonts w:ascii="Century Gothic" w:hAnsi="Century Gothic"/>
          <w:color w:val="000000" w:themeColor="text1"/>
          <w:sz w:val="22"/>
          <w:szCs w:val="22"/>
          <w:lang w:val="es-US"/>
        </w:rPr>
        <w:sectPr w:rsidR="00557C34" w:rsidSect="00150CE2">
          <w:headerReference w:type="default" r:id="rId9"/>
          <w:pgSz w:w="15840" w:h="12240" w:orient="landscape"/>
          <w:pgMar w:top="1440" w:right="1440" w:bottom="1440" w:left="1440" w:header="708" w:footer="708" w:gutter="0"/>
          <w:cols w:num="2" w:space="708"/>
          <w:docGrid w:linePitch="360"/>
        </w:sectPr>
      </w:pPr>
    </w:p>
    <w:p w14:paraId="5EBD115B" w14:textId="3517284F" w:rsidR="00647A25" w:rsidRDefault="00647A25" w:rsidP="005722A1">
      <w:pPr>
        <w:spacing w:before="102" w:line="360" w:lineRule="auto"/>
        <w:ind w:firstLine="708"/>
        <w:jc w:val="both"/>
        <w:rPr>
          <w:rFonts w:ascii="Century Gothic" w:hAnsi="Century Gothic"/>
          <w:color w:val="000000" w:themeColor="text1"/>
          <w:sz w:val="22"/>
          <w:szCs w:val="22"/>
          <w:lang w:val="es-US"/>
        </w:rPr>
      </w:pPr>
    </w:p>
    <w:tbl>
      <w:tblPr>
        <w:tblStyle w:val="Tablaconcuadrcula4-nfasis2"/>
        <w:tblpPr w:leftFromText="141" w:rightFromText="141" w:vertAnchor="text" w:horzAnchor="margin" w:tblpY="407"/>
        <w:tblW w:w="0" w:type="auto"/>
        <w:tblLook w:val="04A0" w:firstRow="1" w:lastRow="0" w:firstColumn="1" w:lastColumn="0" w:noHBand="0" w:noVBand="1"/>
      </w:tblPr>
      <w:tblGrid>
        <w:gridCol w:w="4388"/>
        <w:gridCol w:w="4281"/>
        <w:gridCol w:w="4281"/>
      </w:tblGrid>
      <w:tr w:rsidR="00557C34" w:rsidRPr="00557C34" w14:paraId="0014F307" w14:textId="77777777" w:rsidTr="00557C34">
        <w:trPr>
          <w:cnfStyle w:val="100000000000" w:firstRow="1" w:lastRow="0" w:firstColumn="0" w:lastColumn="0" w:oddVBand="0" w:evenVBand="0" w:oddHBand="0"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0" w:type="auto"/>
            <w:gridSpan w:val="3"/>
            <w:noWrap/>
            <w:hideMark/>
          </w:tcPr>
          <w:p w14:paraId="7AF73345" w14:textId="77777777" w:rsidR="00557C34" w:rsidRPr="00557C34" w:rsidRDefault="00557C34" w:rsidP="00557C34">
            <w:pPr>
              <w:jc w:val="center"/>
              <w:rPr>
                <w:rFonts w:ascii="Century Gothic" w:eastAsia="Times New Roman" w:hAnsi="Century Gothic" w:cs="Tahoma"/>
                <w:b w:val="0"/>
                <w:bCs w:val="0"/>
                <w:lang w:eastAsia="es-MX"/>
              </w:rPr>
            </w:pPr>
          </w:p>
          <w:p w14:paraId="7876C949" w14:textId="77777777" w:rsidR="00557C34" w:rsidRPr="00557C34" w:rsidRDefault="00557C34" w:rsidP="00557C34">
            <w:pPr>
              <w:jc w:val="center"/>
              <w:rPr>
                <w:rFonts w:ascii="Century Gothic" w:eastAsia="Times New Roman" w:hAnsi="Century Gothic" w:cs="Tahoma"/>
                <w:lang w:eastAsia="es-MX"/>
              </w:rPr>
            </w:pPr>
            <w:r w:rsidRPr="00557C34">
              <w:rPr>
                <w:rFonts w:ascii="Century Gothic" w:eastAsia="Times New Roman" w:hAnsi="Century Gothic" w:cs="Tahoma"/>
                <w:color w:val="auto"/>
                <w:sz w:val="28"/>
                <w:szCs w:val="28"/>
                <w:lang w:eastAsia="es-MX"/>
              </w:rPr>
              <w:t>Alineación de los Planes de Desarrollo Nacional, Estatal y Municipal</w:t>
            </w:r>
          </w:p>
        </w:tc>
      </w:tr>
      <w:tr w:rsidR="00557C34" w:rsidRPr="00557C34" w14:paraId="22A7891E" w14:textId="77777777" w:rsidTr="00557C3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3EBC109C" w14:textId="77777777" w:rsidR="00557C34" w:rsidRPr="00557C34" w:rsidRDefault="00557C34" w:rsidP="00557C34">
            <w:pPr>
              <w:jc w:val="center"/>
              <w:rPr>
                <w:rFonts w:ascii="Century Gothic" w:eastAsia="Times New Roman" w:hAnsi="Century Gothic" w:cs="Tahoma"/>
                <w:lang w:eastAsia="es-MX"/>
              </w:rPr>
            </w:pPr>
            <w:r w:rsidRPr="00557C34">
              <w:rPr>
                <w:rFonts w:ascii="Century Gothic" w:eastAsia="Times New Roman" w:hAnsi="Century Gothic" w:cs="Tahoma"/>
                <w:lang w:eastAsia="es-MX"/>
              </w:rPr>
              <w:t>PND</w:t>
            </w:r>
          </w:p>
        </w:tc>
        <w:tc>
          <w:tcPr>
            <w:tcW w:w="0" w:type="auto"/>
            <w:noWrap/>
            <w:hideMark/>
          </w:tcPr>
          <w:p w14:paraId="4FD60BEF" w14:textId="77777777" w:rsidR="00557C34" w:rsidRPr="00557C34" w:rsidRDefault="00557C34" w:rsidP="00557C3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b/>
                <w:bCs/>
                <w:lang w:eastAsia="es-MX"/>
              </w:rPr>
            </w:pPr>
            <w:r w:rsidRPr="00557C34">
              <w:rPr>
                <w:rFonts w:ascii="Century Gothic" w:eastAsia="Times New Roman" w:hAnsi="Century Gothic" w:cs="Tahoma"/>
                <w:b/>
                <w:bCs/>
                <w:lang w:eastAsia="es-MX"/>
              </w:rPr>
              <w:t>PDEM</w:t>
            </w:r>
          </w:p>
        </w:tc>
        <w:tc>
          <w:tcPr>
            <w:tcW w:w="0" w:type="auto"/>
            <w:noWrap/>
            <w:hideMark/>
          </w:tcPr>
          <w:p w14:paraId="6194C071" w14:textId="77777777" w:rsidR="00557C34" w:rsidRPr="00557C34" w:rsidRDefault="00557C34" w:rsidP="00557C34">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b/>
                <w:bCs/>
                <w:lang w:eastAsia="es-MX"/>
              </w:rPr>
            </w:pPr>
            <w:r w:rsidRPr="00557C34">
              <w:rPr>
                <w:rFonts w:ascii="Century Gothic" w:eastAsia="Times New Roman" w:hAnsi="Century Gothic" w:cs="Tahoma"/>
                <w:b/>
                <w:bCs/>
                <w:lang w:eastAsia="es-MX"/>
              </w:rPr>
              <w:t>PDM</w:t>
            </w:r>
          </w:p>
        </w:tc>
      </w:tr>
      <w:tr w:rsidR="00557C34" w:rsidRPr="00557C34" w14:paraId="559152F2" w14:textId="77777777" w:rsidTr="00557C34">
        <w:trPr>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1044041D"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Política y gobierno</w:t>
            </w:r>
          </w:p>
        </w:tc>
        <w:tc>
          <w:tcPr>
            <w:tcW w:w="0" w:type="auto"/>
            <w:noWrap/>
            <w:hideMark/>
          </w:tcPr>
          <w:p w14:paraId="1C5E9990"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Cero corrupción y gobierno del pueblo y para el pueblo </w:t>
            </w:r>
          </w:p>
        </w:tc>
        <w:tc>
          <w:tcPr>
            <w:tcW w:w="0" w:type="auto"/>
            <w:noWrap/>
            <w:hideMark/>
          </w:tcPr>
          <w:p w14:paraId="7435F8A9"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Cero corrupción y gobierno del pueblo y para el pueblo </w:t>
            </w:r>
          </w:p>
        </w:tc>
      </w:tr>
      <w:tr w:rsidR="00557C34" w:rsidRPr="00557C34" w14:paraId="17DB8DB1" w14:textId="77777777" w:rsidTr="00557C3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4327E8F4"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 xml:space="preserve">Política social desarrollo sostenible </w:t>
            </w:r>
          </w:p>
        </w:tc>
        <w:tc>
          <w:tcPr>
            <w:tcW w:w="0" w:type="auto"/>
            <w:noWrap/>
            <w:hideMark/>
          </w:tcPr>
          <w:p w14:paraId="6D20A6B7" w14:textId="77777777" w:rsidR="00557C34" w:rsidRPr="00557C34" w:rsidRDefault="00557C34" w:rsidP="00557C3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Bienestar ambiental y acceso universal al agua </w:t>
            </w:r>
          </w:p>
        </w:tc>
        <w:tc>
          <w:tcPr>
            <w:tcW w:w="0" w:type="auto"/>
            <w:noWrap/>
            <w:hideMark/>
          </w:tcPr>
          <w:p w14:paraId="18A89EAA" w14:textId="77777777" w:rsidR="00557C34" w:rsidRPr="00557C34" w:rsidRDefault="00557C34" w:rsidP="00557C3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Bienestar ambiental y acceso universal al agua </w:t>
            </w:r>
          </w:p>
        </w:tc>
      </w:tr>
      <w:tr w:rsidR="00557C34" w:rsidRPr="00557C34" w14:paraId="2DD66561" w14:textId="77777777" w:rsidTr="00557C34">
        <w:trPr>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5CD7800A"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 xml:space="preserve">Economía </w:t>
            </w:r>
          </w:p>
        </w:tc>
        <w:tc>
          <w:tcPr>
            <w:tcW w:w="0" w:type="auto"/>
            <w:noWrap/>
            <w:hideMark/>
          </w:tcPr>
          <w:p w14:paraId="5257D713"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Empleo digno y desarrollo económico </w:t>
            </w:r>
          </w:p>
        </w:tc>
        <w:tc>
          <w:tcPr>
            <w:tcW w:w="0" w:type="auto"/>
            <w:noWrap/>
            <w:hideMark/>
          </w:tcPr>
          <w:p w14:paraId="0EE2CCC5"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Empleo digno y desarrollo económico </w:t>
            </w:r>
          </w:p>
        </w:tc>
      </w:tr>
      <w:tr w:rsidR="00557C34" w:rsidRPr="00557C34" w14:paraId="1C5E901F" w14:textId="77777777" w:rsidTr="00557C3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14FBFC7A"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 xml:space="preserve">Política social </w:t>
            </w:r>
          </w:p>
        </w:tc>
        <w:tc>
          <w:tcPr>
            <w:tcW w:w="0" w:type="auto"/>
            <w:noWrap/>
            <w:hideMark/>
          </w:tcPr>
          <w:p w14:paraId="22119DAD" w14:textId="77777777" w:rsidR="00557C34" w:rsidRPr="00557C34" w:rsidRDefault="00557C34" w:rsidP="00557C3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Bienestar social </w:t>
            </w:r>
          </w:p>
        </w:tc>
        <w:tc>
          <w:tcPr>
            <w:tcW w:w="0" w:type="auto"/>
            <w:noWrap/>
            <w:hideMark/>
          </w:tcPr>
          <w:p w14:paraId="18DAC905" w14:textId="77777777" w:rsidR="00557C34" w:rsidRPr="00557C34" w:rsidRDefault="00557C34" w:rsidP="00557C3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Bienestar social </w:t>
            </w:r>
          </w:p>
        </w:tc>
      </w:tr>
      <w:tr w:rsidR="00557C34" w:rsidRPr="00557C34" w14:paraId="3E891824" w14:textId="77777777" w:rsidTr="00557C34">
        <w:trPr>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72CBBDCA"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Política y gobierno (Libertad e igualdad)</w:t>
            </w:r>
          </w:p>
        </w:tc>
        <w:tc>
          <w:tcPr>
            <w:tcW w:w="0" w:type="auto"/>
            <w:noWrap/>
            <w:hideMark/>
          </w:tcPr>
          <w:p w14:paraId="0D3CE7FF"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Igualdad de genero </w:t>
            </w:r>
          </w:p>
        </w:tc>
        <w:tc>
          <w:tcPr>
            <w:tcW w:w="0" w:type="auto"/>
            <w:noWrap/>
            <w:hideMark/>
          </w:tcPr>
          <w:p w14:paraId="749CCD9E"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Igualdad de genero </w:t>
            </w:r>
          </w:p>
        </w:tc>
      </w:tr>
      <w:tr w:rsidR="00557C34" w:rsidRPr="00557C34" w14:paraId="746B0A9C" w14:textId="77777777" w:rsidTr="00557C34">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2C6FECBA"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Política y gobierno (Cambio de paradigma en seguridad)</w:t>
            </w:r>
          </w:p>
        </w:tc>
        <w:tc>
          <w:tcPr>
            <w:tcW w:w="0" w:type="auto"/>
            <w:noWrap/>
          </w:tcPr>
          <w:p w14:paraId="5CD978A1" w14:textId="77777777" w:rsidR="00557C34" w:rsidRPr="00557C34" w:rsidRDefault="00557C34" w:rsidP="00557C3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Construcción de la paz y seguridad </w:t>
            </w:r>
          </w:p>
        </w:tc>
        <w:tc>
          <w:tcPr>
            <w:tcW w:w="0" w:type="auto"/>
            <w:noWrap/>
          </w:tcPr>
          <w:p w14:paraId="1DF5A942" w14:textId="77777777" w:rsidR="00557C34" w:rsidRPr="00557C34" w:rsidRDefault="00557C34" w:rsidP="00557C34">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 xml:space="preserve">Construcción de la paz y seguridad </w:t>
            </w:r>
          </w:p>
        </w:tc>
      </w:tr>
      <w:tr w:rsidR="00557C34" w:rsidRPr="00557C34" w14:paraId="32C48008" w14:textId="77777777" w:rsidTr="00557C34">
        <w:trPr>
          <w:trHeight w:val="273"/>
        </w:trPr>
        <w:tc>
          <w:tcPr>
            <w:cnfStyle w:val="001000000000" w:firstRow="0" w:lastRow="0" w:firstColumn="1" w:lastColumn="0" w:oddVBand="0" w:evenVBand="0" w:oddHBand="0" w:evenHBand="0" w:firstRowFirstColumn="0" w:firstRowLastColumn="0" w:lastRowFirstColumn="0" w:lastRowLastColumn="0"/>
            <w:tcW w:w="0" w:type="auto"/>
            <w:noWrap/>
            <w:hideMark/>
          </w:tcPr>
          <w:p w14:paraId="4983075F" w14:textId="77777777" w:rsidR="00557C34" w:rsidRPr="00557C34" w:rsidRDefault="00557C34" w:rsidP="00557C34">
            <w:pPr>
              <w:jc w:val="both"/>
              <w:rPr>
                <w:rFonts w:ascii="Century Gothic" w:eastAsia="Times New Roman" w:hAnsi="Century Gothic" w:cs="Tahoma"/>
                <w:b w:val="0"/>
                <w:bCs w:val="0"/>
                <w:color w:val="000000"/>
                <w:lang w:eastAsia="es-MX"/>
              </w:rPr>
            </w:pPr>
            <w:r w:rsidRPr="00557C34">
              <w:rPr>
                <w:rFonts w:ascii="Century Gothic" w:eastAsia="Times New Roman" w:hAnsi="Century Gothic" w:cs="Tahoma"/>
                <w:b w:val="0"/>
                <w:bCs w:val="0"/>
                <w:color w:val="000000"/>
                <w:lang w:eastAsia="es-MX"/>
              </w:rPr>
              <w:t>Política social (Desarrollo sostenible)</w:t>
            </w:r>
          </w:p>
        </w:tc>
        <w:tc>
          <w:tcPr>
            <w:tcW w:w="0" w:type="auto"/>
            <w:noWrap/>
            <w:hideMark/>
          </w:tcPr>
          <w:p w14:paraId="42BE955D"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Cumplimiento de los ODS</w:t>
            </w:r>
          </w:p>
        </w:tc>
        <w:tc>
          <w:tcPr>
            <w:tcW w:w="0" w:type="auto"/>
            <w:noWrap/>
            <w:hideMark/>
          </w:tcPr>
          <w:p w14:paraId="2474E010" w14:textId="77777777" w:rsidR="00557C34" w:rsidRPr="00557C34" w:rsidRDefault="00557C34" w:rsidP="00557C34">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lang w:eastAsia="es-MX"/>
              </w:rPr>
            </w:pPr>
            <w:r w:rsidRPr="00557C34">
              <w:rPr>
                <w:rFonts w:ascii="Century Gothic" w:eastAsia="Times New Roman" w:hAnsi="Century Gothic" w:cs="Tahoma"/>
                <w:color w:val="000000"/>
                <w:lang w:eastAsia="es-MX"/>
              </w:rPr>
              <w:t>Cumplimiento de los ODS</w:t>
            </w:r>
          </w:p>
        </w:tc>
      </w:tr>
    </w:tbl>
    <w:p w14:paraId="54722BA6" w14:textId="3B016E0D" w:rsidR="00557C34" w:rsidRDefault="00557C34" w:rsidP="005722A1">
      <w:pPr>
        <w:spacing w:before="102" w:line="360" w:lineRule="auto"/>
        <w:ind w:firstLine="708"/>
        <w:jc w:val="both"/>
        <w:rPr>
          <w:rFonts w:ascii="Century Gothic" w:hAnsi="Century Gothic"/>
          <w:color w:val="000000" w:themeColor="text1"/>
          <w:sz w:val="22"/>
          <w:szCs w:val="22"/>
          <w:lang w:val="es-US"/>
        </w:rPr>
      </w:pPr>
    </w:p>
    <w:p w14:paraId="40E7AE08" w14:textId="144938D2" w:rsidR="00557C34" w:rsidRPr="00557C34" w:rsidRDefault="00557C34" w:rsidP="005722A1">
      <w:pPr>
        <w:spacing w:before="102" w:line="360" w:lineRule="auto"/>
        <w:ind w:firstLine="708"/>
        <w:jc w:val="both"/>
        <w:rPr>
          <w:rFonts w:ascii="Century Gothic" w:hAnsi="Century Gothic"/>
          <w:color w:val="000000" w:themeColor="text1"/>
          <w:sz w:val="20"/>
          <w:szCs w:val="20"/>
          <w:lang w:val="es-US"/>
        </w:rPr>
      </w:pPr>
      <w:r w:rsidRPr="00557C34">
        <w:rPr>
          <w:rFonts w:ascii="Century Gothic" w:hAnsi="Century Gothic"/>
          <w:color w:val="000000" w:themeColor="text1"/>
          <w:sz w:val="20"/>
          <w:szCs w:val="20"/>
          <w:lang w:val="es-US"/>
        </w:rPr>
        <w:t>Fuente: Elaboración Propia</w:t>
      </w:r>
    </w:p>
    <w:p w14:paraId="588349E5" w14:textId="581595E5" w:rsidR="00557C34" w:rsidRDefault="00557C34">
      <w:pPr>
        <w:rPr>
          <w:rFonts w:ascii="Century Gothic" w:hAnsi="Century Gothic"/>
          <w:color w:val="000000" w:themeColor="text1"/>
          <w:sz w:val="22"/>
          <w:szCs w:val="22"/>
          <w:lang w:val="es-US"/>
        </w:rPr>
      </w:pPr>
      <w:r>
        <w:rPr>
          <w:rFonts w:ascii="Century Gothic" w:hAnsi="Century Gothic"/>
          <w:color w:val="000000" w:themeColor="text1"/>
          <w:sz w:val="22"/>
          <w:szCs w:val="22"/>
          <w:lang w:val="es-US"/>
        </w:rPr>
        <w:br w:type="page"/>
      </w:r>
    </w:p>
    <w:p w14:paraId="4639BF7F" w14:textId="77777777" w:rsidR="00557C34" w:rsidRDefault="00557C34" w:rsidP="005722A1">
      <w:pPr>
        <w:spacing w:before="102" w:line="360" w:lineRule="auto"/>
        <w:ind w:firstLine="708"/>
        <w:jc w:val="both"/>
        <w:rPr>
          <w:rFonts w:ascii="Century Gothic" w:hAnsi="Century Gothic"/>
          <w:color w:val="000000" w:themeColor="text1"/>
          <w:sz w:val="22"/>
          <w:szCs w:val="22"/>
          <w:lang w:val="es-US"/>
        </w:rPr>
        <w:sectPr w:rsidR="00557C34" w:rsidSect="00557C34">
          <w:pgSz w:w="15840" w:h="12240" w:orient="landscape"/>
          <w:pgMar w:top="1440" w:right="1440" w:bottom="1440" w:left="1440" w:header="709" w:footer="709" w:gutter="0"/>
          <w:cols w:space="708"/>
          <w:docGrid w:linePitch="360"/>
        </w:sectPr>
      </w:pPr>
    </w:p>
    <w:p w14:paraId="010AA7CF" w14:textId="77777777" w:rsidR="00557C34" w:rsidRPr="00E019D1" w:rsidRDefault="00557C34" w:rsidP="00557C34">
      <w:pPr>
        <w:widowControl w:val="0"/>
        <w:autoSpaceDE w:val="0"/>
        <w:autoSpaceDN w:val="0"/>
        <w:spacing w:before="102" w:after="0" w:line="240" w:lineRule="auto"/>
        <w:jc w:val="both"/>
        <w:rPr>
          <w:rFonts w:ascii="Century Gothic" w:hAnsi="Century Gothic"/>
          <w:b/>
          <w:bCs/>
          <w:color w:val="025850"/>
        </w:rPr>
      </w:pPr>
      <w:r w:rsidRPr="00E019D1">
        <w:rPr>
          <w:rFonts w:ascii="Century Gothic" w:hAnsi="Century Gothic"/>
          <w:b/>
          <w:bCs/>
          <w:color w:val="025850"/>
        </w:rPr>
        <w:lastRenderedPageBreak/>
        <w:t>Alineación del Plan de Desarrollo Municipal 2025-2027 con Agendas Internacionales</w:t>
      </w:r>
    </w:p>
    <w:p w14:paraId="48D7C773" w14:textId="39D72653" w:rsidR="00557C34" w:rsidRPr="00E019D1" w:rsidRDefault="00557C34" w:rsidP="00E019D1">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color w:val="000000" w:themeColor="text1"/>
          <w:sz w:val="22"/>
          <w:szCs w:val="22"/>
          <w:lang w:val="es-US"/>
        </w:rPr>
        <w:t xml:space="preserve">La Agenda 2030 para el Desarrollo Sostenible, aprobada en septiembre de 2015 por la Asamblea General de las Naciones Unidas, establece una visión transformadora hacia la sostenibilidad económica, social y ambiental de los 193 Estados miembros de las Naciones Unidas que la suscribieron y es la guía de referencia para el trabajo de la comunidad internacional.  </w:t>
      </w:r>
    </w:p>
    <w:p w14:paraId="669A2725" w14:textId="4BE622F7" w:rsidR="00557C34" w:rsidRPr="00E019D1" w:rsidRDefault="00557C34" w:rsidP="00E019D1">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color w:val="000000" w:themeColor="text1"/>
          <w:sz w:val="22"/>
          <w:szCs w:val="22"/>
          <w:lang w:val="es-US"/>
        </w:rPr>
        <w:t>Es una agenda civilizatoria, que pone la dignidad y la igualdad de las personas en el centro y llama a cambiar nuestro estilo de desarrollo. Es un compromiso universal adquirido tanto por países desarrollados como en desarrollo, en el marco de una alianza mundial reforzada, que toma en cuenta los medios de implementación para realizar el cambio y la prevención de desastres por eventos naturales extremos, así como la mitigación y adaptación al cambio climático.</w:t>
      </w:r>
    </w:p>
    <w:p w14:paraId="23418433" w14:textId="0DE601F7" w:rsidR="00557C34" w:rsidRPr="00E019D1" w:rsidRDefault="00557C34" w:rsidP="00E019D1">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color w:val="000000" w:themeColor="text1"/>
          <w:sz w:val="22"/>
          <w:szCs w:val="22"/>
          <w:lang w:val="es-US"/>
        </w:rPr>
        <w:t xml:space="preserve">La Agenda 2030 es el resultado del proceso de consultas más amplio y participativo de la historia de las Naciones Unidas y representa el consenso emergente multilateral entre gobiernos y actores diversos, como la </w:t>
      </w:r>
      <w:r w:rsidRPr="00E019D1">
        <w:rPr>
          <w:rFonts w:ascii="Century Gothic" w:hAnsi="Century Gothic"/>
          <w:color w:val="000000" w:themeColor="text1"/>
          <w:sz w:val="22"/>
          <w:szCs w:val="22"/>
          <w:lang w:val="es-US"/>
        </w:rPr>
        <w:t>sociedad civil, el sector privado y la academia. Además, representa un consenso multilateral entre gobiernos y actores diversos, capaz de tornar compatibles las políticas nacionales a favor del empleo con derechos y el desarrollo con la expansión del comercio internacional y la prevención de conflictos y reconocen a las personas, la paz, la prosperidad compartida, al planeta y las alianzas como los principales rectores, compartidos y universales, en los que se debe basar una nueva batería de estrategias y políticas globales, regionales y nacionales, cuyo objetivo prioritario es caminar conjuntamente hacia una sociedad más igualitaria. La agenda plantea 17 objetivos con 169 metas de carácter integrado e indivisible que abarcan las esferas económica, social y ambiental.</w:t>
      </w:r>
    </w:p>
    <w:p w14:paraId="0322C8F9" w14:textId="56D84D73" w:rsidR="00557C34" w:rsidRPr="00E019D1" w:rsidRDefault="00557C34" w:rsidP="00E019D1">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color w:val="000000" w:themeColor="text1"/>
          <w:sz w:val="22"/>
          <w:szCs w:val="22"/>
          <w:lang w:val="es-US"/>
        </w:rPr>
        <w:t xml:space="preserve">Los Objetivos de Desarrollo Sostenible (ODS) son el corazón de la Agenda 2030 y muestran una mirada integral, indivisible y una colaboración internacional renovada. En conjunto, construyen una visión del futuro que queremos.  Gracias a su visión de largo plazo, constituyen un apoyo para transitar hacia un desarrollo sostenido, inclusivo y en armonía con el medio ambiente, </w:t>
      </w:r>
      <w:r w:rsidRPr="00E019D1">
        <w:rPr>
          <w:rFonts w:ascii="Century Gothic" w:hAnsi="Century Gothic"/>
          <w:color w:val="000000" w:themeColor="text1"/>
          <w:sz w:val="22"/>
          <w:szCs w:val="22"/>
          <w:lang w:val="es-US"/>
        </w:rPr>
        <w:lastRenderedPageBreak/>
        <w:t>a través de políticas públicas e instrumentos de presupuesto, monitoreo y evaluación.</w:t>
      </w:r>
    </w:p>
    <w:p w14:paraId="4603D325" w14:textId="432007F3" w:rsidR="00557C34" w:rsidRPr="00E019D1" w:rsidRDefault="00557C34" w:rsidP="00E019D1">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color w:val="000000" w:themeColor="text1"/>
          <w:sz w:val="22"/>
          <w:szCs w:val="22"/>
          <w:lang w:val="es-US"/>
        </w:rPr>
        <w:t>En ese sentido, Plan de Desarrollo Municipal de San Antonio la isla, se apegará totalmente al cumplimiento de los objetivos de la Agenda 2030, mediante sus cuatro Ejes del Cambio y tres Ejes Transversales. Cada objetivo, estrategia y línea de acción están alineadas con al menos un ODS, con el propósito de atender de manera integral los principales retos y desafíos que atraviesa nuestro municipio. Asimismo, los ODS presentan las siguientes peculiaridades:</w:t>
      </w:r>
    </w:p>
    <w:p w14:paraId="1BC7FF65" w14:textId="77777777" w:rsidR="00557C34" w:rsidRPr="00E019D1" w:rsidRDefault="00557C34" w:rsidP="00557C34">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b/>
          <w:bCs/>
          <w:color w:val="000000" w:themeColor="text1"/>
          <w:sz w:val="22"/>
          <w:szCs w:val="22"/>
          <w:lang w:val="es-US"/>
        </w:rPr>
        <w:t>Son universales</w:t>
      </w:r>
      <w:r w:rsidRPr="00E019D1">
        <w:rPr>
          <w:rFonts w:ascii="Century Gothic" w:hAnsi="Century Gothic"/>
          <w:color w:val="000000" w:themeColor="text1"/>
          <w:sz w:val="22"/>
          <w:szCs w:val="22"/>
          <w:lang w:val="es-US"/>
        </w:rPr>
        <w:t>: Los ODS constituyen un marco de referencia verdaderamente universal y se aplicarán a todos los países. En la senda del desarrollo sostenible, todos los países tienen tareas pendientes y todos se enfrentan a retos tanto comunes como individuales en la consecución de las múltiples dimensiones del desarrollo sostenible resumidas en los ODS.</w:t>
      </w:r>
    </w:p>
    <w:p w14:paraId="629D8E12" w14:textId="77777777" w:rsidR="00557C34" w:rsidRPr="00E019D1" w:rsidRDefault="00557C34" w:rsidP="00557C34">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b/>
          <w:bCs/>
          <w:color w:val="000000" w:themeColor="text1"/>
          <w:sz w:val="22"/>
          <w:szCs w:val="22"/>
          <w:lang w:val="es-US"/>
        </w:rPr>
        <w:t>Son transformadores</w:t>
      </w:r>
      <w:r w:rsidRPr="00E019D1">
        <w:rPr>
          <w:rFonts w:ascii="Century Gothic" w:hAnsi="Century Gothic"/>
          <w:color w:val="000000" w:themeColor="text1"/>
          <w:sz w:val="22"/>
          <w:szCs w:val="22"/>
          <w:lang w:val="es-US"/>
        </w:rPr>
        <w:t xml:space="preserve">: En su condición de programa para “la gente, el planeta, la prosperidad, la paz y las alianzas”, la Agenda 2030 ofrece un cambio de </w:t>
      </w:r>
      <w:r w:rsidRPr="00E019D1">
        <w:rPr>
          <w:rFonts w:ascii="Century Gothic" w:hAnsi="Century Gothic"/>
          <w:color w:val="000000" w:themeColor="text1"/>
          <w:sz w:val="22"/>
          <w:szCs w:val="22"/>
          <w:lang w:val="es-US"/>
        </w:rPr>
        <w:t>paradigma en relación con el modelo tradicional de desarrollo hacia un desarrollo sostenible que integra la dimensión económica, la social y la medioambiental. La Agenda 2030 proporciona una visión transformadora para un desarrollo sostenible centrado en las personas y el planeta, basado en los derechos humanos, y en la dignidad de las personas.</w:t>
      </w:r>
    </w:p>
    <w:p w14:paraId="51603436" w14:textId="4A2A7A37" w:rsidR="00E019D1" w:rsidRDefault="00557C34" w:rsidP="00557C34">
      <w:pPr>
        <w:spacing w:before="102" w:line="360" w:lineRule="auto"/>
        <w:ind w:firstLine="708"/>
        <w:jc w:val="both"/>
        <w:rPr>
          <w:rFonts w:ascii="Century Gothic" w:hAnsi="Century Gothic"/>
          <w:color w:val="000000" w:themeColor="text1"/>
          <w:sz w:val="22"/>
          <w:szCs w:val="22"/>
          <w:lang w:val="es-US"/>
        </w:rPr>
      </w:pPr>
      <w:r w:rsidRPr="00E019D1">
        <w:rPr>
          <w:rFonts w:ascii="Century Gothic" w:hAnsi="Century Gothic"/>
          <w:b/>
          <w:bCs/>
          <w:color w:val="000000" w:themeColor="text1"/>
          <w:sz w:val="22"/>
          <w:szCs w:val="22"/>
          <w:lang w:val="es-US"/>
        </w:rPr>
        <w:t>Son civilizatorios</w:t>
      </w:r>
      <w:r w:rsidRPr="00E019D1">
        <w:rPr>
          <w:rFonts w:ascii="Century Gothic" w:hAnsi="Century Gothic"/>
          <w:color w:val="000000" w:themeColor="text1"/>
          <w:sz w:val="22"/>
          <w:szCs w:val="22"/>
          <w:lang w:val="es-US"/>
        </w:rPr>
        <w:t>: La Agenda 2030 trata de que nadie quede rezagado y contempla “un mundo de respeto universal hacia la igualdad y la no discriminación” entre los países y en el interior de estos, incluso en lo tocante a la igualdad, mediante la confirmación de la responsabilidad de todos los Estados de “respetar, proteger y promover los derechos humanos, sin distinción alguna de raza, color, sexo, idioma, religión, opinión política o de otro tipo, origen nacional o social, propiedad, nacimiento, en situación de discapacidad o cualquier otra condición.”</w:t>
      </w:r>
    </w:p>
    <w:p w14:paraId="5A9F695E" w14:textId="77777777" w:rsidR="00E019D1" w:rsidRDefault="00E019D1">
      <w:pPr>
        <w:rPr>
          <w:rFonts w:ascii="Century Gothic" w:hAnsi="Century Gothic"/>
          <w:color w:val="000000" w:themeColor="text1"/>
          <w:sz w:val="22"/>
          <w:szCs w:val="22"/>
          <w:lang w:val="es-US"/>
        </w:rPr>
      </w:pPr>
      <w:r>
        <w:rPr>
          <w:rFonts w:ascii="Century Gothic" w:hAnsi="Century Gothic"/>
          <w:color w:val="000000" w:themeColor="text1"/>
          <w:sz w:val="22"/>
          <w:szCs w:val="22"/>
          <w:lang w:val="es-US"/>
        </w:rPr>
        <w:br w:type="page"/>
      </w:r>
    </w:p>
    <w:p w14:paraId="2626316A" w14:textId="77777777" w:rsidR="00E019D1" w:rsidRDefault="00E019D1" w:rsidP="00557C34">
      <w:pPr>
        <w:spacing w:before="102" w:line="360" w:lineRule="auto"/>
        <w:ind w:firstLine="708"/>
        <w:jc w:val="both"/>
        <w:rPr>
          <w:rFonts w:ascii="Century Gothic" w:hAnsi="Century Gothic"/>
          <w:color w:val="000000" w:themeColor="text1"/>
          <w:sz w:val="22"/>
          <w:szCs w:val="22"/>
          <w:lang w:val="es-US"/>
        </w:rPr>
        <w:sectPr w:rsidR="00E019D1" w:rsidSect="00557C34">
          <w:pgSz w:w="15840" w:h="12240" w:orient="landscape"/>
          <w:pgMar w:top="1440" w:right="1440" w:bottom="1440" w:left="1440" w:header="709" w:footer="709" w:gutter="0"/>
          <w:cols w:num="2" w:space="708"/>
          <w:docGrid w:linePitch="360"/>
        </w:sectPr>
      </w:pPr>
    </w:p>
    <w:tbl>
      <w:tblPr>
        <w:tblStyle w:val="Tablaconcuadrcula4-nfasis2"/>
        <w:tblpPr w:leftFromText="141" w:rightFromText="141" w:vertAnchor="text" w:horzAnchor="margin" w:tblpY="213"/>
        <w:tblW w:w="5000" w:type="pct"/>
        <w:tblLook w:val="04A0" w:firstRow="1" w:lastRow="0" w:firstColumn="1" w:lastColumn="0" w:noHBand="0" w:noVBand="1"/>
      </w:tblPr>
      <w:tblGrid>
        <w:gridCol w:w="6400"/>
        <w:gridCol w:w="6550"/>
      </w:tblGrid>
      <w:tr w:rsidR="00E019D1" w:rsidRPr="00E019D1" w14:paraId="614D8995" w14:textId="77777777" w:rsidTr="00E019D1">
        <w:trPr>
          <w:cnfStyle w:val="100000000000" w:firstRow="1" w:lastRow="0" w:firstColumn="0" w:lastColumn="0" w:oddVBand="0" w:evenVBand="0" w:oddHBand="0"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000" w:type="pct"/>
            <w:gridSpan w:val="2"/>
            <w:noWrap/>
            <w:hideMark/>
          </w:tcPr>
          <w:p w14:paraId="59EB5FD5" w14:textId="77777777" w:rsidR="00E019D1" w:rsidRPr="00E019D1" w:rsidRDefault="00E019D1" w:rsidP="00E019D1">
            <w:pPr>
              <w:jc w:val="center"/>
              <w:rPr>
                <w:rFonts w:ascii="Century Gothic" w:eastAsia="Times New Roman" w:hAnsi="Century Gothic" w:cs="Tahoma"/>
                <w:b w:val="0"/>
                <w:bCs w:val="0"/>
                <w:color w:val="auto"/>
                <w:sz w:val="22"/>
                <w:szCs w:val="22"/>
                <w:lang w:eastAsia="es-MX"/>
              </w:rPr>
            </w:pPr>
          </w:p>
          <w:p w14:paraId="35C8540F" w14:textId="77777777" w:rsidR="00E019D1" w:rsidRPr="00E019D1" w:rsidRDefault="00E019D1" w:rsidP="00E019D1">
            <w:pPr>
              <w:jc w:val="center"/>
              <w:rPr>
                <w:rFonts w:ascii="Century Gothic" w:eastAsia="Times New Roman" w:hAnsi="Century Gothic" w:cs="Tahoma"/>
                <w:color w:val="auto"/>
                <w:sz w:val="22"/>
                <w:szCs w:val="22"/>
                <w:lang w:eastAsia="es-MX"/>
              </w:rPr>
            </w:pPr>
            <w:r w:rsidRPr="00E019D1">
              <w:rPr>
                <w:rFonts w:ascii="Century Gothic" w:eastAsia="Times New Roman" w:hAnsi="Century Gothic" w:cs="Tahoma"/>
                <w:color w:val="auto"/>
                <w:sz w:val="22"/>
                <w:szCs w:val="22"/>
                <w:lang w:eastAsia="es-MX"/>
              </w:rPr>
              <w:t>Alineación del Plan de Desarrollo Municipal 2025-2027 con la Agenda 2030</w:t>
            </w:r>
          </w:p>
        </w:tc>
      </w:tr>
      <w:tr w:rsidR="00E019D1" w:rsidRPr="00E019D1" w14:paraId="182AB8DF" w14:textId="77777777" w:rsidTr="00E019D1">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71" w:type="pct"/>
            <w:noWrap/>
            <w:hideMark/>
          </w:tcPr>
          <w:p w14:paraId="76A3F390" w14:textId="77777777" w:rsidR="00E019D1" w:rsidRPr="00E019D1" w:rsidRDefault="00E019D1" w:rsidP="00E019D1">
            <w:pPr>
              <w:jc w:val="center"/>
              <w:rPr>
                <w:rFonts w:ascii="Century Gothic" w:eastAsia="Times New Roman" w:hAnsi="Century Gothic" w:cs="Tahoma"/>
                <w:sz w:val="22"/>
                <w:szCs w:val="22"/>
                <w:lang w:eastAsia="es-MX"/>
              </w:rPr>
            </w:pPr>
            <w:r w:rsidRPr="00E019D1">
              <w:rPr>
                <w:rFonts w:ascii="Century Gothic" w:eastAsia="Times New Roman" w:hAnsi="Century Gothic" w:cs="Tahoma"/>
                <w:sz w:val="22"/>
                <w:szCs w:val="22"/>
                <w:lang w:eastAsia="es-MX"/>
              </w:rPr>
              <w:t xml:space="preserve">Ejes </w:t>
            </w:r>
          </w:p>
        </w:tc>
        <w:tc>
          <w:tcPr>
            <w:tcW w:w="2529" w:type="pct"/>
            <w:noWrap/>
            <w:hideMark/>
          </w:tcPr>
          <w:p w14:paraId="0AC3E4BC" w14:textId="77777777" w:rsidR="00E019D1" w:rsidRPr="00E019D1" w:rsidRDefault="00E019D1" w:rsidP="00E019D1">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b/>
                <w:bCs/>
                <w:sz w:val="22"/>
                <w:szCs w:val="22"/>
                <w:lang w:eastAsia="es-MX"/>
              </w:rPr>
            </w:pPr>
            <w:r w:rsidRPr="00E019D1">
              <w:rPr>
                <w:rFonts w:ascii="Century Gothic" w:eastAsia="Times New Roman" w:hAnsi="Century Gothic" w:cs="Tahoma"/>
                <w:b/>
                <w:bCs/>
                <w:sz w:val="22"/>
                <w:szCs w:val="22"/>
                <w:lang w:val="es-US" w:eastAsia="es-MX"/>
              </w:rPr>
              <w:t>Objetivos de Desarrollo Sostenible</w:t>
            </w:r>
          </w:p>
        </w:tc>
      </w:tr>
      <w:tr w:rsidR="00E019D1" w:rsidRPr="00E019D1" w14:paraId="4AA79106" w14:textId="77777777" w:rsidTr="00E019D1">
        <w:trPr>
          <w:trHeight w:val="695"/>
        </w:trPr>
        <w:tc>
          <w:tcPr>
            <w:cnfStyle w:val="001000000000" w:firstRow="0" w:lastRow="0" w:firstColumn="1" w:lastColumn="0" w:oddVBand="0" w:evenVBand="0" w:oddHBand="0" w:evenHBand="0" w:firstRowFirstColumn="0" w:firstRowLastColumn="0" w:lastRowFirstColumn="0" w:lastRowLastColumn="0"/>
            <w:tcW w:w="2471" w:type="pct"/>
            <w:noWrap/>
            <w:hideMark/>
          </w:tcPr>
          <w:p w14:paraId="3A02FBCF"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 xml:space="preserve">Cero corrupción y gobierno del pueblo y para el pueblo </w:t>
            </w:r>
          </w:p>
        </w:tc>
        <w:tc>
          <w:tcPr>
            <w:tcW w:w="2529" w:type="pct"/>
            <w:noWrap/>
          </w:tcPr>
          <w:p w14:paraId="1F8301E7"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eastAsia="Times New Roman" w:hAnsi="Century Gothic" w:cs="Tahoma"/>
                <w:noProof/>
                <w:color w:val="000000"/>
                <w:lang w:eastAsia="es-MX"/>
              </w:rPr>
              <w:drawing>
                <wp:anchor distT="0" distB="0" distL="114300" distR="114300" simplePos="0" relativeHeight="251662336" behindDoc="0" locked="0" layoutInCell="1" allowOverlap="1" wp14:anchorId="7BD875A6" wp14:editId="1C25A484">
                  <wp:simplePos x="0" y="0"/>
                  <wp:positionH relativeFrom="column">
                    <wp:posOffset>1484630</wp:posOffset>
                  </wp:positionH>
                  <wp:positionV relativeFrom="page">
                    <wp:posOffset>39370</wp:posOffset>
                  </wp:positionV>
                  <wp:extent cx="360000" cy="360000"/>
                  <wp:effectExtent l="0" t="0" r="2540" b="2540"/>
                  <wp:wrapNone/>
                  <wp:docPr id="868389283"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61312" behindDoc="0" locked="0" layoutInCell="1" allowOverlap="1" wp14:anchorId="6E889DC3" wp14:editId="16B0EA9F">
                  <wp:simplePos x="0" y="0"/>
                  <wp:positionH relativeFrom="column">
                    <wp:posOffset>856615</wp:posOffset>
                  </wp:positionH>
                  <wp:positionV relativeFrom="page">
                    <wp:posOffset>39370</wp:posOffset>
                  </wp:positionV>
                  <wp:extent cx="360000" cy="360000"/>
                  <wp:effectExtent l="0" t="0" r="2540" b="2540"/>
                  <wp:wrapNone/>
                  <wp:docPr id="1963467508"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CBC40"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p w14:paraId="37FEF270"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tc>
      </w:tr>
      <w:tr w:rsidR="00E019D1" w:rsidRPr="00E019D1" w14:paraId="4865E05F" w14:textId="77777777" w:rsidTr="00E019D1">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71" w:type="pct"/>
            <w:noWrap/>
            <w:hideMark/>
          </w:tcPr>
          <w:p w14:paraId="197360F5"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 xml:space="preserve">Bienestar ambiental y acceso universal al agua </w:t>
            </w:r>
          </w:p>
        </w:tc>
        <w:tc>
          <w:tcPr>
            <w:tcW w:w="2529" w:type="pct"/>
            <w:noWrap/>
          </w:tcPr>
          <w:p w14:paraId="7A5B5F4E"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eastAsia="Times New Roman" w:hAnsi="Century Gothic" w:cs="Tahoma"/>
                <w:noProof/>
                <w:color w:val="000000"/>
                <w:lang w:eastAsia="es-MX"/>
              </w:rPr>
              <w:drawing>
                <wp:anchor distT="0" distB="0" distL="114300" distR="114300" simplePos="0" relativeHeight="251666432" behindDoc="0" locked="0" layoutInCell="1" allowOverlap="1" wp14:anchorId="011F4A56" wp14:editId="28738409">
                  <wp:simplePos x="0" y="0"/>
                  <wp:positionH relativeFrom="margin">
                    <wp:posOffset>1967865</wp:posOffset>
                  </wp:positionH>
                  <wp:positionV relativeFrom="page">
                    <wp:posOffset>100965</wp:posOffset>
                  </wp:positionV>
                  <wp:extent cx="359410" cy="359410"/>
                  <wp:effectExtent l="0" t="0" r="2540" b="2540"/>
                  <wp:wrapNone/>
                  <wp:docPr id="113311973" name="Imagen 18" descr="Objetivo 15 - VIDA DE ECOSISTEMAS TERR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jetivo 15 - VIDA DE ECOSISTEMAS TERREST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65408" behindDoc="0" locked="0" layoutInCell="1" allowOverlap="1" wp14:anchorId="729D08FC" wp14:editId="6C912121">
                  <wp:simplePos x="0" y="0"/>
                  <wp:positionH relativeFrom="margin">
                    <wp:posOffset>1402080</wp:posOffset>
                  </wp:positionH>
                  <wp:positionV relativeFrom="page">
                    <wp:posOffset>104775</wp:posOffset>
                  </wp:positionV>
                  <wp:extent cx="360000" cy="360000"/>
                  <wp:effectExtent l="0" t="0" r="2540" b="2540"/>
                  <wp:wrapNone/>
                  <wp:docPr id="2090652964" name="Imagen 16" descr="Objetivo 13 - ACCIÓN POR 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jetivo 13 - ACCIÓN POR EL CLI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64384" behindDoc="0" locked="0" layoutInCell="1" allowOverlap="1" wp14:anchorId="6A22E1FF" wp14:editId="46EC2696">
                  <wp:simplePos x="0" y="0"/>
                  <wp:positionH relativeFrom="margin">
                    <wp:posOffset>843280</wp:posOffset>
                  </wp:positionH>
                  <wp:positionV relativeFrom="page">
                    <wp:posOffset>93980</wp:posOffset>
                  </wp:positionV>
                  <wp:extent cx="359410" cy="359410"/>
                  <wp:effectExtent l="0" t="0" r="2540" b="2540"/>
                  <wp:wrapNone/>
                  <wp:docPr id="849490094" name="Imagen 10" descr="Objetivo 7 - AGUA ENERGÍA ASEQUIBLE Y NO CONTAMINANTE.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jetivo 7 - AGUA ENERGÍA ASEQUIBLE Y NO CONTAMINANTE. Foto O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hAnsi="Century Gothic"/>
                <w:noProof/>
              </w:rPr>
              <w:drawing>
                <wp:anchor distT="0" distB="0" distL="114300" distR="114300" simplePos="0" relativeHeight="251667456" behindDoc="0" locked="0" layoutInCell="1" allowOverlap="1" wp14:anchorId="07B09A4B" wp14:editId="6910DC9B">
                  <wp:simplePos x="0" y="0"/>
                  <wp:positionH relativeFrom="margin">
                    <wp:posOffset>238760</wp:posOffset>
                  </wp:positionH>
                  <wp:positionV relativeFrom="page">
                    <wp:posOffset>104140</wp:posOffset>
                  </wp:positionV>
                  <wp:extent cx="360000" cy="360000"/>
                  <wp:effectExtent l="0" t="0" r="2540" b="2540"/>
                  <wp:wrapNone/>
                  <wp:docPr id="19" name="Imagen 9" descr="Objetivo 6 - AGUA LIMPIA Y SAN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jetivo 6 - AGUA LIMPIA Y SANEAMIEN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63360" behindDoc="0" locked="0" layoutInCell="1" allowOverlap="1" wp14:anchorId="548A65B6" wp14:editId="2AF08AFD">
                  <wp:simplePos x="0" y="0"/>
                  <wp:positionH relativeFrom="margin">
                    <wp:posOffset>5059045</wp:posOffset>
                  </wp:positionH>
                  <wp:positionV relativeFrom="page">
                    <wp:posOffset>-831215</wp:posOffset>
                  </wp:positionV>
                  <wp:extent cx="360000" cy="360000"/>
                  <wp:effectExtent l="0" t="0" r="2540" b="2540"/>
                  <wp:wrapNone/>
                  <wp:docPr id="258746057" name="Imagen 9" descr="Objetivo 6 - AGUA LIMPIA Y SAN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jetivo 6 - AGUA LIMPIA Y SANEAMIEN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43E68"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p>
          <w:p w14:paraId="06BAD40E"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p>
        </w:tc>
      </w:tr>
      <w:tr w:rsidR="00E019D1" w:rsidRPr="00E019D1" w14:paraId="02EF071F" w14:textId="77777777" w:rsidTr="00E019D1">
        <w:trPr>
          <w:trHeight w:val="853"/>
        </w:trPr>
        <w:tc>
          <w:tcPr>
            <w:cnfStyle w:val="001000000000" w:firstRow="0" w:lastRow="0" w:firstColumn="1" w:lastColumn="0" w:oddVBand="0" w:evenVBand="0" w:oddHBand="0" w:evenHBand="0" w:firstRowFirstColumn="0" w:firstRowLastColumn="0" w:lastRowFirstColumn="0" w:lastRowLastColumn="0"/>
            <w:tcW w:w="2471" w:type="pct"/>
            <w:noWrap/>
            <w:hideMark/>
          </w:tcPr>
          <w:p w14:paraId="075D7AB3"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 xml:space="preserve">Empleo digno y desarrollo económico </w:t>
            </w:r>
          </w:p>
        </w:tc>
        <w:tc>
          <w:tcPr>
            <w:tcW w:w="2529" w:type="pct"/>
            <w:noWrap/>
          </w:tcPr>
          <w:p w14:paraId="2838E4DE"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eastAsia="Times New Roman" w:hAnsi="Century Gothic" w:cs="Tahoma"/>
                <w:noProof/>
                <w:color w:val="000000"/>
                <w:lang w:eastAsia="es-MX"/>
              </w:rPr>
              <w:drawing>
                <wp:anchor distT="0" distB="0" distL="114300" distR="114300" simplePos="0" relativeHeight="251668480" behindDoc="0" locked="0" layoutInCell="1" allowOverlap="1" wp14:anchorId="562BB214" wp14:editId="655B96A9">
                  <wp:simplePos x="0" y="0"/>
                  <wp:positionH relativeFrom="margin">
                    <wp:posOffset>254000</wp:posOffset>
                  </wp:positionH>
                  <wp:positionV relativeFrom="page">
                    <wp:posOffset>65405</wp:posOffset>
                  </wp:positionV>
                  <wp:extent cx="359410" cy="359410"/>
                  <wp:effectExtent l="0" t="0" r="2540" b="2540"/>
                  <wp:wrapNone/>
                  <wp:docPr id="1998512730" name="Imagen 11" descr="Objetivo 8 - AGUA TRABAJO DECENTE Y CRECIMIENTO ECONÓMICO.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jetivo 8 - AGUA TRABAJO DECENTE Y CRECIMIENTO ECONÓMICO. Foto O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70528" behindDoc="0" locked="0" layoutInCell="1" allowOverlap="1" wp14:anchorId="05AFB2BB" wp14:editId="001B1B3C">
                  <wp:simplePos x="0" y="0"/>
                  <wp:positionH relativeFrom="column">
                    <wp:posOffset>1409700</wp:posOffset>
                  </wp:positionH>
                  <wp:positionV relativeFrom="page">
                    <wp:posOffset>88265</wp:posOffset>
                  </wp:positionV>
                  <wp:extent cx="359410" cy="359410"/>
                  <wp:effectExtent l="0" t="0" r="2540" b="2540"/>
                  <wp:wrapNone/>
                  <wp:docPr id="911899432" name="Imagen 14" descr="Objetivo 11 - CIUDADES Y COMUNIDADES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jetivo 11 - CIUDADES Y COMUNIDADES SOSTENIB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hAnsi="Century Gothic"/>
                <w:noProof/>
              </w:rPr>
              <w:drawing>
                <wp:anchor distT="0" distB="0" distL="114300" distR="114300" simplePos="0" relativeHeight="251671552" behindDoc="0" locked="0" layoutInCell="1" allowOverlap="1" wp14:anchorId="7F72A80C" wp14:editId="074513F4">
                  <wp:simplePos x="0" y="0"/>
                  <wp:positionH relativeFrom="column">
                    <wp:posOffset>1996440</wp:posOffset>
                  </wp:positionH>
                  <wp:positionV relativeFrom="page">
                    <wp:posOffset>88265</wp:posOffset>
                  </wp:positionV>
                  <wp:extent cx="360000" cy="360000"/>
                  <wp:effectExtent l="0" t="0" r="2540" b="2540"/>
                  <wp:wrapNone/>
                  <wp:docPr id="25" name="Imagen 15" descr="Objetivo 12 - PRODUCCIÓN Y CONSUMOS RESPON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jetivo 12 - PRODUCCIÓN Y CONSUMOS RESPONS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69504" behindDoc="0" locked="0" layoutInCell="1" allowOverlap="1" wp14:anchorId="2EF85F95" wp14:editId="798BE7B5">
                  <wp:simplePos x="0" y="0"/>
                  <wp:positionH relativeFrom="column">
                    <wp:posOffset>826770</wp:posOffset>
                  </wp:positionH>
                  <wp:positionV relativeFrom="page">
                    <wp:posOffset>73025</wp:posOffset>
                  </wp:positionV>
                  <wp:extent cx="359410" cy="359410"/>
                  <wp:effectExtent l="0" t="0" r="2540" b="2540"/>
                  <wp:wrapNone/>
                  <wp:docPr id="557778991" name="Imagen 12" descr="Objetivo 9 - AGUA INDUSTRIA, INNOVACIÓN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jetivo 9 - AGUA INDUSTRIA, INNOVACIÓN E INFRAESTRUCTU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B0E933"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tc>
      </w:tr>
      <w:tr w:rsidR="00E019D1" w:rsidRPr="00E019D1" w14:paraId="3A752FCF" w14:textId="77777777" w:rsidTr="00E019D1">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471" w:type="pct"/>
            <w:noWrap/>
            <w:hideMark/>
          </w:tcPr>
          <w:p w14:paraId="26F0EF94"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 xml:space="preserve">Bienestar social </w:t>
            </w:r>
          </w:p>
        </w:tc>
        <w:tc>
          <w:tcPr>
            <w:tcW w:w="2529" w:type="pct"/>
            <w:noWrap/>
          </w:tcPr>
          <w:p w14:paraId="0423C6E8"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hAnsi="Century Gothic"/>
                <w:noProof/>
              </w:rPr>
              <w:drawing>
                <wp:anchor distT="0" distB="0" distL="114300" distR="114300" simplePos="0" relativeHeight="251676672" behindDoc="1" locked="0" layoutInCell="1" allowOverlap="1" wp14:anchorId="4F65706C" wp14:editId="0196B388">
                  <wp:simplePos x="0" y="0"/>
                  <wp:positionH relativeFrom="column">
                    <wp:posOffset>81280</wp:posOffset>
                  </wp:positionH>
                  <wp:positionV relativeFrom="paragraph">
                    <wp:posOffset>78740</wp:posOffset>
                  </wp:positionV>
                  <wp:extent cx="359410" cy="359410"/>
                  <wp:effectExtent l="0" t="0" r="2540" b="2540"/>
                  <wp:wrapTight wrapText="bothSides">
                    <wp:wrapPolygon edited="0">
                      <wp:start x="0" y="0"/>
                      <wp:lineTo x="0" y="20608"/>
                      <wp:lineTo x="20608" y="20608"/>
                      <wp:lineTo x="20608" y="0"/>
                      <wp:lineTo x="0" y="0"/>
                    </wp:wrapPolygon>
                  </wp:wrapTight>
                  <wp:docPr id="450150280" name="Imagen 3" descr="Objetivo 1: FIN DE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1: FIN DE LA POBRE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E019D1">
              <w:rPr>
                <w:rFonts w:ascii="Century Gothic" w:eastAsia="Times New Roman" w:hAnsi="Century Gothic" w:cs="Tahoma"/>
                <w:noProof/>
                <w:color w:val="000000"/>
                <w:lang w:eastAsia="es-MX"/>
              </w:rPr>
              <w:drawing>
                <wp:anchor distT="0" distB="0" distL="114300" distR="114300" simplePos="0" relativeHeight="251672576" behindDoc="0" locked="0" layoutInCell="1" allowOverlap="1" wp14:anchorId="0D722926" wp14:editId="6DEB5E41">
                  <wp:simplePos x="0" y="0"/>
                  <wp:positionH relativeFrom="margin">
                    <wp:posOffset>598170</wp:posOffset>
                  </wp:positionH>
                  <wp:positionV relativeFrom="page">
                    <wp:posOffset>83820</wp:posOffset>
                  </wp:positionV>
                  <wp:extent cx="360000" cy="360000"/>
                  <wp:effectExtent l="0" t="0" r="2540" b="2540"/>
                  <wp:wrapNone/>
                  <wp:docPr id="1950679252" name="Imagen 4" descr="Objetivo 2 - HAMBRE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tivo 2 - HAMBRE CE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73600" behindDoc="0" locked="0" layoutInCell="1" allowOverlap="1" wp14:anchorId="194F8D78" wp14:editId="7486AEC3">
                  <wp:simplePos x="0" y="0"/>
                  <wp:positionH relativeFrom="margin">
                    <wp:posOffset>1155065</wp:posOffset>
                  </wp:positionH>
                  <wp:positionV relativeFrom="page">
                    <wp:posOffset>80645</wp:posOffset>
                  </wp:positionV>
                  <wp:extent cx="360000" cy="360000"/>
                  <wp:effectExtent l="0" t="0" r="2540" b="2540"/>
                  <wp:wrapNone/>
                  <wp:docPr id="897246602" name="Imagen 6" descr="Objetivo 3 - SALUD Y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3 - SALUD Y BIENE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74624" behindDoc="0" locked="0" layoutInCell="1" allowOverlap="1" wp14:anchorId="5563D6AB" wp14:editId="7DDF2476">
                  <wp:simplePos x="0" y="0"/>
                  <wp:positionH relativeFrom="margin">
                    <wp:posOffset>1736725</wp:posOffset>
                  </wp:positionH>
                  <wp:positionV relativeFrom="page">
                    <wp:posOffset>74930</wp:posOffset>
                  </wp:positionV>
                  <wp:extent cx="360000" cy="360000"/>
                  <wp:effectExtent l="0" t="0" r="2540" b="2540"/>
                  <wp:wrapNone/>
                  <wp:docPr id="309651571" name="Imagen 7" descr="Objetivo 4 - EDUCA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etivo 4 - EDUCACIÓN DE CALI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75648" behindDoc="0" locked="0" layoutInCell="1" allowOverlap="1" wp14:anchorId="1B7987E6" wp14:editId="53C313E5">
                  <wp:simplePos x="0" y="0"/>
                  <wp:positionH relativeFrom="margin">
                    <wp:posOffset>2257425</wp:posOffset>
                  </wp:positionH>
                  <wp:positionV relativeFrom="page">
                    <wp:posOffset>67310</wp:posOffset>
                  </wp:positionV>
                  <wp:extent cx="360000" cy="360000"/>
                  <wp:effectExtent l="0" t="0" r="2540" b="2540"/>
                  <wp:wrapNone/>
                  <wp:docPr id="829591019"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9256FE"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p>
          <w:p w14:paraId="68204EA0"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p>
        </w:tc>
      </w:tr>
      <w:tr w:rsidR="00E019D1" w:rsidRPr="00E019D1" w14:paraId="653F9148" w14:textId="77777777" w:rsidTr="00E019D1">
        <w:trPr>
          <w:trHeight w:val="735"/>
        </w:trPr>
        <w:tc>
          <w:tcPr>
            <w:cnfStyle w:val="001000000000" w:firstRow="0" w:lastRow="0" w:firstColumn="1" w:lastColumn="0" w:oddVBand="0" w:evenVBand="0" w:oddHBand="0" w:evenHBand="0" w:firstRowFirstColumn="0" w:firstRowLastColumn="0" w:lastRowFirstColumn="0" w:lastRowLastColumn="0"/>
            <w:tcW w:w="2471" w:type="pct"/>
            <w:noWrap/>
            <w:hideMark/>
          </w:tcPr>
          <w:p w14:paraId="3CB7F051"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 xml:space="preserve">Igualdad de genero </w:t>
            </w:r>
          </w:p>
        </w:tc>
        <w:tc>
          <w:tcPr>
            <w:tcW w:w="2529" w:type="pct"/>
            <w:noWrap/>
          </w:tcPr>
          <w:p w14:paraId="778B1E47"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hAnsi="Century Gothic"/>
                <w:noProof/>
              </w:rPr>
              <w:drawing>
                <wp:anchor distT="0" distB="0" distL="114300" distR="114300" simplePos="0" relativeHeight="251678720" behindDoc="0" locked="0" layoutInCell="1" allowOverlap="1" wp14:anchorId="034BF8AE" wp14:editId="69FAC0CB">
                  <wp:simplePos x="0" y="0"/>
                  <wp:positionH relativeFrom="column">
                    <wp:posOffset>1620520</wp:posOffset>
                  </wp:positionH>
                  <wp:positionV relativeFrom="page">
                    <wp:posOffset>48260</wp:posOffset>
                  </wp:positionV>
                  <wp:extent cx="360000" cy="360000"/>
                  <wp:effectExtent l="0" t="0" r="2540" b="2540"/>
                  <wp:wrapNone/>
                  <wp:docPr id="47577392" name="Imagen 13"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jetivo 10 - REDUCCIÓN DE LAS DESIGUALDAD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hAnsi="Century Gothic"/>
                <w:noProof/>
              </w:rPr>
              <w:drawing>
                <wp:anchor distT="0" distB="0" distL="114300" distR="114300" simplePos="0" relativeHeight="251677696" behindDoc="0" locked="0" layoutInCell="1" allowOverlap="1" wp14:anchorId="6F6D0B74" wp14:editId="37A90392">
                  <wp:simplePos x="0" y="0"/>
                  <wp:positionH relativeFrom="margin">
                    <wp:posOffset>878840</wp:posOffset>
                  </wp:positionH>
                  <wp:positionV relativeFrom="page">
                    <wp:posOffset>45720</wp:posOffset>
                  </wp:positionV>
                  <wp:extent cx="360000" cy="360000"/>
                  <wp:effectExtent l="0" t="0" r="2540" b="2540"/>
                  <wp:wrapNone/>
                  <wp:docPr id="26"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5753E"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tc>
      </w:tr>
      <w:tr w:rsidR="00E019D1" w:rsidRPr="00E019D1" w14:paraId="069143BD" w14:textId="77777777" w:rsidTr="00E019D1">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2471" w:type="pct"/>
            <w:noWrap/>
            <w:hideMark/>
          </w:tcPr>
          <w:p w14:paraId="52B5551E"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 xml:space="preserve">Construcción de la paz y seguridad </w:t>
            </w:r>
          </w:p>
        </w:tc>
        <w:tc>
          <w:tcPr>
            <w:tcW w:w="2529" w:type="pct"/>
            <w:noWrap/>
          </w:tcPr>
          <w:p w14:paraId="118F3133"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eastAsia="Times New Roman" w:hAnsi="Century Gothic" w:cs="Tahoma"/>
                <w:noProof/>
                <w:color w:val="000000"/>
                <w:lang w:eastAsia="es-MX"/>
              </w:rPr>
              <w:drawing>
                <wp:anchor distT="0" distB="0" distL="114300" distR="114300" simplePos="0" relativeHeight="251680768" behindDoc="0" locked="0" layoutInCell="1" allowOverlap="1" wp14:anchorId="277E008C" wp14:editId="27565FE1">
                  <wp:simplePos x="0" y="0"/>
                  <wp:positionH relativeFrom="column">
                    <wp:posOffset>1628775</wp:posOffset>
                  </wp:positionH>
                  <wp:positionV relativeFrom="page">
                    <wp:posOffset>33020</wp:posOffset>
                  </wp:positionV>
                  <wp:extent cx="360000" cy="360000"/>
                  <wp:effectExtent l="0" t="0" r="2540" b="2540"/>
                  <wp:wrapNone/>
                  <wp:docPr id="28"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79744" behindDoc="0" locked="0" layoutInCell="1" allowOverlap="1" wp14:anchorId="0053F12F" wp14:editId="1288DB6B">
                  <wp:simplePos x="0" y="0"/>
                  <wp:positionH relativeFrom="column">
                    <wp:posOffset>894080</wp:posOffset>
                  </wp:positionH>
                  <wp:positionV relativeFrom="page">
                    <wp:posOffset>33020</wp:posOffset>
                  </wp:positionV>
                  <wp:extent cx="359410" cy="359410"/>
                  <wp:effectExtent l="0" t="0" r="2540" b="2540"/>
                  <wp:wrapNone/>
                  <wp:docPr id="27"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5F2813" w14:textId="77777777" w:rsidR="00E019D1" w:rsidRPr="00E019D1" w:rsidRDefault="00E019D1" w:rsidP="00E019D1">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ahoma"/>
                <w:color w:val="000000"/>
                <w:sz w:val="22"/>
                <w:szCs w:val="22"/>
                <w:lang w:eastAsia="es-MX"/>
              </w:rPr>
            </w:pPr>
          </w:p>
        </w:tc>
      </w:tr>
      <w:tr w:rsidR="00E019D1" w:rsidRPr="00E019D1" w14:paraId="4F9AAC7F" w14:textId="77777777" w:rsidTr="00E019D1">
        <w:trPr>
          <w:trHeight w:val="211"/>
        </w:trPr>
        <w:tc>
          <w:tcPr>
            <w:cnfStyle w:val="001000000000" w:firstRow="0" w:lastRow="0" w:firstColumn="1" w:lastColumn="0" w:oddVBand="0" w:evenVBand="0" w:oddHBand="0" w:evenHBand="0" w:firstRowFirstColumn="0" w:firstRowLastColumn="0" w:lastRowFirstColumn="0" w:lastRowLastColumn="0"/>
            <w:tcW w:w="2471" w:type="pct"/>
            <w:noWrap/>
            <w:hideMark/>
          </w:tcPr>
          <w:p w14:paraId="0DE04D2E" w14:textId="77777777" w:rsidR="00E019D1" w:rsidRPr="00E019D1" w:rsidRDefault="00E019D1" w:rsidP="00E019D1">
            <w:pPr>
              <w:jc w:val="both"/>
              <w:rPr>
                <w:rFonts w:ascii="Century Gothic" w:eastAsia="Times New Roman" w:hAnsi="Century Gothic" w:cs="Tahoma"/>
                <w:b w:val="0"/>
                <w:bCs w:val="0"/>
                <w:color w:val="000000"/>
                <w:sz w:val="22"/>
                <w:szCs w:val="22"/>
                <w:lang w:eastAsia="es-MX"/>
              </w:rPr>
            </w:pPr>
            <w:r w:rsidRPr="00E019D1">
              <w:rPr>
                <w:rFonts w:ascii="Century Gothic" w:eastAsia="Times New Roman" w:hAnsi="Century Gothic" w:cs="Tahoma"/>
                <w:b w:val="0"/>
                <w:bCs w:val="0"/>
                <w:color w:val="000000"/>
                <w:sz w:val="22"/>
                <w:szCs w:val="22"/>
                <w:lang w:eastAsia="es-MX"/>
              </w:rPr>
              <w:t>Cumplimiento de los ODS</w:t>
            </w:r>
          </w:p>
        </w:tc>
        <w:tc>
          <w:tcPr>
            <w:tcW w:w="2529" w:type="pct"/>
            <w:noWrap/>
          </w:tcPr>
          <w:p w14:paraId="70FD94EE"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eastAsia="Times New Roman" w:hAnsi="Century Gothic" w:cs="Tahoma"/>
                <w:noProof/>
                <w:color w:val="000000"/>
                <w:lang w:eastAsia="es-MX"/>
              </w:rPr>
              <w:drawing>
                <wp:anchor distT="0" distB="0" distL="114300" distR="114300" simplePos="0" relativeHeight="251686912" behindDoc="0" locked="0" layoutInCell="1" allowOverlap="1" wp14:anchorId="671B2BA1" wp14:editId="0DFBDE39">
                  <wp:simplePos x="0" y="0"/>
                  <wp:positionH relativeFrom="margin">
                    <wp:posOffset>2386330</wp:posOffset>
                  </wp:positionH>
                  <wp:positionV relativeFrom="page">
                    <wp:posOffset>55880</wp:posOffset>
                  </wp:positionV>
                  <wp:extent cx="359410" cy="359410"/>
                  <wp:effectExtent l="0" t="0" r="2540" b="2540"/>
                  <wp:wrapNone/>
                  <wp:docPr id="34" name="Imagen 10" descr="Objetivo 7 - AGUA ENERGÍA ASEQUIBLE Y NO CONTAMINANTE.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jetivo 7 - AGUA ENERGÍA ASEQUIBLE Y NO CONTAMINANTE. Foto O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7936" behindDoc="0" locked="0" layoutInCell="1" allowOverlap="1" wp14:anchorId="10F96C2D" wp14:editId="4BB7B863">
                  <wp:simplePos x="0" y="0"/>
                  <wp:positionH relativeFrom="margin">
                    <wp:posOffset>2006600</wp:posOffset>
                  </wp:positionH>
                  <wp:positionV relativeFrom="page">
                    <wp:posOffset>55880</wp:posOffset>
                  </wp:positionV>
                  <wp:extent cx="359410" cy="359410"/>
                  <wp:effectExtent l="0" t="0" r="2540" b="2540"/>
                  <wp:wrapNone/>
                  <wp:docPr id="35" name="Imagen 9" descr="Objetivo 6 - AGUA LIMPIA Y SAN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jetivo 6 - AGUA LIMPIA Y SANEAMIEN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4864" behindDoc="0" locked="0" layoutInCell="1" allowOverlap="1" wp14:anchorId="62299716" wp14:editId="0878665E">
                  <wp:simplePos x="0" y="0"/>
                  <wp:positionH relativeFrom="margin">
                    <wp:posOffset>1617345</wp:posOffset>
                  </wp:positionH>
                  <wp:positionV relativeFrom="page">
                    <wp:posOffset>43180</wp:posOffset>
                  </wp:positionV>
                  <wp:extent cx="360000" cy="360000"/>
                  <wp:effectExtent l="0" t="0" r="2540" b="2540"/>
                  <wp:wrapNone/>
                  <wp:docPr id="32"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3840" behindDoc="0" locked="0" layoutInCell="1" allowOverlap="1" wp14:anchorId="4A81A550" wp14:editId="701FA135">
                  <wp:simplePos x="0" y="0"/>
                  <wp:positionH relativeFrom="margin">
                    <wp:posOffset>1207135</wp:posOffset>
                  </wp:positionH>
                  <wp:positionV relativeFrom="page">
                    <wp:posOffset>40640</wp:posOffset>
                  </wp:positionV>
                  <wp:extent cx="360000" cy="360000"/>
                  <wp:effectExtent l="0" t="0" r="2540" b="2540"/>
                  <wp:wrapNone/>
                  <wp:docPr id="31" name="Imagen 7" descr="Objetivo 4 - EDUCA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etivo 4 - EDUCACIÓN DE CALI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2816" behindDoc="0" locked="0" layoutInCell="1" allowOverlap="1" wp14:anchorId="72CE8F05" wp14:editId="4BBEC1DA">
                  <wp:simplePos x="0" y="0"/>
                  <wp:positionH relativeFrom="margin">
                    <wp:posOffset>795655</wp:posOffset>
                  </wp:positionH>
                  <wp:positionV relativeFrom="page">
                    <wp:posOffset>46355</wp:posOffset>
                  </wp:positionV>
                  <wp:extent cx="360000" cy="360000"/>
                  <wp:effectExtent l="0" t="0" r="2540" b="2540"/>
                  <wp:wrapNone/>
                  <wp:docPr id="30" name="Imagen 6" descr="Objetivo 3 - SALUD Y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3 - SALUD Y BIENE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1792" behindDoc="0" locked="0" layoutInCell="1" allowOverlap="1" wp14:anchorId="4E141B26" wp14:editId="093EDD5C">
                  <wp:simplePos x="0" y="0"/>
                  <wp:positionH relativeFrom="margin">
                    <wp:posOffset>391160</wp:posOffset>
                  </wp:positionH>
                  <wp:positionV relativeFrom="page">
                    <wp:posOffset>44450</wp:posOffset>
                  </wp:positionV>
                  <wp:extent cx="360000" cy="360000"/>
                  <wp:effectExtent l="0" t="0" r="2540" b="2540"/>
                  <wp:wrapNone/>
                  <wp:docPr id="29" name="Imagen 4" descr="Objetivo 2 - HAMBRE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tivo 2 - HAMBRE CE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5888" behindDoc="1" locked="0" layoutInCell="1" allowOverlap="1" wp14:anchorId="7E13A866" wp14:editId="53305FA4">
                  <wp:simplePos x="0" y="0"/>
                  <wp:positionH relativeFrom="column">
                    <wp:posOffset>-10160</wp:posOffset>
                  </wp:positionH>
                  <wp:positionV relativeFrom="paragraph">
                    <wp:posOffset>34290</wp:posOffset>
                  </wp:positionV>
                  <wp:extent cx="359410" cy="359410"/>
                  <wp:effectExtent l="0" t="0" r="2540" b="2540"/>
                  <wp:wrapTight wrapText="bothSides">
                    <wp:wrapPolygon edited="0">
                      <wp:start x="0" y="0"/>
                      <wp:lineTo x="0" y="20608"/>
                      <wp:lineTo x="20608" y="20608"/>
                      <wp:lineTo x="20608" y="0"/>
                      <wp:lineTo x="0" y="0"/>
                    </wp:wrapPolygon>
                  </wp:wrapTight>
                  <wp:docPr id="33" name="Imagen 3" descr="Objetivo 1: FIN DE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1: FIN DE LA POBRE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p>
          <w:p w14:paraId="4B4769A5"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p w14:paraId="0DACAA19"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hAnsi="Century Gothic"/>
                <w:noProof/>
              </w:rPr>
              <w:drawing>
                <wp:anchor distT="0" distB="0" distL="114300" distR="114300" simplePos="0" relativeHeight="251696128" behindDoc="0" locked="0" layoutInCell="1" allowOverlap="1" wp14:anchorId="01D209E6" wp14:editId="13ED14AD">
                  <wp:simplePos x="0" y="0"/>
                  <wp:positionH relativeFrom="column">
                    <wp:posOffset>2397760</wp:posOffset>
                  </wp:positionH>
                  <wp:positionV relativeFrom="page">
                    <wp:posOffset>436245</wp:posOffset>
                  </wp:positionV>
                  <wp:extent cx="360000" cy="360000"/>
                  <wp:effectExtent l="0" t="0" r="2540" b="2540"/>
                  <wp:wrapNone/>
                  <wp:docPr id="1196544871" name="Imagen 17" descr="Objetivo 14 - VIDA SUB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jetivo 14 - VIDA SUBMARI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94080" behindDoc="0" locked="0" layoutInCell="1" allowOverlap="1" wp14:anchorId="2E82F2B7" wp14:editId="38363DC9">
                  <wp:simplePos x="0" y="0"/>
                  <wp:positionH relativeFrom="margin">
                    <wp:posOffset>2006600</wp:posOffset>
                  </wp:positionH>
                  <wp:positionV relativeFrom="page">
                    <wp:posOffset>441325</wp:posOffset>
                  </wp:positionV>
                  <wp:extent cx="360000" cy="360000"/>
                  <wp:effectExtent l="0" t="0" r="2540" b="2540"/>
                  <wp:wrapNone/>
                  <wp:docPr id="42" name="Imagen 16" descr="Objetivo 13 - ACCIÓN POR 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jetivo 13 - ACCIÓN POR EL CLI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93056" behindDoc="0" locked="0" layoutInCell="1" allowOverlap="1" wp14:anchorId="306524CF" wp14:editId="3D9C820F">
                  <wp:simplePos x="0" y="0"/>
                  <wp:positionH relativeFrom="column">
                    <wp:posOffset>1621790</wp:posOffset>
                  </wp:positionH>
                  <wp:positionV relativeFrom="page">
                    <wp:posOffset>427355</wp:posOffset>
                  </wp:positionV>
                  <wp:extent cx="359410" cy="359410"/>
                  <wp:effectExtent l="0" t="0" r="2540" b="2540"/>
                  <wp:wrapNone/>
                  <wp:docPr id="41" name="Imagen 15" descr="Objetivo 12 - PRODUCCIÓN Y CONSUMOS RESPON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jetivo 12 - PRODUCCIÓN Y CONSUMOS RESPONS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92032" behindDoc="0" locked="0" layoutInCell="1" allowOverlap="1" wp14:anchorId="045A9534" wp14:editId="25C2CF6E">
                  <wp:simplePos x="0" y="0"/>
                  <wp:positionH relativeFrom="column">
                    <wp:posOffset>1217930</wp:posOffset>
                  </wp:positionH>
                  <wp:positionV relativeFrom="page">
                    <wp:posOffset>422275</wp:posOffset>
                  </wp:positionV>
                  <wp:extent cx="359410" cy="359410"/>
                  <wp:effectExtent l="0" t="0" r="2540" b="2540"/>
                  <wp:wrapNone/>
                  <wp:docPr id="40" name="Imagen 14" descr="Objetivo 11 - CIUDADES Y COMUNIDADES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jetivo 11 - CIUDADES Y COMUNIDADES SOSTENIB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hAnsi="Century Gothic"/>
                <w:noProof/>
              </w:rPr>
              <w:drawing>
                <wp:anchor distT="0" distB="0" distL="114300" distR="114300" simplePos="0" relativeHeight="251691008" behindDoc="0" locked="0" layoutInCell="1" allowOverlap="1" wp14:anchorId="74BC4FA9" wp14:editId="14AF57AA">
                  <wp:simplePos x="0" y="0"/>
                  <wp:positionH relativeFrom="column">
                    <wp:posOffset>797560</wp:posOffset>
                  </wp:positionH>
                  <wp:positionV relativeFrom="page">
                    <wp:posOffset>432435</wp:posOffset>
                  </wp:positionV>
                  <wp:extent cx="360000" cy="360000"/>
                  <wp:effectExtent l="0" t="0" r="2540" b="2540"/>
                  <wp:wrapNone/>
                  <wp:docPr id="39" name="Imagen 13"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jetivo 10 - REDUCCIÓN DE LAS DESIGUALDAD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9984" behindDoc="0" locked="0" layoutInCell="1" allowOverlap="1" wp14:anchorId="44479318" wp14:editId="0348A35A">
                  <wp:simplePos x="0" y="0"/>
                  <wp:positionH relativeFrom="column">
                    <wp:posOffset>389890</wp:posOffset>
                  </wp:positionH>
                  <wp:positionV relativeFrom="page">
                    <wp:posOffset>429895</wp:posOffset>
                  </wp:positionV>
                  <wp:extent cx="359410" cy="359410"/>
                  <wp:effectExtent l="0" t="0" r="2540" b="2540"/>
                  <wp:wrapNone/>
                  <wp:docPr id="37" name="Imagen 12" descr="Objetivo 9 - AGUA INDUSTRIA, INNOVACIÓN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jetivo 9 - AGUA INDUSTRIA, INNOVACIÓN E INFRAESTRUCTU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88960" behindDoc="0" locked="0" layoutInCell="1" allowOverlap="1" wp14:anchorId="7F1AB323" wp14:editId="3E5752F5">
                  <wp:simplePos x="0" y="0"/>
                  <wp:positionH relativeFrom="margin">
                    <wp:posOffset>-5080</wp:posOffset>
                  </wp:positionH>
                  <wp:positionV relativeFrom="page">
                    <wp:posOffset>422275</wp:posOffset>
                  </wp:positionV>
                  <wp:extent cx="359410" cy="359410"/>
                  <wp:effectExtent l="0" t="0" r="2540" b="2540"/>
                  <wp:wrapNone/>
                  <wp:docPr id="36" name="Imagen 11" descr="Objetivo 8 - AGUA TRABAJO DECENTE Y CRECIMIENTO ECONÓMICO.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jetivo 8 - AGUA TRABAJO DECENTE Y CRECIMIENTO ECONÓMICO. Foto O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063BAD"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p w14:paraId="6E2C3755"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r w:rsidRPr="00E019D1">
              <w:rPr>
                <w:rFonts w:ascii="Century Gothic" w:eastAsia="Times New Roman" w:hAnsi="Century Gothic" w:cs="Tahoma"/>
                <w:noProof/>
                <w:color w:val="000000"/>
                <w:lang w:eastAsia="es-MX"/>
              </w:rPr>
              <w:drawing>
                <wp:anchor distT="0" distB="0" distL="114300" distR="114300" simplePos="0" relativeHeight="251698176" behindDoc="0" locked="0" layoutInCell="1" allowOverlap="1" wp14:anchorId="3716439E" wp14:editId="2960D7EF">
                  <wp:simplePos x="0" y="0"/>
                  <wp:positionH relativeFrom="column">
                    <wp:posOffset>791845</wp:posOffset>
                  </wp:positionH>
                  <wp:positionV relativeFrom="page">
                    <wp:posOffset>824230</wp:posOffset>
                  </wp:positionV>
                  <wp:extent cx="360000" cy="360000"/>
                  <wp:effectExtent l="0" t="0" r="2540" b="2540"/>
                  <wp:wrapNone/>
                  <wp:docPr id="45"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97152" behindDoc="0" locked="0" layoutInCell="1" allowOverlap="1" wp14:anchorId="0D571E5E" wp14:editId="63A76F2C">
                  <wp:simplePos x="0" y="0"/>
                  <wp:positionH relativeFrom="column">
                    <wp:posOffset>386080</wp:posOffset>
                  </wp:positionH>
                  <wp:positionV relativeFrom="page">
                    <wp:posOffset>819150</wp:posOffset>
                  </wp:positionV>
                  <wp:extent cx="359410" cy="359410"/>
                  <wp:effectExtent l="0" t="0" r="2540" b="2540"/>
                  <wp:wrapNone/>
                  <wp:docPr id="44"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9D1">
              <w:rPr>
                <w:rFonts w:ascii="Century Gothic" w:eastAsia="Times New Roman" w:hAnsi="Century Gothic" w:cs="Tahoma"/>
                <w:noProof/>
                <w:color w:val="000000"/>
                <w:lang w:eastAsia="es-MX"/>
              </w:rPr>
              <w:drawing>
                <wp:anchor distT="0" distB="0" distL="114300" distR="114300" simplePos="0" relativeHeight="251695104" behindDoc="0" locked="0" layoutInCell="1" allowOverlap="1" wp14:anchorId="185F7487" wp14:editId="210613DF">
                  <wp:simplePos x="0" y="0"/>
                  <wp:positionH relativeFrom="margin">
                    <wp:posOffset>-3175</wp:posOffset>
                  </wp:positionH>
                  <wp:positionV relativeFrom="page">
                    <wp:posOffset>813435</wp:posOffset>
                  </wp:positionV>
                  <wp:extent cx="359410" cy="359410"/>
                  <wp:effectExtent l="0" t="0" r="2540" b="2540"/>
                  <wp:wrapNone/>
                  <wp:docPr id="43" name="Imagen 18" descr="Objetivo 15 - VIDA DE ECOSISTEMAS TERR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jetivo 15 - VIDA DE ECOSISTEMAS TERREST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3AFC4"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p w14:paraId="728ABDA7" w14:textId="77777777" w:rsidR="00E019D1" w:rsidRPr="00E019D1" w:rsidRDefault="00E019D1" w:rsidP="00E019D1">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ahoma"/>
                <w:color w:val="000000"/>
                <w:sz w:val="22"/>
                <w:szCs w:val="22"/>
                <w:lang w:eastAsia="es-MX"/>
              </w:rPr>
            </w:pPr>
          </w:p>
        </w:tc>
      </w:tr>
    </w:tbl>
    <w:p w14:paraId="650D4C06" w14:textId="74C023D9" w:rsidR="00E019D1" w:rsidRDefault="00E019D1" w:rsidP="00557C34">
      <w:pPr>
        <w:spacing w:before="102" w:line="360" w:lineRule="auto"/>
        <w:ind w:firstLine="708"/>
        <w:jc w:val="both"/>
        <w:rPr>
          <w:rFonts w:ascii="Century Gothic" w:hAnsi="Century Gothic"/>
          <w:color w:val="000000" w:themeColor="text1"/>
          <w:sz w:val="22"/>
          <w:szCs w:val="22"/>
          <w:lang w:val="es-US"/>
        </w:rPr>
      </w:pPr>
    </w:p>
    <w:p w14:paraId="0A2C2064" w14:textId="77777777" w:rsidR="00E019D1" w:rsidRDefault="00E019D1">
      <w:pPr>
        <w:rPr>
          <w:rFonts w:ascii="Century Gothic" w:hAnsi="Century Gothic"/>
          <w:color w:val="000000" w:themeColor="text1"/>
          <w:sz w:val="22"/>
          <w:szCs w:val="22"/>
          <w:lang w:val="es-US"/>
        </w:rPr>
      </w:pPr>
      <w:r>
        <w:rPr>
          <w:rFonts w:ascii="Century Gothic" w:hAnsi="Century Gothic"/>
          <w:color w:val="000000" w:themeColor="text1"/>
          <w:sz w:val="22"/>
          <w:szCs w:val="22"/>
          <w:lang w:val="es-US"/>
        </w:rPr>
        <w:br w:type="page"/>
      </w:r>
    </w:p>
    <w:p w14:paraId="7F207306" w14:textId="77777777" w:rsidR="00E019D1" w:rsidRDefault="00E019D1" w:rsidP="00557C34">
      <w:pPr>
        <w:spacing w:before="102" w:line="360" w:lineRule="auto"/>
        <w:ind w:firstLine="708"/>
        <w:jc w:val="both"/>
        <w:rPr>
          <w:rFonts w:ascii="Century Gothic" w:hAnsi="Century Gothic"/>
          <w:color w:val="000000" w:themeColor="text1"/>
          <w:sz w:val="22"/>
          <w:szCs w:val="22"/>
          <w:lang w:val="es-US"/>
        </w:rPr>
        <w:sectPr w:rsidR="00E019D1" w:rsidSect="00E019D1">
          <w:pgSz w:w="15840" w:h="12240" w:orient="landscape"/>
          <w:pgMar w:top="1440" w:right="1440" w:bottom="1440" w:left="1440" w:header="709" w:footer="709" w:gutter="0"/>
          <w:cols w:space="708"/>
          <w:docGrid w:linePitch="360"/>
        </w:sectPr>
      </w:pPr>
    </w:p>
    <w:p w14:paraId="5BABAC20" w14:textId="7D66B599" w:rsidR="00E019D1" w:rsidRPr="00E019D1" w:rsidRDefault="00E019D1" w:rsidP="00E019D1">
      <w:pPr>
        <w:spacing w:before="102"/>
        <w:jc w:val="both"/>
        <w:rPr>
          <w:rFonts w:ascii="Century Gothic" w:hAnsi="Century Gothic"/>
          <w:b/>
          <w:bCs/>
          <w:color w:val="025850"/>
        </w:rPr>
      </w:pPr>
      <w:r w:rsidRPr="00E019D1">
        <w:rPr>
          <w:rFonts w:ascii="Century Gothic" w:hAnsi="Century Gothic"/>
          <w:b/>
          <w:bCs/>
          <w:color w:val="025850"/>
        </w:rPr>
        <w:lastRenderedPageBreak/>
        <w:t xml:space="preserve">Participación </w:t>
      </w:r>
      <w:r>
        <w:rPr>
          <w:rFonts w:ascii="Century Gothic" w:hAnsi="Century Gothic"/>
          <w:b/>
          <w:bCs/>
          <w:color w:val="025850"/>
        </w:rPr>
        <w:t>D</w:t>
      </w:r>
      <w:r w:rsidRPr="00E019D1">
        <w:rPr>
          <w:rFonts w:ascii="Century Gothic" w:hAnsi="Century Gothic"/>
          <w:b/>
          <w:bCs/>
          <w:color w:val="025850"/>
        </w:rPr>
        <w:t xml:space="preserve">emocrática e </w:t>
      </w:r>
      <w:r>
        <w:rPr>
          <w:rFonts w:ascii="Century Gothic" w:hAnsi="Century Gothic"/>
          <w:b/>
          <w:bCs/>
          <w:color w:val="025850"/>
        </w:rPr>
        <w:t>I</w:t>
      </w:r>
      <w:r w:rsidRPr="00E019D1">
        <w:rPr>
          <w:rFonts w:ascii="Century Gothic" w:hAnsi="Century Gothic"/>
          <w:b/>
          <w:bCs/>
          <w:color w:val="025850"/>
        </w:rPr>
        <w:t xml:space="preserve">ncluyente en la </w:t>
      </w:r>
      <w:r>
        <w:rPr>
          <w:rFonts w:ascii="Century Gothic" w:hAnsi="Century Gothic"/>
          <w:b/>
          <w:bCs/>
          <w:color w:val="025850"/>
        </w:rPr>
        <w:t>F</w:t>
      </w:r>
      <w:r w:rsidRPr="00E019D1">
        <w:rPr>
          <w:rFonts w:ascii="Century Gothic" w:hAnsi="Century Gothic"/>
          <w:b/>
          <w:bCs/>
          <w:color w:val="025850"/>
        </w:rPr>
        <w:t>ormulación del Plan de Desarrollo Municipal 2025-2027</w:t>
      </w:r>
      <w:r>
        <w:rPr>
          <w:rFonts w:ascii="Century Gothic" w:hAnsi="Century Gothic"/>
          <w:b/>
          <w:bCs/>
          <w:color w:val="025850"/>
        </w:rPr>
        <w:t>.</w:t>
      </w:r>
    </w:p>
    <w:p w14:paraId="63F72FD9" w14:textId="77777777" w:rsidR="00E019D1" w:rsidRPr="00E019D1" w:rsidRDefault="00E019D1" w:rsidP="00E019D1">
      <w:pPr>
        <w:spacing w:before="102" w:line="360" w:lineRule="auto"/>
        <w:ind w:firstLine="708"/>
        <w:jc w:val="both"/>
        <w:rPr>
          <w:rFonts w:ascii="Century Gothic" w:hAnsi="Century Gothic"/>
          <w:color w:val="000000" w:themeColor="text1"/>
          <w:sz w:val="22"/>
          <w:szCs w:val="22"/>
        </w:rPr>
      </w:pPr>
      <w:r w:rsidRPr="00E019D1">
        <w:rPr>
          <w:rFonts w:ascii="Century Gothic" w:hAnsi="Century Gothic"/>
          <w:color w:val="000000" w:themeColor="text1"/>
          <w:sz w:val="22"/>
          <w:szCs w:val="22"/>
        </w:rPr>
        <w:t>La participación democrática e inclusiva es fundamental para la creación del Plan de Desarrollo Municipal (PDM), ya que garantiza que las decisiones reflejen las necesidades, expectativas y deseos de la ciudadanía. Para construir un municipio más justo, eficiente y sostenible, es necesario un proceso de planeación en el que participen diversos sectores de la sociedad. Esto fomenta un diálogo abierto y transparente entre autoridades, comunidad, organizaciones civiles y el sector privado.</w:t>
      </w:r>
    </w:p>
    <w:p w14:paraId="1CF38B13" w14:textId="64ED74C7" w:rsidR="00E019D1" w:rsidRPr="00E019D1" w:rsidRDefault="00E019D1" w:rsidP="00E019D1">
      <w:pPr>
        <w:spacing w:before="102" w:line="360" w:lineRule="auto"/>
        <w:ind w:firstLine="708"/>
        <w:jc w:val="both"/>
        <w:rPr>
          <w:rFonts w:ascii="Century Gothic" w:hAnsi="Century Gothic"/>
          <w:color w:val="000000" w:themeColor="text1"/>
          <w:sz w:val="22"/>
          <w:szCs w:val="22"/>
        </w:rPr>
      </w:pPr>
      <w:r w:rsidRPr="00E019D1">
        <w:rPr>
          <w:rFonts w:ascii="Century Gothic" w:hAnsi="Century Gothic"/>
          <w:color w:val="000000" w:themeColor="text1"/>
          <w:sz w:val="22"/>
          <w:szCs w:val="22"/>
        </w:rPr>
        <w:t>La participación</w:t>
      </w:r>
      <w:r w:rsidR="007C62C8">
        <w:rPr>
          <w:rFonts w:ascii="Century Gothic" w:hAnsi="Century Gothic"/>
          <w:color w:val="000000" w:themeColor="text1"/>
          <w:sz w:val="22"/>
          <w:szCs w:val="22"/>
        </w:rPr>
        <w:t xml:space="preserve"> </w:t>
      </w:r>
      <w:r w:rsidRPr="00E019D1">
        <w:rPr>
          <w:rFonts w:ascii="Century Gothic" w:hAnsi="Century Gothic"/>
          <w:color w:val="000000" w:themeColor="text1"/>
          <w:sz w:val="22"/>
          <w:szCs w:val="22"/>
        </w:rPr>
        <w:t xml:space="preserve">activa de la sociedad no solo fortalece la legitimidad del Plan de Desarrollo, sino que también promueve la corresponsabilidad en la gestión pública. De esta manera, las políticas y programas responden a las realidades locales y cuentan con el respaldo de la ciudadanía. Para lograrlo, se utilizan mecanismos como consultas públicas, foros y consejos de participación ciudadana, asegurando que todas las voces sean escuchadas al momento de diseñar las </w:t>
      </w:r>
      <w:r w:rsidRPr="00E019D1">
        <w:rPr>
          <w:rFonts w:ascii="Century Gothic" w:hAnsi="Century Gothic"/>
          <w:color w:val="000000" w:themeColor="text1"/>
          <w:sz w:val="22"/>
          <w:szCs w:val="22"/>
        </w:rPr>
        <w:t>estrategias que impulsarán el desarrollo integral del municipio.</w:t>
      </w:r>
    </w:p>
    <w:p w14:paraId="368F08B3" w14:textId="7CDABF74" w:rsidR="00E12B50" w:rsidRDefault="00E019D1" w:rsidP="00E019D1">
      <w:pPr>
        <w:spacing w:before="102" w:line="360" w:lineRule="auto"/>
        <w:ind w:firstLine="708"/>
        <w:jc w:val="both"/>
        <w:rPr>
          <w:rFonts w:ascii="Century Gothic" w:hAnsi="Century Gothic"/>
          <w:color w:val="000000" w:themeColor="text1"/>
          <w:sz w:val="22"/>
          <w:szCs w:val="22"/>
        </w:rPr>
      </w:pPr>
      <w:r w:rsidRPr="00E019D1">
        <w:rPr>
          <w:rFonts w:ascii="Century Gothic" w:hAnsi="Century Gothic"/>
          <w:color w:val="000000" w:themeColor="text1"/>
          <w:sz w:val="22"/>
          <w:szCs w:val="22"/>
        </w:rPr>
        <w:t>El Foro de Consulta Ciudadana, llevado a cabo como parte del proceso participativo para la formulación del Plan de Desarrollo Municipal 2025-2027 de San Antonio la Isla, reunió a ciudadanos, autoridades, organizaciones civiles y el sector privado para debatir y proponer acciones en diversas áreas clave para el desarrollo del municipio. A continuación, se presentan los resultados de cada una de las mesas de trabajo, organizadas en torno a los Ejes de Cambio y los Ejes Transversales, en línea con los Objetivos de Desarrollo Sostenible (ODS).</w:t>
      </w:r>
    </w:p>
    <w:p w14:paraId="6EEFBEF9" w14:textId="77777777" w:rsidR="00E12B50" w:rsidRDefault="00E12B50">
      <w:pPr>
        <w:rPr>
          <w:rFonts w:ascii="Century Gothic" w:hAnsi="Century Gothic"/>
          <w:color w:val="000000" w:themeColor="text1"/>
          <w:sz w:val="22"/>
          <w:szCs w:val="22"/>
        </w:rPr>
      </w:pPr>
      <w:r>
        <w:rPr>
          <w:rFonts w:ascii="Century Gothic" w:hAnsi="Century Gothic"/>
          <w:color w:val="000000" w:themeColor="text1"/>
          <w:sz w:val="22"/>
          <w:szCs w:val="22"/>
        </w:rPr>
        <w:br w:type="page"/>
      </w:r>
    </w:p>
    <w:p w14:paraId="284D8249" w14:textId="7E7E3DC8" w:rsidR="00E019D1" w:rsidRDefault="00E019D1" w:rsidP="00E019D1">
      <w:pPr>
        <w:spacing w:before="102"/>
        <w:jc w:val="both"/>
        <w:rPr>
          <w:rFonts w:ascii="Century Gothic" w:hAnsi="Century Gothic"/>
          <w:b/>
          <w:bCs/>
          <w:color w:val="025850"/>
        </w:rPr>
      </w:pPr>
      <w:r w:rsidRPr="00E019D1">
        <w:rPr>
          <w:rFonts w:ascii="Century Gothic" w:hAnsi="Century Gothic"/>
          <w:b/>
          <w:bCs/>
          <w:color w:val="025850"/>
        </w:rPr>
        <w:lastRenderedPageBreak/>
        <w:t xml:space="preserve">Foro de </w:t>
      </w:r>
      <w:r>
        <w:rPr>
          <w:rFonts w:ascii="Century Gothic" w:hAnsi="Century Gothic"/>
          <w:b/>
          <w:bCs/>
          <w:color w:val="025850"/>
        </w:rPr>
        <w:t>C</w:t>
      </w:r>
      <w:r w:rsidRPr="00E019D1">
        <w:rPr>
          <w:rFonts w:ascii="Century Gothic" w:hAnsi="Century Gothic"/>
          <w:b/>
          <w:bCs/>
          <w:color w:val="025850"/>
        </w:rPr>
        <w:t xml:space="preserve">onsulta </w:t>
      </w:r>
      <w:r>
        <w:rPr>
          <w:rFonts w:ascii="Century Gothic" w:hAnsi="Century Gothic"/>
          <w:b/>
          <w:bCs/>
          <w:color w:val="025850"/>
        </w:rPr>
        <w:t>C</w:t>
      </w:r>
      <w:r w:rsidRPr="00E019D1">
        <w:rPr>
          <w:rFonts w:ascii="Century Gothic" w:hAnsi="Century Gothic"/>
          <w:b/>
          <w:bCs/>
          <w:color w:val="025850"/>
        </w:rPr>
        <w:t>iudadana</w:t>
      </w:r>
    </w:p>
    <w:p w14:paraId="7F8444E9" w14:textId="77777777"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rPr>
        <w:t xml:space="preserve">La participación democrática e inclusiva es fundamental </w:t>
      </w:r>
      <w:r w:rsidRPr="00E12B50">
        <w:rPr>
          <w:rFonts w:ascii="Century Gothic" w:hAnsi="Century Gothic"/>
          <w:sz w:val="22"/>
          <w:szCs w:val="22"/>
        </w:rPr>
        <w:t>para la creación del Plan de Desarrollo Municipal (PDM), ya que garantiza que las decisiones reflejen las necesidades, expectativas y deseos de la ciudadanía. Para construir un municipio más justo, eficiente y sostenible, es necesario un proceso de planeación en el que participen diversos sectores de la sociedad. Esto fomenta un diálogo abierto y transparente entre autoridades, comunidad, organizaciones civiles y el sector privado.</w:t>
      </w:r>
    </w:p>
    <w:p w14:paraId="105496AF" w14:textId="77777777"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La participación activa de la sociedad no solo fortalece la legitimidad del Plan de Desarrollo, sino que también promueve la corresponsabilidad en la gestión pública. De esta manera, las políticas y programas responden a las realidades locales y cuentan con el respaldo de la ciudadanía. Para lograrlo, se utilizan mecanismos como consultas públicas, foros y consejos de participación ciudadana, asegurando que todas las voces sean escuchadas al momento de diseñar las estrategias que impulsarán el desarrollo integral del municipio.</w:t>
      </w:r>
    </w:p>
    <w:p w14:paraId="71ECBC56" w14:textId="0A665912"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El Foro de Consulta Ciudadana, llevado a cabo como parte del proceso participativo para la formulación del Plan de Desarrollo Municipal 2025-2027 de San Antonio la Isla, reunió a ciudadanos, autoridades, organizaciones civiles y el sector privado para debatir y proponer acciones en diversas áreas clave para el desarrollo del municipio. A continuación, se presentan los resultados de cada una de las mesas de trabajo, organizadas en torno a los Ejes de Cambio y los Ejes Transversales, en línea con los Objetivos de Desarrollo Sostenible (ODS).</w:t>
      </w:r>
    </w:p>
    <w:p w14:paraId="22021E10" w14:textId="77777777" w:rsidR="00E12B50" w:rsidRPr="00E12B50" w:rsidRDefault="00E12B50" w:rsidP="00E12B50">
      <w:p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Eje de Cambio 1: Cero corrupción y gobierno del pueblo y para el pueblo. “Estado de Derecho y Austeridad”</w:t>
      </w:r>
    </w:p>
    <w:p w14:paraId="4648182A"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sz w:val="22"/>
          <w:szCs w:val="22"/>
        </w:rPr>
        <w:t>Objetivo: Promover un gobierno transparente, responsable y cercano a la ciudadanía.</w:t>
      </w:r>
    </w:p>
    <w:p w14:paraId="195CF3AE" w14:textId="4621B0EA"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Resultados Clave:</w:t>
      </w:r>
    </w:p>
    <w:p w14:paraId="1DFD0B5E"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Principio de legalidad como piedra fundamental del Estado de Derecho:</w:t>
      </w:r>
    </w:p>
    <w:p w14:paraId="0FA9CE9F"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En muchas ocasiones, el principio de legalidad no se aplica de manera consistente, lo que afecta la confianza de la ciudadanía en las instituciones públicas.</w:t>
      </w:r>
    </w:p>
    <w:p w14:paraId="00686974" w14:textId="77777777" w:rsidR="00E12B50" w:rsidRPr="00E12B50" w:rsidRDefault="00E12B50" w:rsidP="00E12B50">
      <w:pPr>
        <w:numPr>
          <w:ilvl w:val="1"/>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0A249C1"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lastRenderedPageBreak/>
        <w:t>Fortalecer el respeto al principio de legalidad en todas las acciones del gobierno, garantizando que todas las decisiones y políticas públicas se ajusten a la ley vigente.</w:t>
      </w:r>
    </w:p>
    <w:p w14:paraId="2CF436F3"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Impulsar campañas de sensibilización sobre la importancia de este principio para el fortalecimiento del Estado de Derecho.</w:t>
      </w:r>
    </w:p>
    <w:p w14:paraId="2FECD53B"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Aplicación imparcial de la ley:</w:t>
      </w:r>
    </w:p>
    <w:p w14:paraId="2BBD00D1"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aplicación de la ley no siempre es imparcial, lo que puede generar desconfianza y desigualdad ante la justicia.</w:t>
      </w:r>
    </w:p>
    <w:p w14:paraId="0CD5173D"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65E9334F"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Capacitar a los funcionarios y servidores públicos en el principio de imparcialidad y justicia, con enfoque en Derechos Humanos.</w:t>
      </w:r>
    </w:p>
    <w:p w14:paraId="3E6247B9"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Cultura de denuncia y promoción de </w:t>
      </w:r>
      <w:proofErr w:type="gramStart"/>
      <w:r w:rsidRPr="00E12B50">
        <w:rPr>
          <w:rFonts w:ascii="Century Gothic" w:hAnsi="Century Gothic"/>
          <w:color w:val="025850"/>
          <w:sz w:val="22"/>
          <w:szCs w:val="22"/>
        </w:rPr>
        <w:t>la misma</w:t>
      </w:r>
      <w:proofErr w:type="gramEnd"/>
      <w:r w:rsidRPr="00E12B50">
        <w:rPr>
          <w:rFonts w:ascii="Century Gothic" w:hAnsi="Century Gothic"/>
          <w:color w:val="025850"/>
          <w:sz w:val="22"/>
          <w:szCs w:val="22"/>
        </w:rPr>
        <w:t>:</w:t>
      </w:r>
    </w:p>
    <w:p w14:paraId="5B665EDE"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una cultura de denuncia limita la detección de delitos, abusos y actos de corrupción.</w:t>
      </w:r>
    </w:p>
    <w:p w14:paraId="0152629D" w14:textId="77777777" w:rsidR="00E12B50" w:rsidRPr="00E12B50" w:rsidRDefault="00E12B50" w:rsidP="00E12B50">
      <w:pPr>
        <w:numPr>
          <w:ilvl w:val="1"/>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509DCD18"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Establecer canales accesibles y seguros para que la ciudadanía pueda realizar denuncias de manera anónima y sin temor a represalias.</w:t>
      </w:r>
    </w:p>
    <w:p w14:paraId="50D1E411"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Promover la importancia de la denuncia mediante campañas informativas y educación cívica, mostrando el impacto positivo que tiene para la comunidad.</w:t>
      </w:r>
    </w:p>
    <w:p w14:paraId="1F273705"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La transparencia y rendición de cuentas:</w:t>
      </w:r>
    </w:p>
    <w:p w14:paraId="3E76824C"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transparencia en la administración pública genera desconfianza y dificulta la rendición de cuentas.</w:t>
      </w:r>
    </w:p>
    <w:p w14:paraId="63718263"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14A3F592"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Promover la transparencia en todos los niveles de gobierno mediante plataformas digitales abiertas y accesibles para el ciudadano.</w:t>
      </w:r>
    </w:p>
    <w:p w14:paraId="7110A133"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Participación ciudadana:</w:t>
      </w:r>
    </w:p>
    <w:p w14:paraId="26052674"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participación ciudadana en la toma de decisiones es limitada, lo que debilita la legitimidad y la efectividad de las políticas públicas.</w:t>
      </w:r>
    </w:p>
    <w:p w14:paraId="2EA0EC9C"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lastRenderedPageBreak/>
        <w:t xml:space="preserve">Alternativa de solución: </w:t>
      </w:r>
    </w:p>
    <w:p w14:paraId="6EA1E68C"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Desarrollar mecanismos digitales y presenciales para involucrar a la población en el diseño y evaluación de políticas públicas.</w:t>
      </w:r>
    </w:p>
    <w:p w14:paraId="54168CCF"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Austeridad de forma responsable:</w:t>
      </w:r>
    </w:p>
    <w:p w14:paraId="0024B619"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austeridad en el uso de los recursos públicos puede generar una gestión ineficiente de los fondos.</w:t>
      </w:r>
    </w:p>
    <w:p w14:paraId="1B6A88D8"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61107CF1"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Implementar políticas de austeridad responsables que garanticen el uso eficiente de los recursos, priorizando el bienestar de la ciudadanía y evitando gastos innecesarios.</w:t>
      </w:r>
    </w:p>
    <w:p w14:paraId="509613CC"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Realizar auditorías regulares a las finanzas públicas y dar a conocer los resultados de manera pública y transparente.</w:t>
      </w:r>
    </w:p>
    <w:p w14:paraId="288268AE"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Gobierno cercano a la gente:</w:t>
      </w:r>
    </w:p>
    <w:p w14:paraId="2DF6A072"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distancia entre los gobiernos y la ciudadanía genera desconfianza y falta de acceso a servicios básicos.</w:t>
      </w:r>
    </w:p>
    <w:p w14:paraId="697608F5"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70428D25"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Impulsar visitas y reuniones regulares de autoridades con la comunidad, fomentando el diálogo directo.</w:t>
      </w:r>
    </w:p>
    <w:p w14:paraId="442DC518"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Implementar consejos ciudadanos:</w:t>
      </w:r>
    </w:p>
    <w:p w14:paraId="2AEEFEEA"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participación en la toma de decisiones por parte de los ciudadanos puede llevar a políticas públicas que no reflejan las necesidades de la comunidad.</w:t>
      </w:r>
    </w:p>
    <w:p w14:paraId="2DB61EA4"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3EC245EE"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Crear consejos ciudadanos en diferentes áreas de la administración pública para que los ciudadanos participen activamente en la toma de decisiones relacionadas con su bienestar.</w:t>
      </w:r>
    </w:p>
    <w:p w14:paraId="3E0198D2"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Desarrollar políticas públicas en materia de transparencia y rendición de cuentas:</w:t>
      </w:r>
    </w:p>
    <w:p w14:paraId="5E509691"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Las políticas públicas en materia de transparencia a menudo carecen de un enfoque claro y de mecanismos efectivos de implementación.</w:t>
      </w:r>
    </w:p>
    <w:p w14:paraId="54AD1031"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0E5307A3"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lastRenderedPageBreak/>
        <w:t>Crear políticas públicas específicas que garanticen la transparencia en la gestión pública, incluyendo sanciones claras para los casos de corrupción y abuso de poder.</w:t>
      </w:r>
    </w:p>
    <w:p w14:paraId="2258B7E8"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Fomentar la formación de servidores públicos en temas de transparencia, rendición de cuentas y ética.</w:t>
      </w:r>
    </w:p>
    <w:p w14:paraId="409401E5"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Publicidad a la reglamentación municipal en formatos de lectura básica (comprensible para los ciudadanos):</w:t>
      </w:r>
    </w:p>
    <w:p w14:paraId="09197407"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reglamentación municipal no siempre está accesible o es comprensible para los ciudadanos, lo que dificulta su cumplimiento y conocimiento.</w:t>
      </w:r>
    </w:p>
    <w:p w14:paraId="3084EF1C"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76D5D258"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Utilizar diferentes canales de comunicación, como medios digitales, folletos y carteles, para difundir la reglamentación de manera efectiva.</w:t>
      </w:r>
    </w:p>
    <w:p w14:paraId="03F37D9F"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Comité de Anticorrupción como prioridad para la transparencia:</w:t>
      </w:r>
    </w:p>
    <w:p w14:paraId="2F26F5C9"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corrupción es un obstáculo para el desarrollo y la confianza en las instituciones gubernamentales.</w:t>
      </w:r>
    </w:p>
    <w:p w14:paraId="04AFDC44"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69A1D1AD"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Establecer un Comité de Anticorrupción independiente y autónomo con poder real para investigar y sancionar los actos de corrupción dentro del gobierno.</w:t>
      </w:r>
    </w:p>
    <w:p w14:paraId="7FF5C3CB"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Mecanismos eficaces para investigar y sancionar la corrupción:</w:t>
      </w:r>
    </w:p>
    <w:p w14:paraId="12653CCF"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mecanismos eficaces para la investigación y sanción de la corrupción fomenta la impunidad.</w:t>
      </w:r>
    </w:p>
    <w:p w14:paraId="50DA80A1"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69857980"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Garantizar que las investigaciones sean rápidas, justas y que no haya interferencias políticas en los casos de corrupción.</w:t>
      </w:r>
    </w:p>
    <w:p w14:paraId="40931B9C"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Fomento a la cultura de la ética, educación cívica, respeto a los bienes públicos:</w:t>
      </w:r>
    </w:p>
    <w:p w14:paraId="66971007"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ética y valores cívicos contribuye a la desorganización social y a la negligencia en el uso de bienes públicos.</w:t>
      </w:r>
    </w:p>
    <w:p w14:paraId="4C4ECD03"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lastRenderedPageBreak/>
        <w:t xml:space="preserve">Alternativa de solución: </w:t>
      </w:r>
    </w:p>
    <w:p w14:paraId="061BB839"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Promover programas de educación cívica en escuelas y comunidades, enfocados en el respeto a los derechos humanos, el uso responsable de los recursos públicos y el fortalecimiento de los valores éticos.</w:t>
      </w:r>
    </w:p>
    <w:p w14:paraId="707704CC"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Crear campañas que incentiven el cuidado y respeto de los bienes públicos, fomentando el sentido de responsabilidad compartida.</w:t>
      </w:r>
    </w:p>
    <w:p w14:paraId="20FFF8C0"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Trámites y servicios:</w:t>
      </w:r>
    </w:p>
    <w:p w14:paraId="16F6B44C"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Los trámites administrativos son a menudo complicados y poco claros, lo que genera frustración y desinformación.</w:t>
      </w:r>
    </w:p>
    <w:p w14:paraId="116F7339"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7BA3FA3D"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Mejorar la accesibilidad de la información sobre trámites y servicios a través de guías detalladas, páginas web, y servicios de atención al ciudadano fáciles de usar.</w:t>
      </w:r>
    </w:p>
    <w:p w14:paraId="5CC400A0"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 xml:space="preserve">Ofrecer asesoría personalizada a la ciudadanía para orientarles en la </w:t>
      </w:r>
      <w:r w:rsidRPr="00E12B50">
        <w:rPr>
          <w:rFonts w:ascii="Century Gothic" w:hAnsi="Century Gothic"/>
          <w:sz w:val="22"/>
          <w:szCs w:val="22"/>
        </w:rPr>
        <w:t>realización de trámites y servicios de manera ágil y sencilla.</w:t>
      </w:r>
    </w:p>
    <w:p w14:paraId="6658EDBD" w14:textId="77777777" w:rsidR="00E12B50" w:rsidRPr="00E12B50" w:rsidRDefault="00E12B50" w:rsidP="00E12B50">
      <w:pPr>
        <w:numPr>
          <w:ilvl w:val="0"/>
          <w:numId w:val="87"/>
        </w:numPr>
        <w:spacing w:before="102"/>
        <w:jc w:val="both"/>
        <w:rPr>
          <w:rFonts w:ascii="Century Gothic" w:hAnsi="Century Gothic"/>
          <w:color w:val="025850"/>
          <w:sz w:val="22"/>
          <w:szCs w:val="22"/>
        </w:rPr>
      </w:pPr>
      <w:r w:rsidRPr="00E12B50">
        <w:rPr>
          <w:rFonts w:ascii="Century Gothic" w:hAnsi="Century Gothic"/>
          <w:color w:val="025850"/>
          <w:sz w:val="22"/>
          <w:szCs w:val="22"/>
        </w:rPr>
        <w:t>Capacitación de servidores públicos:</w:t>
      </w:r>
    </w:p>
    <w:p w14:paraId="7CA54FE9"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Problema: La falta de capacitación continua para los servidores públicos puede llevar a una gestión ineficiente y poco ética en la administración pública.</w:t>
      </w:r>
    </w:p>
    <w:p w14:paraId="6CF79F31" w14:textId="77777777" w:rsidR="00E12B50" w:rsidRPr="00E12B50" w:rsidRDefault="00E12B50" w:rsidP="00E12B50">
      <w:pPr>
        <w:numPr>
          <w:ilvl w:val="1"/>
          <w:numId w:val="87"/>
        </w:numPr>
        <w:spacing w:before="102"/>
        <w:jc w:val="both"/>
        <w:rPr>
          <w:rFonts w:ascii="Century Gothic" w:hAnsi="Century Gothic"/>
          <w:sz w:val="22"/>
          <w:szCs w:val="22"/>
        </w:rPr>
      </w:pPr>
      <w:r w:rsidRPr="00E12B50">
        <w:rPr>
          <w:rFonts w:ascii="Century Gothic" w:hAnsi="Century Gothic"/>
          <w:sz w:val="22"/>
          <w:szCs w:val="22"/>
        </w:rPr>
        <w:t xml:space="preserve">Alternativa de solución: </w:t>
      </w:r>
    </w:p>
    <w:p w14:paraId="72A31D40"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Implementar programas de formación y actualización constante para los servidores públicos en temas de ética, transparencia, gestión pública y derechos humanos.</w:t>
      </w:r>
    </w:p>
    <w:p w14:paraId="76A6033A" w14:textId="77777777" w:rsidR="00E12B50" w:rsidRPr="00E12B50" w:rsidRDefault="00E12B50" w:rsidP="00E12B50">
      <w:pPr>
        <w:numPr>
          <w:ilvl w:val="2"/>
          <w:numId w:val="87"/>
        </w:numPr>
        <w:spacing w:before="102"/>
        <w:jc w:val="both"/>
        <w:rPr>
          <w:rFonts w:ascii="Century Gothic" w:hAnsi="Century Gothic"/>
          <w:sz w:val="22"/>
          <w:szCs w:val="22"/>
        </w:rPr>
      </w:pPr>
      <w:r w:rsidRPr="00E12B50">
        <w:rPr>
          <w:rFonts w:ascii="Century Gothic" w:hAnsi="Century Gothic"/>
          <w:sz w:val="22"/>
          <w:szCs w:val="22"/>
        </w:rPr>
        <w:t>Fomentar la creación de un sistema de evaluación del desempeño para asegurar que los servidores públicos cumplan con los estándares establecidos.</w:t>
      </w:r>
    </w:p>
    <w:p w14:paraId="59D6C653" w14:textId="7777777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Conclusión</w:t>
      </w:r>
    </w:p>
    <w:p w14:paraId="1F833A8B" w14:textId="77777777" w:rsidR="00E12B50" w:rsidRPr="00E12B50" w:rsidRDefault="00E12B50" w:rsidP="00C51FAD">
      <w:pPr>
        <w:spacing w:before="102" w:line="360" w:lineRule="auto"/>
        <w:jc w:val="both"/>
        <w:rPr>
          <w:rFonts w:ascii="Century Gothic" w:hAnsi="Century Gothic"/>
          <w:sz w:val="22"/>
          <w:szCs w:val="22"/>
        </w:rPr>
      </w:pPr>
      <w:r w:rsidRPr="00E12B50">
        <w:rPr>
          <w:rFonts w:ascii="Century Gothic" w:hAnsi="Century Gothic"/>
          <w:sz w:val="22"/>
          <w:szCs w:val="22"/>
        </w:rPr>
        <w:t xml:space="preserve">Para fortalecer el Estado de Derecho y garantizar una gestión pública efectiva y transparente, es crucial implementar políticas y prácticas que promuevan la participación ciudadana, la transparencia, la rendición </w:t>
      </w:r>
      <w:r w:rsidRPr="00E12B50">
        <w:rPr>
          <w:rFonts w:ascii="Century Gothic" w:hAnsi="Century Gothic"/>
          <w:sz w:val="22"/>
          <w:szCs w:val="22"/>
        </w:rPr>
        <w:lastRenderedPageBreak/>
        <w:t>de cuentas y la ética en todos los niveles de gobierno. Al adoptar estas soluciones, se puede construir una comunidad más justa, eficiente y equitativa, donde la confianza entre ciudadanos y autoridades se vea reforzada.</w:t>
      </w:r>
    </w:p>
    <w:p w14:paraId="560E1996" w14:textId="77777777" w:rsidR="00E12B50" w:rsidRPr="00E12B50" w:rsidRDefault="00E12B50" w:rsidP="00E12B50">
      <w:p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Eje de Cambio 2: Bienestar Ambiental y Acceso Universal al Agua. “Preservación y Promoción Ecológica”</w:t>
      </w:r>
    </w:p>
    <w:p w14:paraId="75F86A74"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color w:val="025850"/>
          <w:sz w:val="22"/>
          <w:szCs w:val="22"/>
        </w:rPr>
        <w:t>Objetivo:</w:t>
      </w:r>
      <w:r w:rsidRPr="00E12B50">
        <w:rPr>
          <w:rFonts w:ascii="Century Gothic" w:hAnsi="Century Gothic"/>
          <w:sz w:val="22"/>
          <w:szCs w:val="22"/>
        </w:rPr>
        <w:t xml:space="preserve"> Asegurar un entorno sostenible y el acceso a servicios esenciales para todos los habitantes.</w:t>
      </w:r>
    </w:p>
    <w:p w14:paraId="112E360D" w14:textId="0670EC3E"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Resultados Clave:</w:t>
      </w:r>
    </w:p>
    <w:p w14:paraId="34DC452C" w14:textId="77777777" w:rsidR="00E12B50" w:rsidRPr="00E12B50" w:rsidRDefault="00E12B50" w:rsidP="00E12B50">
      <w:pPr>
        <w:numPr>
          <w:ilvl w:val="0"/>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Uso ineficiente del agua:</w:t>
      </w:r>
    </w:p>
    <w:p w14:paraId="01568886" w14:textId="7777777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6FC0207E"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Implementar programas de concientización en las escuelas y en la comunidad sobre la importancia del uso responsable del agua.</w:t>
      </w:r>
    </w:p>
    <w:p w14:paraId="38AB7B3C" w14:textId="77777777" w:rsidR="00E12B50" w:rsidRPr="00E12B50" w:rsidRDefault="00E12B50" w:rsidP="00E12B50">
      <w:pPr>
        <w:numPr>
          <w:ilvl w:val="0"/>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mantenimiento en áreas verdes y espacios públicos:</w:t>
      </w:r>
    </w:p>
    <w:p w14:paraId="25A37CBF" w14:textId="77777777" w:rsidR="00E12B50" w:rsidRPr="00E12B50" w:rsidRDefault="00E12B50" w:rsidP="00E12B50">
      <w:pPr>
        <w:numPr>
          <w:ilvl w:val="1"/>
          <w:numId w:val="88"/>
        </w:numPr>
        <w:spacing w:before="102"/>
        <w:jc w:val="both"/>
        <w:rPr>
          <w:rFonts w:ascii="Century Gothic" w:hAnsi="Century Gothic"/>
          <w:sz w:val="22"/>
          <w:szCs w:val="22"/>
        </w:rPr>
      </w:pPr>
      <w:r w:rsidRPr="00E12B50">
        <w:rPr>
          <w:rFonts w:ascii="Century Gothic" w:hAnsi="Century Gothic"/>
          <w:sz w:val="22"/>
          <w:szCs w:val="22"/>
        </w:rPr>
        <w:t xml:space="preserve">Problema: Las áreas verdes y los espacios públicos están descuidados, con árboles sin mantenimiento adecuado y sin esfuerzos de reforestación que ayuden a mejorar la </w:t>
      </w:r>
      <w:r w:rsidRPr="00E12B50">
        <w:rPr>
          <w:rFonts w:ascii="Century Gothic" w:hAnsi="Century Gothic"/>
          <w:sz w:val="22"/>
          <w:szCs w:val="22"/>
        </w:rPr>
        <w:t>calidad del aire y la biodiversidad. No se están promoviendo espacios recreativos adecuados ni se fomenta el respeto por el medio ambiente en la comunidad.</w:t>
      </w:r>
    </w:p>
    <w:p w14:paraId="0BF57DF6" w14:textId="77777777" w:rsidR="00E12B50" w:rsidRPr="00E12B50" w:rsidRDefault="00E12B50" w:rsidP="00E12B50">
      <w:pPr>
        <w:numPr>
          <w:ilvl w:val="1"/>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63EE0049"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Crear un plan de mantenimiento y reforestación para todas las áreas verdes y parques públicos, con el apoyo de empresas y organizaciones locales.</w:t>
      </w:r>
    </w:p>
    <w:p w14:paraId="3C8DDA05"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Promover programas de voluntariado para la limpieza y el cuidado de los espacios públicos, involucrando a la comunidad en su conservación.</w:t>
      </w:r>
    </w:p>
    <w:p w14:paraId="28F1C211" w14:textId="77777777" w:rsidR="00E12B50" w:rsidRPr="00E12B50" w:rsidRDefault="00E12B50" w:rsidP="00E12B50">
      <w:pPr>
        <w:numPr>
          <w:ilvl w:val="2"/>
          <w:numId w:val="88"/>
        </w:numPr>
        <w:spacing w:before="102"/>
        <w:jc w:val="both"/>
        <w:rPr>
          <w:rFonts w:ascii="Century Gothic" w:hAnsi="Century Gothic"/>
          <w:color w:val="025850"/>
          <w:sz w:val="22"/>
          <w:szCs w:val="22"/>
        </w:rPr>
      </w:pPr>
      <w:r w:rsidRPr="00E12B50">
        <w:rPr>
          <w:rFonts w:ascii="Century Gothic" w:hAnsi="Century Gothic"/>
          <w:sz w:val="22"/>
          <w:szCs w:val="22"/>
        </w:rPr>
        <w:t>Fomentar la creación de más parques y áreas recreativas que sean accesibles para todos los ciudadanos.</w:t>
      </w:r>
    </w:p>
    <w:p w14:paraId="5DAECE41" w14:textId="77777777" w:rsidR="00E12B50" w:rsidRPr="00E12B50" w:rsidRDefault="00E12B50" w:rsidP="00E12B50">
      <w:pPr>
        <w:numPr>
          <w:ilvl w:val="0"/>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Condiciones deficientes en centros educativos:</w:t>
      </w:r>
    </w:p>
    <w:p w14:paraId="162B89C7" w14:textId="77777777" w:rsidR="00E12B50" w:rsidRPr="00E12B50" w:rsidRDefault="00E12B50" w:rsidP="00E12B50">
      <w:pPr>
        <w:numPr>
          <w:ilvl w:val="1"/>
          <w:numId w:val="88"/>
        </w:numPr>
        <w:spacing w:before="102"/>
        <w:jc w:val="both"/>
        <w:rPr>
          <w:rFonts w:ascii="Century Gothic" w:hAnsi="Century Gothic"/>
          <w:sz w:val="22"/>
          <w:szCs w:val="22"/>
        </w:rPr>
      </w:pPr>
      <w:r w:rsidRPr="00E12B50">
        <w:rPr>
          <w:rFonts w:ascii="Century Gothic" w:hAnsi="Century Gothic"/>
          <w:sz w:val="22"/>
          <w:szCs w:val="22"/>
        </w:rPr>
        <w:t xml:space="preserve">Problema: Los centros educativos carecen de un plan adecuado de mantenimiento, lo que genera ambientes deteriorados que afectan el bienestar y el rendimiento de los estudiantes. La comunidad no participa </w:t>
      </w:r>
      <w:r w:rsidRPr="00E12B50">
        <w:rPr>
          <w:rFonts w:ascii="Century Gothic" w:hAnsi="Century Gothic"/>
          <w:sz w:val="22"/>
          <w:szCs w:val="22"/>
        </w:rPr>
        <w:lastRenderedPageBreak/>
        <w:t>activamente en el cuidado de las infraestructuras educativas, lo que contribuye al deterioro constante de las instalaciones.</w:t>
      </w:r>
    </w:p>
    <w:p w14:paraId="1F515BEE" w14:textId="77777777" w:rsidR="00E12B50" w:rsidRPr="00E12B50" w:rsidRDefault="00E12B50" w:rsidP="00E12B50">
      <w:pPr>
        <w:numPr>
          <w:ilvl w:val="1"/>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0F407BA0"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Establecer un programa de mantenimiento preventivo en las escuelas, con inspecciones regulares y reparaciones oportunas.</w:t>
      </w:r>
    </w:p>
    <w:p w14:paraId="37D36B83"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Involucrar a los padres de familia y la comunidad en la organización de jornadas de limpieza y mejoras en las instalaciones escolares.</w:t>
      </w:r>
    </w:p>
    <w:p w14:paraId="44D057E2" w14:textId="77777777" w:rsidR="00E12B50" w:rsidRPr="00E12B50" w:rsidRDefault="00E12B50" w:rsidP="00E12B50">
      <w:pPr>
        <w:numPr>
          <w:ilvl w:val="0"/>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Gestión inadecuada de residuos sólidos:</w:t>
      </w:r>
    </w:p>
    <w:p w14:paraId="07C84409" w14:textId="77777777" w:rsidR="00E12B50" w:rsidRPr="00E12B50" w:rsidRDefault="00E12B50" w:rsidP="00E12B50">
      <w:pPr>
        <w:numPr>
          <w:ilvl w:val="1"/>
          <w:numId w:val="88"/>
        </w:numPr>
        <w:spacing w:before="102"/>
        <w:jc w:val="both"/>
        <w:rPr>
          <w:rFonts w:ascii="Century Gothic" w:hAnsi="Century Gothic"/>
          <w:sz w:val="22"/>
          <w:szCs w:val="22"/>
        </w:rPr>
      </w:pPr>
      <w:r w:rsidRPr="00E12B50">
        <w:rPr>
          <w:rFonts w:ascii="Century Gothic" w:hAnsi="Century Gothic"/>
          <w:sz w:val="22"/>
          <w:szCs w:val="22"/>
        </w:rPr>
        <w:t>Problema: La recolección de residuos sólidos es deficiente, con rutas y horarios mal coordinados, lo que provoca acumulación de basura en las calles y un ambiente insalubre. No se promueve el reciclaje ni la separación de residuos, lo que agrava la contaminación y sobrecarga los vertederos.</w:t>
      </w:r>
    </w:p>
    <w:p w14:paraId="28E6B2F6" w14:textId="77777777" w:rsidR="00E12B50" w:rsidRPr="00E12B50" w:rsidRDefault="00E12B50" w:rsidP="00E12B50">
      <w:pPr>
        <w:numPr>
          <w:ilvl w:val="1"/>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356C48DB"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 xml:space="preserve">Rediseñar el sistema de recolección de residuos para hacerlo más </w:t>
      </w:r>
      <w:r w:rsidRPr="00E12B50">
        <w:rPr>
          <w:rFonts w:ascii="Century Gothic" w:hAnsi="Century Gothic"/>
          <w:sz w:val="22"/>
          <w:szCs w:val="22"/>
        </w:rPr>
        <w:t>eficiente, con rutas y horarios bien establecidos.</w:t>
      </w:r>
    </w:p>
    <w:p w14:paraId="1633C9F6"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Implementar campañas educativas sobre reciclaje y separación de residuos en la comunidad.</w:t>
      </w:r>
    </w:p>
    <w:p w14:paraId="5BD79205"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Instalar más puntos de reciclaje en espacios públicos, escuelas y barrios para facilitar la recolección y reciclaje de materiales.</w:t>
      </w:r>
    </w:p>
    <w:p w14:paraId="7809B7BC" w14:textId="77777777" w:rsidR="00E12B50" w:rsidRPr="00E12B50" w:rsidRDefault="00E12B50" w:rsidP="00E12B50">
      <w:pPr>
        <w:numPr>
          <w:ilvl w:val="0"/>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control de fauna nociva:</w:t>
      </w:r>
    </w:p>
    <w:p w14:paraId="27DA930C" w14:textId="77777777" w:rsidR="00E12B50" w:rsidRPr="00E12B50" w:rsidRDefault="00E12B50" w:rsidP="00E12B50">
      <w:pPr>
        <w:numPr>
          <w:ilvl w:val="1"/>
          <w:numId w:val="88"/>
        </w:numPr>
        <w:spacing w:before="102"/>
        <w:jc w:val="both"/>
        <w:rPr>
          <w:rFonts w:ascii="Century Gothic" w:hAnsi="Century Gothic"/>
          <w:sz w:val="22"/>
          <w:szCs w:val="22"/>
        </w:rPr>
      </w:pPr>
      <w:r w:rsidRPr="00E12B50">
        <w:rPr>
          <w:rFonts w:ascii="Century Gothic" w:hAnsi="Century Gothic"/>
          <w:sz w:val="22"/>
          <w:szCs w:val="22"/>
        </w:rPr>
        <w:t>Problema: No existen programas efectivos de control de fauna nociva, lo que ha llevado a la proliferación de roedores e insectos que afectan la salud pública. Las autoridades no responden de manera rápida ni eficiente a los casos reportados de fauna nociva en áreas urbanas.</w:t>
      </w:r>
    </w:p>
    <w:p w14:paraId="0747EEA2" w14:textId="77777777" w:rsidR="00E12B50" w:rsidRPr="00E12B50" w:rsidRDefault="00E12B50" w:rsidP="00E12B50">
      <w:pPr>
        <w:numPr>
          <w:ilvl w:val="1"/>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6D9A63F6"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Crear un programa de control y prevención de fauna nociva, utilizando métodos no invasivos y ecológicos, como la desratización controlada.</w:t>
      </w:r>
    </w:p>
    <w:p w14:paraId="56F9CD86"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lastRenderedPageBreak/>
        <w:t>Establecer un sistema de respuesta rápida para la denuncia y control de fauna nociva.</w:t>
      </w:r>
    </w:p>
    <w:p w14:paraId="484E82F1" w14:textId="77777777" w:rsidR="00E12B50" w:rsidRPr="00E12B50" w:rsidRDefault="00E12B50" w:rsidP="00E12B50">
      <w:pPr>
        <w:numPr>
          <w:ilvl w:val="0"/>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Alumbrado público deficiente y no eficiente:</w:t>
      </w:r>
    </w:p>
    <w:p w14:paraId="07023BA9" w14:textId="77777777" w:rsidR="00E12B50" w:rsidRPr="00E12B50" w:rsidRDefault="00E12B50" w:rsidP="00E12B50">
      <w:pPr>
        <w:numPr>
          <w:ilvl w:val="1"/>
          <w:numId w:val="88"/>
        </w:numPr>
        <w:spacing w:before="102"/>
        <w:jc w:val="both"/>
        <w:rPr>
          <w:rFonts w:ascii="Century Gothic" w:hAnsi="Century Gothic"/>
          <w:sz w:val="22"/>
          <w:szCs w:val="22"/>
        </w:rPr>
      </w:pPr>
      <w:r w:rsidRPr="00E12B50">
        <w:rPr>
          <w:rFonts w:ascii="Century Gothic" w:hAnsi="Century Gothic"/>
          <w:sz w:val="22"/>
          <w:szCs w:val="22"/>
        </w:rPr>
        <w:t>Problema: El sistema de alumbrado público es deficiente, con muchas zonas oscuras que generan inseguridad y no contribuyen a la eficiencia energética. No se ha avanzado en la implementación de tecnologías más sostenibles, como el alumbrado solar o LED, lo que aumenta los costos y el impacto ambiental.</w:t>
      </w:r>
    </w:p>
    <w:p w14:paraId="7BB76947" w14:textId="77777777" w:rsidR="00E12B50" w:rsidRPr="00E12B50" w:rsidRDefault="00E12B50" w:rsidP="00E12B50">
      <w:pPr>
        <w:numPr>
          <w:ilvl w:val="1"/>
          <w:numId w:val="88"/>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64ED369"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Sustituir las luminarias antiguas por tecnología LED de bajo consumo energético, que además ofrece mayor durabilidad y reducción de costos a largo plazo.</w:t>
      </w:r>
    </w:p>
    <w:p w14:paraId="59113E7B" w14:textId="77777777" w:rsidR="00E12B50" w:rsidRPr="00E12B50" w:rsidRDefault="00E12B50" w:rsidP="00E12B50">
      <w:pPr>
        <w:numPr>
          <w:ilvl w:val="2"/>
          <w:numId w:val="88"/>
        </w:numPr>
        <w:spacing w:before="102"/>
        <w:jc w:val="both"/>
        <w:rPr>
          <w:rFonts w:ascii="Century Gothic" w:hAnsi="Century Gothic"/>
          <w:sz w:val="22"/>
          <w:szCs w:val="22"/>
        </w:rPr>
      </w:pPr>
      <w:r w:rsidRPr="00E12B50">
        <w:rPr>
          <w:rFonts w:ascii="Century Gothic" w:hAnsi="Century Gothic"/>
          <w:sz w:val="22"/>
          <w:szCs w:val="22"/>
        </w:rPr>
        <w:t>Realizar un análisis exhaustivo de la red de alumbrado para identificar las zonas más oscuras y priorizar la instalación de nuevas luminarias.</w:t>
      </w:r>
    </w:p>
    <w:p w14:paraId="07E7C08D" w14:textId="7FB71FBE"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Conclusión</w:t>
      </w:r>
    </w:p>
    <w:p w14:paraId="09014FD1" w14:textId="2F49C73E" w:rsidR="00E12B50" w:rsidRPr="00E12B50" w:rsidRDefault="00E12B50" w:rsidP="00C51FAD">
      <w:pPr>
        <w:spacing w:before="102" w:line="360" w:lineRule="auto"/>
        <w:jc w:val="both"/>
        <w:rPr>
          <w:rFonts w:ascii="Century Gothic" w:hAnsi="Century Gothic"/>
          <w:sz w:val="22"/>
          <w:szCs w:val="22"/>
        </w:rPr>
      </w:pPr>
      <w:r w:rsidRPr="00E12B50">
        <w:rPr>
          <w:rFonts w:ascii="Century Gothic" w:hAnsi="Century Gothic"/>
          <w:sz w:val="22"/>
          <w:szCs w:val="22"/>
        </w:rPr>
        <w:t>Si bien los problemas señalados representan grandes desafíos, las soluciones propuestas son viables y pueden implementarse con la colaboración activa de las autoridades locales, la comunidad y el sector privado. Es fundamental adoptar enfoques sostenibles y eficaces para garantizar el bienestar ambiental, mejorar la infraestructura básica y promover un futuro más saludable y justo para todos.</w:t>
      </w:r>
    </w:p>
    <w:p w14:paraId="125FB46F" w14:textId="77777777" w:rsidR="00E12B50" w:rsidRPr="00E12B50" w:rsidRDefault="00E12B50" w:rsidP="00E12B50">
      <w:p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Eje de Cambio 3: Empleo Digno y Desarrollo Económico. “Inclusión para el Bienestar y la Prosperidad”</w:t>
      </w:r>
    </w:p>
    <w:p w14:paraId="7C99BFF1"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sz w:val="22"/>
          <w:szCs w:val="22"/>
        </w:rPr>
        <w:t>Objetivo: Fomentar la inclusión social y el desarrollo económico sostenible.</w:t>
      </w:r>
    </w:p>
    <w:p w14:paraId="1C34B2DE" w14:textId="3C6D5BE2"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Resultados Clave:</w:t>
      </w:r>
    </w:p>
    <w:p w14:paraId="2CBEB53B"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Creación de microempresas para generar empleo a jóvenes y adultos mayores:</w:t>
      </w:r>
    </w:p>
    <w:p w14:paraId="2B3B7652"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sz w:val="22"/>
          <w:szCs w:val="22"/>
        </w:rPr>
        <w:t>Problema: La falta de oportunidades laborales puede generar un ambiente de frustración en los jóvenes y adultos mayores.</w:t>
      </w:r>
    </w:p>
    <w:p w14:paraId="2336F21F"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0DF349EF"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 xml:space="preserve">Fomentar la creación de microempresas y proyectos locales que se adapten a las capacidades </w:t>
      </w:r>
      <w:r w:rsidRPr="00E12B50">
        <w:rPr>
          <w:rFonts w:ascii="Century Gothic" w:hAnsi="Century Gothic"/>
          <w:sz w:val="22"/>
          <w:szCs w:val="22"/>
        </w:rPr>
        <w:lastRenderedPageBreak/>
        <w:t>de los jóvenes y adultos mayores, brindándoles formación, asesoría y recursos para iniciar sus negocios.</w:t>
      </w:r>
    </w:p>
    <w:p w14:paraId="496811EB"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Realización de la feria del empleo:</w:t>
      </w:r>
    </w:p>
    <w:p w14:paraId="388431C6"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sz w:val="22"/>
          <w:szCs w:val="22"/>
        </w:rPr>
        <w:t>Problema: La falta de espacios para que los ciudadanos encuentren empleo adecuado en el municipio.</w:t>
      </w:r>
    </w:p>
    <w:p w14:paraId="427644C2"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E38996C"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Organizar periódicamente ferias del empleo donde las empresas locales, así como otras organizaciones, puedan ofrecer vacantes directamente a la comunidad.</w:t>
      </w:r>
    </w:p>
    <w:p w14:paraId="6C62A0FE"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Promover la participación de empresas locales y fomentar el empleo digno, asegurando que los ciudadanos de San Antonio la Isla puedan acceder a nuevas oportunidades de trabajo.</w:t>
      </w:r>
    </w:p>
    <w:p w14:paraId="1EC72B88"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Apoyo a emprendedores:</w:t>
      </w:r>
    </w:p>
    <w:p w14:paraId="59DDD29A"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Los emprendedores a menudo enfrentan barreras económicas y burocráticas que dificultan el inicio y crecimiento de sus proyectos.</w:t>
      </w:r>
    </w:p>
    <w:p w14:paraId="2DE541C0"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F183A7E"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Facilitar la creación de incubadoras de empresas que brinden a los emprendedores el espacio y los recursos para llevar a cabo sus proyectos.</w:t>
      </w:r>
    </w:p>
    <w:p w14:paraId="6F88C225"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Dar apoyos a artesanos:</w:t>
      </w:r>
    </w:p>
    <w:p w14:paraId="6C8D057E"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sz w:val="22"/>
          <w:szCs w:val="22"/>
        </w:rPr>
        <w:t>Problema: La falta de apoyo a los artesanos locales puede llevar a la pérdida de tradiciones y de una fuente de ingresos importante para muchas familias.</w:t>
      </w:r>
    </w:p>
    <w:p w14:paraId="79189CF2"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049D897"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Implementar programas de apoyo y promoción para los artesanos, con especial atención en la capacitación y en la creación de espacios para la comercialización de sus productos.</w:t>
      </w:r>
    </w:p>
    <w:p w14:paraId="6C06E940"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Establecer convenios con tiendas y mercados locales para que los productos artesanales sean promovidos y vendidos dentro y fuera del municipio.</w:t>
      </w:r>
    </w:p>
    <w:p w14:paraId="602F38A1"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Generar actividades en fines de semana:</w:t>
      </w:r>
    </w:p>
    <w:p w14:paraId="0E9C6669"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color w:val="025850"/>
          <w:sz w:val="22"/>
          <w:szCs w:val="22"/>
        </w:rPr>
        <w:lastRenderedPageBreak/>
        <w:t>Problema:</w:t>
      </w:r>
      <w:r w:rsidRPr="00E12B50">
        <w:rPr>
          <w:rFonts w:ascii="Century Gothic" w:hAnsi="Century Gothic"/>
          <w:sz w:val="22"/>
          <w:szCs w:val="22"/>
        </w:rPr>
        <w:t xml:space="preserve"> La falta de actividades recreativas y culturales durante el fin de semana puede llevar a una baja participación ciudadana y afectar la calidad de vida.</w:t>
      </w:r>
    </w:p>
    <w:p w14:paraId="21118F88"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39BC0F86"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Organizar actividades culturales, deportivas y recreativas en los fines de semana para fomentar la integración de la comunidad.</w:t>
      </w:r>
    </w:p>
    <w:p w14:paraId="7EAC6D94"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Promover eventos que resalten las tradiciones culturales de San Antonio la Isla, involucrando tanto a los jóvenes como a las familias en actividades que refuercen la identidad local.</w:t>
      </w:r>
    </w:p>
    <w:p w14:paraId="37F4C82B" w14:textId="77777777" w:rsidR="00E12B50" w:rsidRPr="00E12B50" w:rsidRDefault="00E12B50" w:rsidP="00E12B50">
      <w:pPr>
        <w:numPr>
          <w:ilvl w:val="0"/>
          <w:numId w:val="89"/>
        </w:num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Difusión al municipio para apoyo al comercio de artesanías:</w:t>
      </w:r>
    </w:p>
    <w:p w14:paraId="44AFE7C5"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La falta de difusión adecuada limita el alcance del comercio de artesanías a otros mercados fuera de la región.</w:t>
      </w:r>
    </w:p>
    <w:p w14:paraId="2B5B5BB7"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6ADA4B94"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 xml:space="preserve">Implementar campañas de difusión tanto en medios tradicionales como </w:t>
      </w:r>
      <w:r w:rsidRPr="00E12B50">
        <w:rPr>
          <w:rFonts w:ascii="Century Gothic" w:hAnsi="Century Gothic"/>
          <w:sz w:val="22"/>
          <w:szCs w:val="22"/>
        </w:rPr>
        <w:t>digitales para promover las artesanías de San Antonio la Isla, destacando su calidad y autenticidad.</w:t>
      </w:r>
    </w:p>
    <w:p w14:paraId="53924D46"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Participar en ferias y exposiciones en el Estado de México para posicionar las artesanías locales en mercados más amplios, generando ingresos adicionales para los artesanos.</w:t>
      </w:r>
    </w:p>
    <w:p w14:paraId="2EAB4E79"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Mantener limpias las calles en el municipio:</w:t>
      </w:r>
    </w:p>
    <w:p w14:paraId="7CEE3BD7"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color w:val="025850"/>
          <w:sz w:val="22"/>
          <w:szCs w:val="22"/>
        </w:rPr>
        <w:t xml:space="preserve">Problema: </w:t>
      </w:r>
      <w:r w:rsidRPr="00E12B50">
        <w:rPr>
          <w:rFonts w:ascii="Century Gothic" w:hAnsi="Century Gothic"/>
          <w:sz w:val="22"/>
          <w:szCs w:val="22"/>
        </w:rPr>
        <w:t>El descuido en la limpieza de las calles afecta tanto la imagen del municipio como la salud pública.</w:t>
      </w:r>
    </w:p>
    <w:p w14:paraId="5A7A96AC"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2BF33028"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Establecer un programa de limpieza regular que involucre tanto a los ciudadanos como a las autoridades locales. Se pueden organizar brigadas de limpieza con la participación de los habitantes y los servicios municipales.</w:t>
      </w:r>
    </w:p>
    <w:p w14:paraId="2B8B490C"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 xml:space="preserve">Implementar campañas de concientización sobre la importancia de mantener limpias las calles y </w:t>
      </w:r>
      <w:r w:rsidRPr="00E12B50">
        <w:rPr>
          <w:rFonts w:ascii="Century Gothic" w:hAnsi="Century Gothic"/>
          <w:sz w:val="22"/>
          <w:szCs w:val="22"/>
        </w:rPr>
        <w:lastRenderedPageBreak/>
        <w:t>fomentar el uso adecuado de los contenedores de basura.</w:t>
      </w:r>
    </w:p>
    <w:p w14:paraId="197E1506" w14:textId="77777777" w:rsidR="00E12B50" w:rsidRPr="00E12B50" w:rsidRDefault="00E12B50" w:rsidP="00E12B50">
      <w:pPr>
        <w:numPr>
          <w:ilvl w:val="0"/>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Reubicación de comerciantes en el andador:</w:t>
      </w:r>
    </w:p>
    <w:p w14:paraId="14F93B7C" w14:textId="77777777" w:rsidR="00E12B50" w:rsidRPr="00E12B50" w:rsidRDefault="00E12B50" w:rsidP="00E12B50">
      <w:pPr>
        <w:numPr>
          <w:ilvl w:val="1"/>
          <w:numId w:val="89"/>
        </w:numPr>
        <w:spacing w:before="102"/>
        <w:jc w:val="both"/>
        <w:rPr>
          <w:rFonts w:ascii="Century Gothic" w:hAnsi="Century Gothic"/>
          <w:sz w:val="22"/>
          <w:szCs w:val="22"/>
        </w:rPr>
      </w:pPr>
      <w:r w:rsidRPr="00E12B50">
        <w:rPr>
          <w:rFonts w:ascii="Century Gothic" w:hAnsi="Century Gothic"/>
          <w:sz w:val="22"/>
          <w:szCs w:val="22"/>
        </w:rPr>
        <w:t>Problema: El desorden en el espacio público y la falta de organización en la ubicación de los comercios puede afectar tanto la imagen como el flujo de personas en las áreas comerciales.</w:t>
      </w:r>
    </w:p>
    <w:p w14:paraId="386BAF48" w14:textId="77777777" w:rsidR="00E12B50" w:rsidRPr="00E12B50" w:rsidRDefault="00E12B50" w:rsidP="00E12B50">
      <w:pPr>
        <w:numPr>
          <w:ilvl w:val="1"/>
          <w:numId w:val="89"/>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16302F95" w14:textId="77777777" w:rsidR="00E12B50" w:rsidRPr="00E12B50" w:rsidRDefault="00E12B50" w:rsidP="00E12B50">
      <w:pPr>
        <w:numPr>
          <w:ilvl w:val="2"/>
          <w:numId w:val="89"/>
        </w:numPr>
        <w:spacing w:before="102"/>
        <w:jc w:val="both"/>
        <w:rPr>
          <w:rFonts w:ascii="Century Gothic" w:hAnsi="Century Gothic"/>
          <w:sz w:val="22"/>
          <w:szCs w:val="22"/>
        </w:rPr>
      </w:pPr>
      <w:r w:rsidRPr="00E12B50">
        <w:rPr>
          <w:rFonts w:ascii="Century Gothic" w:hAnsi="Century Gothic"/>
          <w:sz w:val="22"/>
          <w:szCs w:val="22"/>
        </w:rPr>
        <w:t>Establecer una reubicación de los comerciantes del municipio en zonas específicas y organizadas para evitar el caos y garantizar que el espacio público se mantenga limpio y accesible para todos.</w:t>
      </w:r>
    </w:p>
    <w:p w14:paraId="71BF8281" w14:textId="5F181694"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Conclusión</w:t>
      </w:r>
    </w:p>
    <w:p w14:paraId="5AFE8459" w14:textId="77777777"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 xml:space="preserve">Para San Antonio la Isla, el desarrollo económico local, el cuidado del entorno y el fomento a la participación activa de la ciudadanía son aspectos fundamentales para mejorar la calidad de vida de sus habitantes. A través de estas propuestas, que incluyen el apoyo a emprendedores, la creación de microempresas, el impulso al comercio local, y la mejora en la limpieza del </w:t>
      </w:r>
      <w:r w:rsidRPr="00E12B50">
        <w:rPr>
          <w:rFonts w:ascii="Century Gothic" w:hAnsi="Century Gothic"/>
          <w:sz w:val="22"/>
          <w:szCs w:val="22"/>
        </w:rPr>
        <w:t>municipio, se busca fortalecer la identidad y la economía local, además de crear un entorno más saludable y agradable para todos. El compromiso conjunto de la comunidad y las autoridades municipales será clave para llevar a cabo estos proyectos y asegurar el progreso de San Antonio la Isla.</w:t>
      </w:r>
    </w:p>
    <w:p w14:paraId="30AC47DC" w14:textId="77777777" w:rsidR="00E12B50" w:rsidRPr="00E12B50" w:rsidRDefault="00E12B50" w:rsidP="00E12B50">
      <w:p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Eje de Cambio 4: Bienestar Social. “Combate a la Pobreza y Atención a Grupos en Situación de Vulnerabilidad”</w:t>
      </w:r>
    </w:p>
    <w:p w14:paraId="5C4D8216"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color w:val="025850"/>
          <w:sz w:val="22"/>
          <w:szCs w:val="22"/>
        </w:rPr>
        <w:t>Objetivo</w:t>
      </w:r>
      <w:r w:rsidRPr="00E12B50">
        <w:rPr>
          <w:rFonts w:ascii="Century Gothic" w:hAnsi="Century Gothic"/>
          <w:sz w:val="22"/>
          <w:szCs w:val="22"/>
        </w:rPr>
        <w:t>: Mejorar las condiciones de vida de las personas más vulnerables y garantizar una calidad de vida digna.</w:t>
      </w:r>
    </w:p>
    <w:p w14:paraId="061257E8" w14:textId="3A2713D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Resultados Clave:</w:t>
      </w:r>
    </w:p>
    <w:p w14:paraId="08C31B3A"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Fomentar la cultura del deporte y eventos culturales:</w:t>
      </w:r>
    </w:p>
    <w:p w14:paraId="3FF83F89"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sz w:val="22"/>
          <w:szCs w:val="22"/>
        </w:rPr>
        <w:t>Problema: La falta de actividades recreativas y culturales puede llevar a la deserción social y a una menor participación de los jóvenes en actividades productivas.</w:t>
      </w:r>
    </w:p>
    <w:p w14:paraId="31AA3ED7"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6B39904D"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 xml:space="preserve">Promover la práctica del deporte y las actividades artísticas como factores clave para la prevención de problemas sociales, abordando así </w:t>
      </w:r>
      <w:r w:rsidRPr="00E12B50">
        <w:rPr>
          <w:rFonts w:ascii="Century Gothic" w:hAnsi="Century Gothic"/>
          <w:sz w:val="22"/>
          <w:szCs w:val="22"/>
        </w:rPr>
        <w:lastRenderedPageBreak/>
        <w:t>no solo la pobreza económica, sino también la pobreza emocional y social.</w:t>
      </w:r>
    </w:p>
    <w:p w14:paraId="1A61BDC8"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Crear espacios donde los jóvenes y adultos puedan participar en actividades físicas y culturales que les permitan desarrollarse de manera integral.</w:t>
      </w:r>
    </w:p>
    <w:p w14:paraId="32BA5309"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Apoyo a las mujeres sin apoyo económico:</w:t>
      </w:r>
    </w:p>
    <w:p w14:paraId="31104EA5"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sz w:val="22"/>
          <w:szCs w:val="22"/>
        </w:rPr>
        <w:t>Problema: Muchas mujeres en situación de vulnerabilidad no cuentan con el apoyo necesario para su desarrollo personal y familiar.</w:t>
      </w:r>
    </w:p>
    <w:p w14:paraId="59A5E9A1"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D00AF96"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Implementar programas de apoyo económico y social para mujeres que no tienen acceso a ninguna forma de apoyo gubernamental. Esto incluiría asesoría, acceso a créditos para emprender y cursos de capacitación.</w:t>
      </w:r>
    </w:p>
    <w:p w14:paraId="2E5CEF20"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Ofrecer servicios médicos veterinarios gratuitos:</w:t>
      </w:r>
    </w:p>
    <w:p w14:paraId="3E4E6C1A"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sz w:val="22"/>
          <w:szCs w:val="22"/>
        </w:rPr>
        <w:t xml:space="preserve">Problema: Muchos habitantes no pueden acceder a servicios médicos veterinarios, lo </w:t>
      </w:r>
      <w:r w:rsidRPr="00E12B50">
        <w:rPr>
          <w:rFonts w:ascii="Century Gothic" w:hAnsi="Century Gothic"/>
          <w:sz w:val="22"/>
          <w:szCs w:val="22"/>
        </w:rPr>
        <w:t>que afecta la salud de sus mascotas y animales.</w:t>
      </w:r>
    </w:p>
    <w:p w14:paraId="6195F43D"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50C7BD59"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Implementar un programa de servicios médicos veterinarios gratuitos para la población, contribuyendo al bienestar animal y reduciendo el número de animales abandonados o en mal estado.</w:t>
      </w:r>
    </w:p>
    <w:p w14:paraId="19B7DC78"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Servicios médicos para la población sin seguridad social:</w:t>
      </w:r>
    </w:p>
    <w:p w14:paraId="3D91B8F7"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La falta de acceso a servicios médicos de calidad afecta a las personas que no cuentan con seguro social.</w:t>
      </w:r>
    </w:p>
    <w:p w14:paraId="1A71BF9D"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18D0A262"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Establecer clínicas móviles o puntos de atención médica accesibles para quienes no tienen acceso a servicios de salud, garantizando que todos los ciudadanos reciban atención médica básica.</w:t>
      </w:r>
    </w:p>
    <w:p w14:paraId="16F253DC"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Mejorar el servicio de los servidores públicos:</w:t>
      </w:r>
    </w:p>
    <w:p w14:paraId="6987D29F"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xml:space="preserve">: La falta de capacitación de los servidores públicos puede afectar la </w:t>
      </w:r>
      <w:r w:rsidRPr="00E12B50">
        <w:rPr>
          <w:rFonts w:ascii="Century Gothic" w:hAnsi="Century Gothic"/>
          <w:sz w:val="22"/>
          <w:szCs w:val="22"/>
        </w:rPr>
        <w:lastRenderedPageBreak/>
        <w:t>calidad del servicio y la confianza de la ciudadanía en las autoridades.</w:t>
      </w:r>
    </w:p>
    <w:p w14:paraId="1AA80457"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3ABB4AA2"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Implementar programas de capacitación continua para los servidores públicos, con énfasis en la amabilidad, ética y atención al ciudadano, garantizando un servicio eficiente y cordial.</w:t>
      </w:r>
    </w:p>
    <w:p w14:paraId="3E2AF833"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Difundir la disponibilidad de medicamentos en el DIF:</w:t>
      </w:r>
    </w:p>
    <w:p w14:paraId="1180A415"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El desconocimiento sobre los medicamentos disponibles en el DIF limita su acceso a quienes más lo necesitan.</w:t>
      </w:r>
    </w:p>
    <w:p w14:paraId="0F236E28"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5D45B4AB"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Promover campañas de difusión sobre los medicamentos que se encuentran disponibles en el DIF para que la población pueda acceder a ellos en caso de necesidad.</w:t>
      </w:r>
    </w:p>
    <w:p w14:paraId="5630F08B"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Campañas de prevención en salud:</w:t>
      </w:r>
    </w:p>
    <w:p w14:paraId="2E88D7F8"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xml:space="preserve"> La falta de prevención en salud puede aumentar la incidencia de enfermedades en la comunidad.</w:t>
      </w:r>
    </w:p>
    <w:p w14:paraId="52D205E8"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5E3973B0"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Realizar campañas educativas sobre prevención de enfermedades comunes, nutrición, higiene y salud mental, para sensibilizar a la población y fomentar hábitos saludables.</w:t>
      </w:r>
    </w:p>
    <w:p w14:paraId="5D18220B"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Impulsar la casa de cultura con talleres y cursos:</w:t>
      </w:r>
    </w:p>
    <w:p w14:paraId="01DEEA8C"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sz w:val="22"/>
          <w:szCs w:val="22"/>
        </w:rPr>
        <w:t>Problema: La falta de espacios culturales y educativos limita las oportunidades para el desarrollo personal y social.</w:t>
      </w:r>
    </w:p>
    <w:p w14:paraId="5FD8BB93"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18A0D185"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Impartir talleres y cursos de interés para la comunidad, como danza, música, teatro, pintura, entre otros, contribuyendo al desarrollo cultural y artístico de la población.</w:t>
      </w:r>
    </w:p>
    <w:p w14:paraId="6C92A0FF"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Incluir personas vulnerables en actividades culturales:</w:t>
      </w:r>
    </w:p>
    <w:p w14:paraId="503753FE"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 xml:space="preserve">Problema: </w:t>
      </w:r>
      <w:r w:rsidRPr="00E12B50">
        <w:rPr>
          <w:rFonts w:ascii="Century Gothic" w:hAnsi="Century Gothic"/>
          <w:sz w:val="22"/>
          <w:szCs w:val="22"/>
        </w:rPr>
        <w:t>La falta de espacios e inclusión para personas vulnerables limita su participación en actividades culturales.</w:t>
      </w:r>
    </w:p>
    <w:p w14:paraId="759E0CC4"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B5C9EB5"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lastRenderedPageBreak/>
        <w:t>Crear espacios accesibles para la inclusión de personas con discapacidad y otros grupos vulnerables en actividades culturales y artísticas, como murales y artes plásticas al aire libre y talleres gratuitos.</w:t>
      </w:r>
    </w:p>
    <w:p w14:paraId="3B4167FC"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Jornadas de identidad cultural:</w:t>
      </w:r>
    </w:p>
    <w:p w14:paraId="573F0D68"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La desconexión de los habitantes de fraccionamientos con las tradiciones culturales de San Antonio la Isla.</w:t>
      </w:r>
    </w:p>
    <w:p w14:paraId="28F226F9"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6CCDF047"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Organizar jornadas de identidad cultural para acercar el conocimiento sobre las tradiciones locales a las personas de fraccionamientos, promoviendo la integración cultural y el respeto por las costumbres de la región.</w:t>
      </w:r>
    </w:p>
    <w:p w14:paraId="3387BB1F"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Fomentar la cultura en los jóvenes:</w:t>
      </w:r>
    </w:p>
    <w:p w14:paraId="79225A51"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sz w:val="22"/>
          <w:szCs w:val="22"/>
        </w:rPr>
        <w:t>Problema: La falta de actividades culturales accesibles para los jóvenes puede llevar a una desconexión con sus raíces y tradiciones.</w:t>
      </w:r>
    </w:p>
    <w:p w14:paraId="35EFCF43"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4BEEFE4D"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Desarrollar actividades culturales gratuitas específicamente diseñadas para los jóvenes, que incluyan talleres, conciertos y eventos, para que se involucren en el arte y la cultura local.</w:t>
      </w:r>
    </w:p>
    <w:p w14:paraId="2A9EBC52"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Estrategias para acercar la cultura a toda la población:</w:t>
      </w:r>
    </w:p>
    <w:p w14:paraId="26AB624B"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La cultura no siempre llega de manera equitativa a todas las comunidades del municipio.</w:t>
      </w:r>
    </w:p>
    <w:p w14:paraId="17E69C2F"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05026EC0"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t>Desarrollar estrategias que acerquen la cultura a todas las zonas del municipio, como eventos culturales itinerantes, exposiciones y talleres en diversos puntos de San Antonio la Isla.</w:t>
      </w:r>
    </w:p>
    <w:p w14:paraId="495F6DA7" w14:textId="77777777" w:rsidR="00E12B50" w:rsidRPr="00E12B50" w:rsidRDefault="00E12B50" w:rsidP="00E12B50">
      <w:pPr>
        <w:numPr>
          <w:ilvl w:val="0"/>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Apoyo a madres solteras y amas de casa:</w:t>
      </w:r>
    </w:p>
    <w:p w14:paraId="6CFE7875" w14:textId="77777777" w:rsidR="00E12B50" w:rsidRPr="00E12B50" w:rsidRDefault="00E12B50" w:rsidP="00E12B50">
      <w:pPr>
        <w:numPr>
          <w:ilvl w:val="1"/>
          <w:numId w:val="90"/>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Las madres solteras y amas de casa muchas veces carecen de recursos y apoyo para mejorar su calidad de vida.</w:t>
      </w:r>
    </w:p>
    <w:p w14:paraId="796003B5" w14:textId="77777777" w:rsidR="00E12B50" w:rsidRPr="00E12B50" w:rsidRDefault="00E12B50" w:rsidP="00E12B50">
      <w:pPr>
        <w:numPr>
          <w:ilvl w:val="1"/>
          <w:numId w:val="90"/>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737B2379" w14:textId="77777777" w:rsidR="00E12B50" w:rsidRPr="00E12B50" w:rsidRDefault="00E12B50" w:rsidP="00E12B50">
      <w:pPr>
        <w:numPr>
          <w:ilvl w:val="2"/>
          <w:numId w:val="90"/>
        </w:numPr>
        <w:spacing w:before="102"/>
        <w:jc w:val="both"/>
        <w:rPr>
          <w:rFonts w:ascii="Century Gothic" w:hAnsi="Century Gothic"/>
          <w:sz w:val="22"/>
          <w:szCs w:val="22"/>
        </w:rPr>
      </w:pPr>
      <w:r w:rsidRPr="00E12B50">
        <w:rPr>
          <w:rFonts w:ascii="Century Gothic" w:hAnsi="Century Gothic"/>
          <w:sz w:val="22"/>
          <w:szCs w:val="22"/>
        </w:rPr>
        <w:lastRenderedPageBreak/>
        <w:t>Implementar programas de apoyo económico, capacitaciones y asesoría a madres solteras y amas de casa para ayudarlas a acceder a oportunidades laborales o emprender sus propios negocios.</w:t>
      </w:r>
    </w:p>
    <w:p w14:paraId="436FE89C" w14:textId="0831046A"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Conclusión</w:t>
      </w:r>
    </w:p>
    <w:p w14:paraId="373B8B6E" w14:textId="77777777"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Estas propuestas buscan mejorar el bienestar integral de los habitantes de San Antonio la Isla, priorizando la salud, la educación, la cultura y el empleo. A través de la implementación de estos proyectos, se pretende fortalecer la identidad cultural del municipio, brindar oportunidades a los sectores más vulnerables y construir una comunidad más unida y equitativa. Con el compromiso y la colaboración de todos los ciudadanos, estas soluciones pueden transformarse en un motor de desarrollo social y económico para San Antonio la Isla.</w:t>
      </w:r>
    </w:p>
    <w:p w14:paraId="0260BDE0" w14:textId="77777777" w:rsidR="00E12B50" w:rsidRPr="00E12B50" w:rsidRDefault="00E12B50" w:rsidP="00E12B50">
      <w:pPr>
        <w:spacing w:before="102"/>
        <w:jc w:val="both"/>
        <w:rPr>
          <w:rFonts w:ascii="Century Gothic" w:hAnsi="Century Gothic"/>
          <w:sz w:val="22"/>
          <w:szCs w:val="22"/>
        </w:rPr>
      </w:pPr>
    </w:p>
    <w:p w14:paraId="5460F5B8" w14:textId="77777777" w:rsidR="00E12B50" w:rsidRPr="00E12B50" w:rsidRDefault="00E12B50" w:rsidP="00E12B50">
      <w:p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Eje Transversal 1: Igualdad de Género</w:t>
      </w:r>
    </w:p>
    <w:p w14:paraId="26BF684B"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color w:val="025850"/>
          <w:sz w:val="22"/>
          <w:szCs w:val="22"/>
        </w:rPr>
        <w:t>Objetivo</w:t>
      </w:r>
      <w:r w:rsidRPr="00E12B50">
        <w:rPr>
          <w:rFonts w:ascii="Century Gothic" w:hAnsi="Century Gothic"/>
          <w:sz w:val="22"/>
          <w:szCs w:val="22"/>
        </w:rPr>
        <w:t>: Promover la equidad y la inclusión de género en todos los aspectos del desarrollo municipal.</w:t>
      </w:r>
    </w:p>
    <w:p w14:paraId="56518E72" w14:textId="5B82F9CC" w:rsidR="00E12B50" w:rsidRPr="00E12B50" w:rsidRDefault="00E12B50" w:rsidP="00E12B50">
      <w:pPr>
        <w:spacing w:before="102"/>
        <w:jc w:val="both"/>
        <w:rPr>
          <w:rFonts w:ascii="Century Gothic" w:hAnsi="Century Gothic"/>
          <w:sz w:val="22"/>
          <w:szCs w:val="22"/>
        </w:rPr>
      </w:pPr>
      <w:r w:rsidRPr="00E12B50">
        <w:rPr>
          <w:rFonts w:ascii="Century Gothic" w:hAnsi="Century Gothic"/>
          <w:sz w:val="22"/>
          <w:szCs w:val="22"/>
        </w:rPr>
        <w:t>Resultados Clave:</w:t>
      </w:r>
    </w:p>
    <w:p w14:paraId="11D285DB" w14:textId="77777777" w:rsidR="00E12B50" w:rsidRPr="00E12B50" w:rsidRDefault="00E12B50" w:rsidP="00E12B50">
      <w:pPr>
        <w:numPr>
          <w:ilvl w:val="0"/>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Inclusión de la comunidad LGBTTTIQ+:</w:t>
      </w:r>
    </w:p>
    <w:p w14:paraId="5465DF40" w14:textId="77777777" w:rsidR="00E12B50" w:rsidRPr="00E12B50" w:rsidRDefault="00E12B50" w:rsidP="00E12B50">
      <w:pPr>
        <w:numPr>
          <w:ilvl w:val="1"/>
          <w:numId w:val="91"/>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La comunidad LGBTTTIQ+ no cuenta con el reconocimiento adecuado ni espacios inclusivos, lo que contribuye a la discriminación y marginalización social.</w:t>
      </w:r>
    </w:p>
    <w:p w14:paraId="63327908" w14:textId="77777777" w:rsidR="00E12B50" w:rsidRPr="00E12B50" w:rsidRDefault="00E12B50" w:rsidP="00E12B50">
      <w:pPr>
        <w:numPr>
          <w:ilvl w:val="1"/>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225A1F7E"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Crear programas de inclusión que promuevan la igualdad de derechos y oportunidades para la comunidad LGBTTTIQ+ en todos los ámbitos, como educación, empleo y servicios públicos.</w:t>
      </w:r>
    </w:p>
    <w:p w14:paraId="7676FAB7"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Incluir el tema de la diversidad sexual en las políticas públicas y en las agendas de sensibilización comunitaria.</w:t>
      </w:r>
    </w:p>
    <w:p w14:paraId="4D7D256E" w14:textId="77777777" w:rsidR="00E12B50" w:rsidRPr="00E12B50" w:rsidRDefault="00E12B50" w:rsidP="00E12B50">
      <w:pPr>
        <w:numPr>
          <w:ilvl w:val="0"/>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pláticas de inclusión sobre la comunidad LGBTTTIQ+ para padres de familia y en escuelas:</w:t>
      </w:r>
    </w:p>
    <w:p w14:paraId="5511DCFA" w14:textId="77777777" w:rsidR="00E12B50" w:rsidRPr="00E12B50" w:rsidRDefault="00E12B50" w:rsidP="00E12B50">
      <w:pPr>
        <w:numPr>
          <w:ilvl w:val="1"/>
          <w:numId w:val="91"/>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No se brindan pláticas ni talleres que ayuden a los padres de familia y docentes a entender y apoyar la inclusión de la comunidad LGBTTTIQ+ en el entorno escolar.</w:t>
      </w:r>
    </w:p>
    <w:p w14:paraId="295751DE" w14:textId="77777777" w:rsidR="00E12B50" w:rsidRPr="00E12B50" w:rsidRDefault="00E12B50" w:rsidP="00E12B50">
      <w:pPr>
        <w:numPr>
          <w:ilvl w:val="1"/>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15EC6C78"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lastRenderedPageBreak/>
        <w:t>Organizar pláticas y talleres en escuelas y comunidades para sensibilizar a padres y maestros sobre la importancia de la inclusión, el respeto y el apoyo hacia las personas LGBTTTIQ+.</w:t>
      </w:r>
    </w:p>
    <w:p w14:paraId="2A0A01A0"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Crear materiales educativos que promuevan el respeto y la aceptación de la diversidad sexual y de género en el entorno familiar y escolar.</w:t>
      </w:r>
    </w:p>
    <w:p w14:paraId="5CED1C48" w14:textId="77777777" w:rsidR="00E12B50" w:rsidRPr="00E12B50" w:rsidRDefault="00E12B50" w:rsidP="00E12B50">
      <w:pPr>
        <w:numPr>
          <w:ilvl w:val="0"/>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Desconocimiento sobre los tipos de violencia (violentómetro):</w:t>
      </w:r>
    </w:p>
    <w:p w14:paraId="0F62E919" w14:textId="77777777" w:rsidR="00E12B50" w:rsidRPr="00E12B50" w:rsidRDefault="00E12B50" w:rsidP="00E12B50">
      <w:pPr>
        <w:numPr>
          <w:ilvl w:val="1"/>
          <w:numId w:val="91"/>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No se difunden adecuadamente los tipos de violencia y cómo identificar las situaciones de riesgo, lo que dificulta la prevención y actuación ante la violencia.</w:t>
      </w:r>
    </w:p>
    <w:p w14:paraId="60952FFC" w14:textId="77777777" w:rsidR="00E12B50" w:rsidRPr="00E12B50" w:rsidRDefault="00E12B50" w:rsidP="00E12B50">
      <w:pPr>
        <w:numPr>
          <w:ilvl w:val="1"/>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565EB076"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Realizar campañas informativas que incluyan el uso del violentó metro para ayudar a las personas a identificar las diferentes formas de violencia (física, psicológica, económica, etc.).</w:t>
      </w:r>
    </w:p>
    <w:p w14:paraId="09A47783"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Incluir estas herramientas en escuelas, centros comunitarios y espacios públicos para que más personas tengan acceso a ellas.</w:t>
      </w:r>
    </w:p>
    <w:p w14:paraId="05898B80" w14:textId="77777777" w:rsidR="00E12B50" w:rsidRPr="00E12B50" w:rsidRDefault="00E12B50" w:rsidP="00E12B50">
      <w:pPr>
        <w:numPr>
          <w:ilvl w:val="0"/>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pláticas sobre violencia a padres de familia:</w:t>
      </w:r>
    </w:p>
    <w:p w14:paraId="08B955BD" w14:textId="77777777" w:rsidR="00E12B50" w:rsidRPr="00E12B50" w:rsidRDefault="00E12B50" w:rsidP="00E12B50">
      <w:pPr>
        <w:numPr>
          <w:ilvl w:val="1"/>
          <w:numId w:val="91"/>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Los padres de familia no reciben la información necesaria sobre cómo identificar y prevenir situaciones de violencia dentro del hogar o en la comunidad.</w:t>
      </w:r>
    </w:p>
    <w:p w14:paraId="491AFBE4" w14:textId="77777777" w:rsidR="00E12B50" w:rsidRPr="00E12B50" w:rsidRDefault="00E12B50" w:rsidP="00E12B50">
      <w:pPr>
        <w:numPr>
          <w:ilvl w:val="1"/>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 xml:space="preserve">Alternativa de solución: </w:t>
      </w:r>
    </w:p>
    <w:p w14:paraId="2B3E3791"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Organizar pláticas y talleres dirigidos a padres sobre cómo detectar signos de violencia y cómo intervenir para prevenirla.</w:t>
      </w:r>
    </w:p>
    <w:p w14:paraId="0CE67212" w14:textId="77777777" w:rsidR="00E12B50" w:rsidRPr="00E12B50" w:rsidRDefault="00E12B50" w:rsidP="00E12B50">
      <w:pPr>
        <w:numPr>
          <w:ilvl w:val="2"/>
          <w:numId w:val="91"/>
        </w:numPr>
        <w:spacing w:before="102"/>
        <w:jc w:val="both"/>
        <w:rPr>
          <w:rFonts w:ascii="Century Gothic" w:hAnsi="Century Gothic"/>
          <w:sz w:val="22"/>
          <w:szCs w:val="22"/>
        </w:rPr>
      </w:pPr>
      <w:r w:rsidRPr="00E12B50">
        <w:rPr>
          <w:rFonts w:ascii="Century Gothic" w:hAnsi="Century Gothic"/>
          <w:sz w:val="22"/>
          <w:szCs w:val="22"/>
        </w:rPr>
        <w:t>Incluir temas sobre la importancia de la comunicación familiar y la empatía en la educación de los hijos.</w:t>
      </w:r>
    </w:p>
    <w:p w14:paraId="7FB2DF72" w14:textId="77777777" w:rsidR="00E12B50" w:rsidRPr="00E12B50" w:rsidRDefault="00E12B50" w:rsidP="00E12B50">
      <w:pPr>
        <w:numPr>
          <w:ilvl w:val="0"/>
          <w:numId w:val="91"/>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refugios para mujeres violentadas:</w:t>
      </w:r>
    </w:p>
    <w:p w14:paraId="0C33207D" w14:textId="77777777" w:rsidR="00E12B50" w:rsidRPr="00E12B50" w:rsidRDefault="00E12B50" w:rsidP="00E12B50">
      <w:pPr>
        <w:numPr>
          <w:ilvl w:val="0"/>
          <w:numId w:val="92"/>
        </w:numPr>
        <w:spacing w:before="102"/>
        <w:jc w:val="both"/>
        <w:rPr>
          <w:rFonts w:ascii="Century Gothic" w:hAnsi="Century Gothic"/>
          <w:sz w:val="22"/>
          <w:szCs w:val="22"/>
        </w:rPr>
      </w:pPr>
      <w:r w:rsidRPr="00E12B50">
        <w:rPr>
          <w:rFonts w:ascii="Century Gothic" w:hAnsi="Century Gothic"/>
          <w:color w:val="025850"/>
          <w:sz w:val="22"/>
          <w:szCs w:val="22"/>
        </w:rPr>
        <w:t>Problema</w:t>
      </w:r>
      <w:r w:rsidRPr="00E12B50">
        <w:rPr>
          <w:rFonts w:ascii="Century Gothic" w:hAnsi="Century Gothic"/>
          <w:sz w:val="22"/>
          <w:szCs w:val="22"/>
        </w:rPr>
        <w:t>: No existen suficientes refugios ni recursos adecuados para mujeres que han sido víctimas de violencia, dejándolas sin un espacio seguro donde puedan recibir apoyo y protección.</w:t>
      </w:r>
    </w:p>
    <w:p w14:paraId="2072097E" w14:textId="77777777" w:rsidR="00E12B50" w:rsidRPr="00E12B50" w:rsidRDefault="00E12B50" w:rsidP="00E12B50">
      <w:pPr>
        <w:numPr>
          <w:ilvl w:val="0"/>
          <w:numId w:val="92"/>
        </w:numPr>
        <w:spacing w:before="102"/>
        <w:jc w:val="both"/>
        <w:rPr>
          <w:rFonts w:ascii="Century Gothic" w:hAnsi="Century Gothic"/>
          <w:color w:val="025850"/>
          <w:sz w:val="22"/>
          <w:szCs w:val="22"/>
        </w:rPr>
      </w:pPr>
      <w:r w:rsidRPr="00E12B50">
        <w:rPr>
          <w:rFonts w:ascii="Century Gothic" w:hAnsi="Century Gothic"/>
          <w:color w:val="025850"/>
          <w:sz w:val="22"/>
          <w:szCs w:val="22"/>
        </w:rPr>
        <w:lastRenderedPageBreak/>
        <w:t xml:space="preserve">Alternativa de solución: </w:t>
      </w:r>
    </w:p>
    <w:p w14:paraId="51E2F573" w14:textId="77777777" w:rsidR="00E12B50" w:rsidRPr="00E12B50" w:rsidRDefault="00E12B50" w:rsidP="00E12B50">
      <w:pPr>
        <w:numPr>
          <w:ilvl w:val="1"/>
          <w:numId w:val="92"/>
        </w:numPr>
        <w:spacing w:before="102"/>
        <w:jc w:val="both"/>
        <w:rPr>
          <w:rFonts w:ascii="Century Gothic" w:hAnsi="Century Gothic"/>
          <w:sz w:val="22"/>
          <w:szCs w:val="22"/>
        </w:rPr>
      </w:pPr>
      <w:r w:rsidRPr="00E12B50">
        <w:rPr>
          <w:rFonts w:ascii="Century Gothic" w:hAnsi="Century Gothic"/>
          <w:sz w:val="22"/>
          <w:szCs w:val="22"/>
        </w:rPr>
        <w:t>Buscar refugios y casas de apoyo para mujeres violentadas, donde puedan recibir atención médica, psicológica y legal.</w:t>
      </w:r>
    </w:p>
    <w:p w14:paraId="0AEF0BFB" w14:textId="77777777" w:rsidR="00E12B50" w:rsidRPr="00E12B50" w:rsidRDefault="00E12B50" w:rsidP="00E12B50">
      <w:pPr>
        <w:spacing w:before="102"/>
        <w:jc w:val="both"/>
        <w:rPr>
          <w:rFonts w:ascii="Century Gothic" w:hAnsi="Century Gothic"/>
          <w:sz w:val="22"/>
          <w:szCs w:val="22"/>
        </w:rPr>
      </w:pPr>
    </w:p>
    <w:p w14:paraId="3A133874" w14:textId="4AB5F62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Conclusión</w:t>
      </w:r>
    </w:p>
    <w:p w14:paraId="0E699FE6" w14:textId="77777777"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Cada uno de estos problemas representa desafíos significativos para la comunidad, pero también existen soluciones prácticas que pueden ser implementadas a través de un enfoque colaborativo entre las autoridades, organizaciones civiles, y la misma comunidad. La inclusión, la prevención y la seguridad deben ser prioridades para construir una sociedad más justa y equitativa, en la que todos los individuos, independientemente de su identidad de género, orientación sexual o contexto social, puedan vivir libres de violencia y con oportunidades de desarrollo.</w:t>
      </w:r>
    </w:p>
    <w:p w14:paraId="0527E14C" w14:textId="77777777" w:rsidR="00E12B50" w:rsidRPr="00E12B50" w:rsidRDefault="00E12B50" w:rsidP="00E12B50">
      <w:pPr>
        <w:spacing w:before="102"/>
        <w:jc w:val="both"/>
        <w:rPr>
          <w:rFonts w:ascii="Century Gothic" w:hAnsi="Century Gothic"/>
          <w:sz w:val="22"/>
          <w:szCs w:val="22"/>
        </w:rPr>
      </w:pPr>
    </w:p>
    <w:p w14:paraId="65FAD090" w14:textId="77777777" w:rsidR="00E12B50" w:rsidRPr="00E12B50" w:rsidRDefault="00E12B50" w:rsidP="00E12B50">
      <w:pPr>
        <w:spacing w:before="102"/>
        <w:jc w:val="both"/>
        <w:rPr>
          <w:rFonts w:ascii="Century Gothic" w:hAnsi="Century Gothic"/>
          <w:b/>
          <w:bCs/>
          <w:color w:val="025850"/>
          <w:sz w:val="22"/>
          <w:szCs w:val="22"/>
        </w:rPr>
      </w:pPr>
      <w:r w:rsidRPr="00E12B50">
        <w:rPr>
          <w:rFonts w:ascii="Century Gothic" w:hAnsi="Century Gothic"/>
          <w:b/>
          <w:bCs/>
          <w:color w:val="025850"/>
          <w:sz w:val="22"/>
          <w:szCs w:val="22"/>
        </w:rPr>
        <w:t>Eje Transversal 2: Construcción de la Paz y Seguridad</w:t>
      </w:r>
    </w:p>
    <w:p w14:paraId="622007BE"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b/>
          <w:bCs/>
          <w:color w:val="025850"/>
          <w:sz w:val="22"/>
          <w:szCs w:val="22"/>
        </w:rPr>
        <w:t>Objetivo</w:t>
      </w:r>
      <w:r w:rsidRPr="00E12B50">
        <w:rPr>
          <w:rFonts w:ascii="Century Gothic" w:hAnsi="Century Gothic"/>
          <w:sz w:val="22"/>
          <w:szCs w:val="22"/>
        </w:rPr>
        <w:t>: Garantizar un entorno seguro y pacífico para todos los habitantes.</w:t>
      </w:r>
    </w:p>
    <w:p w14:paraId="01D5DF4A" w14:textId="77777777" w:rsidR="00E12B50" w:rsidRPr="00E12B50" w:rsidRDefault="00E12B50" w:rsidP="00E12B50">
      <w:pPr>
        <w:spacing w:before="102"/>
        <w:jc w:val="both"/>
        <w:rPr>
          <w:rFonts w:ascii="Century Gothic" w:hAnsi="Century Gothic"/>
          <w:sz w:val="22"/>
          <w:szCs w:val="22"/>
        </w:rPr>
      </w:pPr>
      <w:r w:rsidRPr="00E12B50">
        <w:rPr>
          <w:rFonts w:ascii="Century Gothic" w:hAnsi="Century Gothic"/>
          <w:sz w:val="22"/>
          <w:szCs w:val="22"/>
        </w:rPr>
        <w:t>Resultados Clave:</w:t>
      </w:r>
    </w:p>
    <w:p w14:paraId="04E3D681" w14:textId="7777777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Seguridad pública</w:t>
      </w:r>
    </w:p>
    <w:p w14:paraId="33A8C452"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infraestructura para seguridad vial</w:t>
      </w:r>
    </w:p>
    <w:p w14:paraId="6C8043C3"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Colocar reductores de velocidad en zonas de alto riesgo para prevenir accidentes.</w:t>
      </w:r>
    </w:p>
    <w:p w14:paraId="0FB47376"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Ausencia de rampas para personas con discapacidad</w:t>
      </w:r>
    </w:p>
    <w:p w14:paraId="18BE290C"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Gestionar la construcción de rampas en espacios públicos y privados de alto tránsito.</w:t>
      </w:r>
    </w:p>
    <w:p w14:paraId="52396728"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presencia policial en las escuelas del municipio</w:t>
      </w:r>
    </w:p>
    <w:p w14:paraId="7F375367"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Establecer rondines de seguridad en horarios de entrada y salida escolar.</w:t>
      </w:r>
    </w:p>
    <w:p w14:paraId="08878983"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Coordinar con directivos escolares estrategias para prevenir incidentes.</w:t>
      </w:r>
    </w:p>
    <w:p w14:paraId="52B31A11"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Participación de protección civil en simulacros escolares</w:t>
      </w:r>
    </w:p>
    <w:p w14:paraId="3BFBCFD9"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Programar capacitaciones y simulacros de evacuación en todas las instituciones educativas.</w:t>
      </w:r>
    </w:p>
    <w:p w14:paraId="46619139"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lastRenderedPageBreak/>
        <w:t>Diseñar planes de respuesta ante emergencias en coordinación con las escuelas.</w:t>
      </w:r>
    </w:p>
    <w:p w14:paraId="280D05EF"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Regulación del servicio de moto taxis</w:t>
      </w:r>
    </w:p>
    <w:p w14:paraId="16A96D94"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Crear un padrón de moto taxis y sus operadores para regular el servicio.</w:t>
      </w:r>
    </w:p>
    <w:p w14:paraId="7CDD92BD"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vigilancia en el puente de San Lucas Tepemajalco</w:t>
      </w:r>
    </w:p>
    <w:p w14:paraId="5B5363E8"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Instalar luminarias y cámaras de seguridad para mejorar la vigilancia.</w:t>
      </w:r>
    </w:p>
    <w:p w14:paraId="292C8FE1"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Incrementar la presencia de elementos de seguridad en horarios de alto tránsito.</w:t>
      </w:r>
    </w:p>
    <w:p w14:paraId="2D9860FD"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medidas de seguridad en las lagunas de oxidación</w:t>
      </w:r>
    </w:p>
    <w:p w14:paraId="49CD90DE"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Colocar cercos de protección alrededor de las lagunas.</w:t>
      </w:r>
    </w:p>
    <w:p w14:paraId="6E3B6F02"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Instalar señalización de advertencia para prevenir accidentes.</w:t>
      </w:r>
    </w:p>
    <w:p w14:paraId="791EA22C" w14:textId="77777777" w:rsidR="00E12B50" w:rsidRPr="00E12B50" w:rsidRDefault="00E12B50" w:rsidP="00E12B50">
      <w:pPr>
        <w:numPr>
          <w:ilvl w:val="0"/>
          <w:numId w:val="93"/>
        </w:numPr>
        <w:spacing w:before="102"/>
        <w:jc w:val="both"/>
        <w:rPr>
          <w:rFonts w:ascii="Century Gothic" w:hAnsi="Century Gothic"/>
          <w:color w:val="025850"/>
          <w:sz w:val="22"/>
          <w:szCs w:val="22"/>
        </w:rPr>
      </w:pPr>
      <w:r w:rsidRPr="00E12B50">
        <w:rPr>
          <w:rFonts w:ascii="Century Gothic" w:hAnsi="Century Gothic"/>
          <w:color w:val="025850"/>
          <w:sz w:val="22"/>
          <w:szCs w:val="22"/>
        </w:rPr>
        <w:t>Ausencia de patrullajes en zonas vulnerables del municipio</w:t>
      </w:r>
    </w:p>
    <w:p w14:paraId="27407B54"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Diseñar estrategias de patrullaje basado en un análisis de riesgos.</w:t>
      </w:r>
    </w:p>
    <w:p w14:paraId="6FC81D67"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Desarrollar un sistema de registro y análisis de delitos para mejorar la seguridad.</w:t>
      </w:r>
    </w:p>
    <w:p w14:paraId="6B1CFB17" w14:textId="77777777" w:rsidR="00E12B50" w:rsidRPr="00E12B50" w:rsidRDefault="00E12B50" w:rsidP="00E12B50">
      <w:pPr>
        <w:numPr>
          <w:ilvl w:val="1"/>
          <w:numId w:val="93"/>
        </w:numPr>
        <w:spacing w:before="102"/>
        <w:jc w:val="both"/>
        <w:rPr>
          <w:rFonts w:ascii="Century Gothic" w:hAnsi="Century Gothic"/>
          <w:sz w:val="22"/>
          <w:szCs w:val="22"/>
        </w:rPr>
      </w:pPr>
      <w:r w:rsidRPr="00E12B50">
        <w:rPr>
          <w:rFonts w:ascii="Century Gothic" w:hAnsi="Century Gothic"/>
          <w:sz w:val="22"/>
          <w:szCs w:val="22"/>
        </w:rPr>
        <w:t>Publicar informes periódicos para identificar zonas de mayor incidencia delictiva.</w:t>
      </w:r>
    </w:p>
    <w:p w14:paraId="51D9992A" w14:textId="7777777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Protección Civil</w:t>
      </w:r>
    </w:p>
    <w:p w14:paraId="23D5CB2F" w14:textId="77777777" w:rsidR="00E12B50" w:rsidRPr="00E12B50" w:rsidRDefault="00E12B50" w:rsidP="00E12B50">
      <w:pPr>
        <w:numPr>
          <w:ilvl w:val="0"/>
          <w:numId w:val="94"/>
        </w:numPr>
        <w:spacing w:before="102"/>
        <w:jc w:val="both"/>
        <w:rPr>
          <w:rFonts w:ascii="Century Gothic" w:hAnsi="Century Gothic"/>
          <w:color w:val="025850"/>
          <w:sz w:val="22"/>
          <w:szCs w:val="22"/>
        </w:rPr>
      </w:pPr>
      <w:r w:rsidRPr="00E12B50">
        <w:rPr>
          <w:rFonts w:ascii="Century Gothic" w:hAnsi="Century Gothic"/>
          <w:color w:val="025850"/>
          <w:sz w:val="22"/>
          <w:szCs w:val="22"/>
        </w:rPr>
        <w:t>Falta de material para la atención de emergencias</w:t>
      </w:r>
    </w:p>
    <w:p w14:paraId="5BE08544" w14:textId="77777777" w:rsidR="00E12B50" w:rsidRPr="00E12B50" w:rsidRDefault="00E12B50" w:rsidP="00E12B50">
      <w:pPr>
        <w:numPr>
          <w:ilvl w:val="1"/>
          <w:numId w:val="94"/>
        </w:numPr>
        <w:spacing w:before="102"/>
        <w:jc w:val="both"/>
        <w:rPr>
          <w:rFonts w:ascii="Century Gothic" w:hAnsi="Century Gothic"/>
          <w:sz w:val="22"/>
          <w:szCs w:val="22"/>
        </w:rPr>
      </w:pPr>
      <w:r w:rsidRPr="00E12B50">
        <w:rPr>
          <w:rFonts w:ascii="Century Gothic" w:hAnsi="Century Gothic"/>
          <w:sz w:val="22"/>
          <w:szCs w:val="22"/>
        </w:rPr>
        <w:t>Gestionar la adquisición de insumos y equipos para la atención de urgencias.</w:t>
      </w:r>
    </w:p>
    <w:p w14:paraId="4F656E93" w14:textId="77777777" w:rsidR="00E12B50" w:rsidRPr="00E12B50" w:rsidRDefault="00E12B50" w:rsidP="00E12B50">
      <w:pPr>
        <w:numPr>
          <w:ilvl w:val="1"/>
          <w:numId w:val="94"/>
        </w:numPr>
        <w:spacing w:before="102"/>
        <w:jc w:val="both"/>
        <w:rPr>
          <w:rFonts w:ascii="Century Gothic" w:hAnsi="Century Gothic"/>
          <w:sz w:val="22"/>
          <w:szCs w:val="22"/>
        </w:rPr>
      </w:pPr>
      <w:r w:rsidRPr="00E12B50">
        <w:rPr>
          <w:rFonts w:ascii="Century Gothic" w:hAnsi="Century Gothic"/>
          <w:sz w:val="22"/>
          <w:szCs w:val="22"/>
        </w:rPr>
        <w:t>Establecer convenios con instituciones para donaciones y capacitación.</w:t>
      </w:r>
    </w:p>
    <w:p w14:paraId="014FD453" w14:textId="77777777" w:rsidR="00E12B50" w:rsidRPr="00E12B50" w:rsidRDefault="00E12B50" w:rsidP="00E12B50">
      <w:pPr>
        <w:numPr>
          <w:ilvl w:val="0"/>
          <w:numId w:val="94"/>
        </w:numPr>
        <w:spacing w:before="102"/>
        <w:jc w:val="both"/>
        <w:rPr>
          <w:rFonts w:ascii="Century Gothic" w:hAnsi="Century Gothic"/>
          <w:color w:val="025850"/>
          <w:sz w:val="22"/>
          <w:szCs w:val="22"/>
        </w:rPr>
      </w:pPr>
      <w:r w:rsidRPr="00E12B50">
        <w:rPr>
          <w:rFonts w:ascii="Century Gothic" w:hAnsi="Century Gothic"/>
          <w:color w:val="025850"/>
          <w:sz w:val="22"/>
          <w:szCs w:val="22"/>
        </w:rPr>
        <w:t>Prevención de inundaciones en la calle 20 de noviembre en San Lucas Tepemajalco</w:t>
      </w:r>
    </w:p>
    <w:p w14:paraId="6E911C3D" w14:textId="77777777" w:rsidR="00E12B50" w:rsidRPr="00E12B50" w:rsidRDefault="00E12B50" w:rsidP="00E12B50">
      <w:pPr>
        <w:numPr>
          <w:ilvl w:val="1"/>
          <w:numId w:val="94"/>
        </w:numPr>
        <w:spacing w:before="102"/>
        <w:jc w:val="both"/>
        <w:rPr>
          <w:rFonts w:ascii="Century Gothic" w:hAnsi="Century Gothic"/>
          <w:sz w:val="22"/>
          <w:szCs w:val="22"/>
        </w:rPr>
      </w:pPr>
      <w:r w:rsidRPr="00E12B50">
        <w:rPr>
          <w:rFonts w:ascii="Century Gothic" w:hAnsi="Century Gothic"/>
          <w:sz w:val="22"/>
          <w:szCs w:val="22"/>
        </w:rPr>
        <w:t>Implementar sistemas de drenaje adecuados para evitar acumulaciones de agua.</w:t>
      </w:r>
    </w:p>
    <w:p w14:paraId="0C5EB372" w14:textId="508ADBB0" w:rsidR="00E12B50" w:rsidRPr="00E12B50" w:rsidRDefault="00E12B50" w:rsidP="00E12B50">
      <w:pPr>
        <w:numPr>
          <w:ilvl w:val="1"/>
          <w:numId w:val="94"/>
        </w:numPr>
        <w:spacing w:before="102"/>
        <w:jc w:val="both"/>
        <w:rPr>
          <w:rFonts w:ascii="Century Gothic" w:hAnsi="Century Gothic"/>
          <w:sz w:val="22"/>
          <w:szCs w:val="22"/>
        </w:rPr>
      </w:pPr>
      <w:r w:rsidRPr="00E12B50">
        <w:rPr>
          <w:rFonts w:ascii="Century Gothic" w:hAnsi="Century Gothic"/>
          <w:sz w:val="22"/>
          <w:szCs w:val="22"/>
        </w:rPr>
        <w:t>Realizar mantenimiento preventivo y limpieza de alcantarillas y canales de desagüe.</w:t>
      </w:r>
    </w:p>
    <w:p w14:paraId="2816D703" w14:textId="77777777" w:rsidR="00E12B50" w:rsidRPr="00E12B50" w:rsidRDefault="00E12B50" w:rsidP="00E12B50">
      <w:pPr>
        <w:spacing w:before="102"/>
        <w:jc w:val="both"/>
        <w:rPr>
          <w:rFonts w:ascii="Century Gothic" w:hAnsi="Century Gothic"/>
          <w:color w:val="025850"/>
          <w:sz w:val="22"/>
          <w:szCs w:val="22"/>
        </w:rPr>
      </w:pPr>
      <w:r w:rsidRPr="00E12B50">
        <w:rPr>
          <w:rFonts w:ascii="Century Gothic" w:hAnsi="Century Gothic"/>
          <w:color w:val="025850"/>
          <w:sz w:val="22"/>
          <w:szCs w:val="22"/>
        </w:rPr>
        <w:t>Conclusión</w:t>
      </w:r>
    </w:p>
    <w:p w14:paraId="0F434338" w14:textId="04A5E9E9"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 xml:space="preserve">El municipio de San Antonio la Isla enfrenta diversas problemáticas en términos de seguridad pública y protección civil que requieren atención urgente y </w:t>
      </w:r>
      <w:r w:rsidRPr="00E12B50">
        <w:rPr>
          <w:rFonts w:ascii="Century Gothic" w:hAnsi="Century Gothic"/>
          <w:sz w:val="22"/>
          <w:szCs w:val="22"/>
        </w:rPr>
        <w:lastRenderedPageBreak/>
        <w:t>soluciones estratégicas. La implementación de medidas como la mejora de la infraestructura vial, la regularización de servicios como los mototaxis, y la creación de un sistema de vigilancia más eficiente son esenciales para garantizar la seguridad y bienestar de la comunidad.</w:t>
      </w:r>
    </w:p>
    <w:p w14:paraId="22766681" w14:textId="77777777" w:rsidR="00E12B50" w:rsidRPr="00E12B50" w:rsidRDefault="00E12B50" w:rsidP="00C51FAD">
      <w:pPr>
        <w:spacing w:before="102" w:line="360" w:lineRule="auto"/>
        <w:ind w:firstLine="708"/>
        <w:jc w:val="both"/>
        <w:rPr>
          <w:rFonts w:ascii="Century Gothic" w:hAnsi="Century Gothic"/>
          <w:sz w:val="22"/>
          <w:szCs w:val="22"/>
        </w:rPr>
      </w:pPr>
      <w:r w:rsidRPr="00E12B50">
        <w:rPr>
          <w:rFonts w:ascii="Century Gothic" w:hAnsi="Century Gothic"/>
          <w:sz w:val="22"/>
          <w:szCs w:val="22"/>
        </w:rPr>
        <w:t>Asimismo, es fundamental fortalecer la participación de Protección Civil en simulacros y capacitaciones, así como implementar programas sociales orientados a la prevención del delito y la integración comunitaria. La gestión adecuada de recursos y la colaboración entre autoridades, escuelas y la ciudadanía son clave para alcanzar estos objetivos.</w:t>
      </w:r>
    </w:p>
    <w:p w14:paraId="33472E51" w14:textId="77777777" w:rsidR="00E12B50" w:rsidRPr="00E12B50" w:rsidRDefault="00E12B50" w:rsidP="00C51FAD">
      <w:pPr>
        <w:spacing w:before="102" w:line="360" w:lineRule="auto"/>
        <w:jc w:val="both"/>
        <w:rPr>
          <w:rFonts w:ascii="Century Gothic" w:hAnsi="Century Gothic"/>
          <w:sz w:val="22"/>
          <w:szCs w:val="22"/>
        </w:rPr>
      </w:pPr>
      <w:r w:rsidRPr="00E12B50">
        <w:rPr>
          <w:rFonts w:ascii="Century Gothic" w:hAnsi="Century Gothic"/>
          <w:sz w:val="22"/>
          <w:szCs w:val="22"/>
        </w:rPr>
        <w:t>Con la ejecución de estas acciones, San Antonio la Isla podrá mejorar significativamente su seguridad y prevención de emergencias, proporcionando un entorno más seguro y accesible para todos sus habitantes.</w:t>
      </w:r>
    </w:p>
    <w:p w14:paraId="408BFA65" w14:textId="7E5196F9" w:rsidR="00E019D1" w:rsidRDefault="00E019D1" w:rsidP="00E019D1">
      <w:pPr>
        <w:spacing w:before="102"/>
        <w:jc w:val="both"/>
        <w:rPr>
          <w:rFonts w:ascii="Century Gothic" w:hAnsi="Century Gothic"/>
          <w:b/>
          <w:bCs/>
          <w:color w:val="025850"/>
        </w:rPr>
      </w:pPr>
      <w:r w:rsidRPr="00E019D1">
        <w:rPr>
          <w:rFonts w:ascii="Century Gothic" w:hAnsi="Century Gothic"/>
          <w:b/>
          <w:bCs/>
          <w:color w:val="025850"/>
        </w:rPr>
        <w:t xml:space="preserve">Sondeo de </w:t>
      </w:r>
      <w:r>
        <w:rPr>
          <w:rFonts w:ascii="Century Gothic" w:hAnsi="Century Gothic"/>
          <w:b/>
          <w:bCs/>
          <w:color w:val="025850"/>
        </w:rPr>
        <w:t>O</w:t>
      </w:r>
      <w:r w:rsidRPr="00E019D1">
        <w:rPr>
          <w:rFonts w:ascii="Century Gothic" w:hAnsi="Century Gothic"/>
          <w:b/>
          <w:bCs/>
          <w:color w:val="025850"/>
        </w:rPr>
        <w:t xml:space="preserve">pinión  </w:t>
      </w:r>
    </w:p>
    <w:p w14:paraId="65448A7C" w14:textId="77777777" w:rsidR="00BB1EBC" w:rsidRPr="00C51FAD" w:rsidRDefault="00BB1EBC" w:rsidP="00BB1EBC">
      <w:pPr>
        <w:spacing w:line="360" w:lineRule="auto"/>
        <w:ind w:firstLine="708"/>
        <w:jc w:val="both"/>
        <w:rPr>
          <w:rFonts w:ascii="Century Gothic" w:hAnsi="Century Gothic"/>
          <w:sz w:val="22"/>
          <w:szCs w:val="22"/>
        </w:rPr>
      </w:pPr>
      <w:r w:rsidRPr="00C51FAD">
        <w:rPr>
          <w:rFonts w:ascii="Century Gothic" w:hAnsi="Century Gothic"/>
          <w:sz w:val="22"/>
          <w:szCs w:val="22"/>
        </w:rPr>
        <w:t xml:space="preserve">El Gobierno de San Antonio la Isla 2025-2027 reafirma su compromiso con el desarrollo sostenible, equitativo e incluyente de nuestra comunidad. Para cumplir con este objetivo, es fundamental contar con la </w:t>
      </w:r>
      <w:r w:rsidRPr="00C51FAD">
        <w:rPr>
          <w:rFonts w:ascii="Century Gothic" w:hAnsi="Century Gothic"/>
          <w:sz w:val="22"/>
          <w:szCs w:val="22"/>
        </w:rPr>
        <w:t>participación activa de la ciudadanía, escuchando sus opiniones, necesidades y expectativas. A través de este ejercicio de consulta, buscamos consolidar una administración cercana a la gente, basada en la transparencia, la eficiencia y la rendición de cuentas.</w:t>
      </w:r>
    </w:p>
    <w:p w14:paraId="1181B5AE" w14:textId="77777777"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El Sondeo de Opinión es una herramienta clave para conocer de primera mano las inquietudes de la población, permitiendo una toma de decisiones más informada y ajustada a la realidad del municipio. Las respuestas obtenidas nos permitirán:</w:t>
      </w:r>
    </w:p>
    <w:p w14:paraId="382386A3" w14:textId="77777777" w:rsidR="00BB1EBC" w:rsidRPr="00C51FAD" w:rsidRDefault="00BB1EBC" w:rsidP="00820DCC">
      <w:pPr>
        <w:pStyle w:val="Prrafodelista"/>
        <w:numPr>
          <w:ilvl w:val="0"/>
          <w:numId w:val="85"/>
        </w:numPr>
        <w:spacing w:after="160" w:line="360" w:lineRule="auto"/>
        <w:jc w:val="both"/>
        <w:rPr>
          <w:rFonts w:ascii="Century Gothic" w:hAnsi="Century Gothic"/>
          <w:sz w:val="22"/>
          <w:szCs w:val="22"/>
        </w:rPr>
      </w:pPr>
      <w:r w:rsidRPr="00C51FAD">
        <w:rPr>
          <w:rFonts w:ascii="Century Gothic" w:hAnsi="Century Gothic"/>
          <w:sz w:val="22"/>
          <w:szCs w:val="22"/>
        </w:rPr>
        <w:t>Identificar las principales problemáticas que afectan a la comunidad y establecer prioridades de acción.</w:t>
      </w:r>
    </w:p>
    <w:p w14:paraId="45F0FE6B" w14:textId="77777777" w:rsidR="00BB1EBC" w:rsidRPr="00C51FAD" w:rsidRDefault="00BB1EBC" w:rsidP="00820DCC">
      <w:pPr>
        <w:pStyle w:val="Prrafodelista"/>
        <w:numPr>
          <w:ilvl w:val="0"/>
          <w:numId w:val="85"/>
        </w:numPr>
        <w:spacing w:after="160" w:line="360" w:lineRule="auto"/>
        <w:jc w:val="both"/>
        <w:rPr>
          <w:rFonts w:ascii="Century Gothic" w:hAnsi="Century Gothic"/>
          <w:sz w:val="22"/>
          <w:szCs w:val="22"/>
        </w:rPr>
      </w:pPr>
      <w:r w:rsidRPr="00C51FAD">
        <w:rPr>
          <w:rFonts w:ascii="Century Gothic" w:hAnsi="Century Gothic"/>
          <w:sz w:val="22"/>
          <w:szCs w:val="22"/>
        </w:rPr>
        <w:t>Evaluar la efectividad y el impacto de los programas, servicios y políticas públicas implementadas hasta el momento.</w:t>
      </w:r>
    </w:p>
    <w:p w14:paraId="495D3B98" w14:textId="77777777" w:rsidR="00BB1EBC" w:rsidRPr="00C51FAD" w:rsidRDefault="00BB1EBC" w:rsidP="00820DCC">
      <w:pPr>
        <w:pStyle w:val="Prrafodelista"/>
        <w:numPr>
          <w:ilvl w:val="0"/>
          <w:numId w:val="85"/>
        </w:numPr>
        <w:spacing w:after="160" w:line="360" w:lineRule="auto"/>
        <w:jc w:val="both"/>
        <w:rPr>
          <w:rFonts w:ascii="Century Gothic" w:hAnsi="Century Gothic"/>
          <w:sz w:val="22"/>
          <w:szCs w:val="22"/>
        </w:rPr>
      </w:pPr>
      <w:r w:rsidRPr="00C51FAD">
        <w:rPr>
          <w:rFonts w:ascii="Century Gothic" w:hAnsi="Century Gothic"/>
          <w:sz w:val="22"/>
          <w:szCs w:val="22"/>
        </w:rPr>
        <w:t>Diseñar un Plan de Desarrollo Municipal alineado con las verdaderas necesidades y aspiraciones de la población, garantizando una planeación estratégica y orientada a resultados.</w:t>
      </w:r>
    </w:p>
    <w:p w14:paraId="18C3FF34" w14:textId="77777777"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 xml:space="preserve">Como parte de este esfuerzo, servidoras y servidores públicos recorrieron las calles de nuestro municipio con el </w:t>
      </w:r>
      <w:r w:rsidRPr="00C51FAD">
        <w:rPr>
          <w:rFonts w:ascii="Century Gothic" w:hAnsi="Century Gothic"/>
          <w:sz w:val="22"/>
          <w:szCs w:val="22"/>
        </w:rPr>
        <w:lastRenderedPageBreak/>
        <w:t xml:space="preserve">propósito de aplicar el Sondeo de Opinión de manera directa y cercana a la comunidad. Este ejercicio se realizó con éxito, obteniendo una muestra representativa de </w:t>
      </w:r>
      <w:r w:rsidRPr="00C51FAD">
        <w:rPr>
          <w:rFonts w:ascii="Century Gothic" w:hAnsi="Century Gothic"/>
          <w:b/>
          <w:bCs/>
          <w:sz w:val="22"/>
          <w:szCs w:val="22"/>
        </w:rPr>
        <w:t>1,453 personas</w:t>
      </w:r>
      <w:r w:rsidRPr="00C51FAD">
        <w:rPr>
          <w:rFonts w:ascii="Century Gothic" w:hAnsi="Century Gothic"/>
          <w:sz w:val="22"/>
          <w:szCs w:val="22"/>
        </w:rPr>
        <w:t xml:space="preserve">, seleccionadas con base en criterios técnicos que garantizan la confiabilidad de los resultados. La población total estimada </w:t>
      </w:r>
      <w:r w:rsidRPr="00C51FAD">
        <w:rPr>
          <w:rFonts w:ascii="Century Gothic" w:hAnsi="Century Gothic"/>
          <w:b/>
          <w:bCs/>
          <w:sz w:val="22"/>
          <w:szCs w:val="22"/>
        </w:rPr>
        <w:t>41,105 habitantes para el 2025</w:t>
      </w:r>
      <w:r w:rsidRPr="00C51FAD">
        <w:rPr>
          <w:rFonts w:ascii="Century Gothic" w:hAnsi="Century Gothic"/>
          <w:sz w:val="22"/>
          <w:szCs w:val="22"/>
        </w:rPr>
        <w:t xml:space="preserve"> fue considerada bajo un </w:t>
      </w:r>
      <w:r w:rsidRPr="00C51FAD">
        <w:rPr>
          <w:rFonts w:ascii="Century Gothic" w:hAnsi="Century Gothic"/>
          <w:b/>
          <w:bCs/>
          <w:sz w:val="22"/>
          <w:szCs w:val="22"/>
        </w:rPr>
        <w:t>nivel de confianza del 3.326%</w:t>
      </w:r>
      <w:r w:rsidRPr="00C51FAD">
        <w:rPr>
          <w:rFonts w:ascii="Century Gothic" w:hAnsi="Century Gothic"/>
          <w:sz w:val="22"/>
          <w:szCs w:val="22"/>
        </w:rPr>
        <w:t xml:space="preserve"> y un </w:t>
      </w:r>
      <w:r w:rsidRPr="00C51FAD">
        <w:rPr>
          <w:rFonts w:ascii="Century Gothic" w:hAnsi="Century Gothic"/>
          <w:b/>
          <w:bCs/>
          <w:sz w:val="22"/>
          <w:szCs w:val="22"/>
        </w:rPr>
        <w:t>margen de error del 99.0%</w:t>
      </w:r>
      <w:r w:rsidRPr="00C51FAD">
        <w:rPr>
          <w:rFonts w:ascii="Century Gothic" w:hAnsi="Century Gothic"/>
          <w:sz w:val="22"/>
          <w:szCs w:val="22"/>
        </w:rPr>
        <w:t>, asegurando así que los hallazgos reflejen con precisión la percepción general de la ciudadanía.</w:t>
      </w:r>
    </w:p>
    <w:p w14:paraId="32221E38" w14:textId="77777777"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 xml:space="preserve">El cuestionario aplicado de manera presencial estuvo estructurado en </w:t>
      </w:r>
      <w:r w:rsidRPr="00C51FAD">
        <w:rPr>
          <w:rFonts w:ascii="Century Gothic" w:hAnsi="Century Gothic"/>
          <w:b/>
          <w:bCs/>
          <w:sz w:val="22"/>
          <w:szCs w:val="22"/>
        </w:rPr>
        <w:t>seis secciones</w:t>
      </w:r>
      <w:r w:rsidRPr="00C51FAD">
        <w:rPr>
          <w:rFonts w:ascii="Century Gothic" w:hAnsi="Century Gothic"/>
          <w:sz w:val="22"/>
          <w:szCs w:val="22"/>
        </w:rPr>
        <w:t xml:space="preserve">, abordando tanto los </w:t>
      </w:r>
      <w:r w:rsidRPr="00C51FAD">
        <w:rPr>
          <w:rFonts w:ascii="Century Gothic" w:hAnsi="Century Gothic"/>
          <w:b/>
          <w:bCs/>
          <w:sz w:val="22"/>
          <w:szCs w:val="22"/>
        </w:rPr>
        <w:t>Ejes de Cambio</w:t>
      </w:r>
      <w:r w:rsidRPr="00C51FAD">
        <w:rPr>
          <w:rFonts w:ascii="Century Gothic" w:hAnsi="Century Gothic"/>
          <w:sz w:val="22"/>
          <w:szCs w:val="22"/>
        </w:rPr>
        <w:t xml:space="preserve"> como los </w:t>
      </w:r>
      <w:r w:rsidRPr="00C51FAD">
        <w:rPr>
          <w:rFonts w:ascii="Century Gothic" w:hAnsi="Century Gothic"/>
          <w:b/>
          <w:bCs/>
          <w:sz w:val="22"/>
          <w:szCs w:val="22"/>
        </w:rPr>
        <w:t>Ejes Transversales</w:t>
      </w:r>
      <w:r w:rsidRPr="00C51FAD">
        <w:rPr>
          <w:rFonts w:ascii="Century Gothic" w:hAnsi="Century Gothic"/>
          <w:sz w:val="22"/>
          <w:szCs w:val="22"/>
        </w:rPr>
        <w:t xml:space="preserve"> que guiarán la gestión municipal. En total, se formularon </w:t>
      </w:r>
      <w:r w:rsidRPr="00C51FAD">
        <w:rPr>
          <w:rFonts w:ascii="Century Gothic" w:hAnsi="Century Gothic"/>
          <w:b/>
          <w:bCs/>
          <w:sz w:val="22"/>
          <w:szCs w:val="22"/>
        </w:rPr>
        <w:t>32 preguntas de opción múltiple</w:t>
      </w:r>
      <w:r w:rsidRPr="00C51FAD">
        <w:rPr>
          <w:rFonts w:ascii="Century Gothic" w:hAnsi="Century Gothic"/>
          <w:sz w:val="22"/>
          <w:szCs w:val="22"/>
        </w:rPr>
        <w:t>, cubriendo aspectos fundamentales como servicios públicos, seguridad, desarrollo económico, infraestructura, medio ambiente y participación ciudadana.</w:t>
      </w:r>
    </w:p>
    <w:p w14:paraId="61EE2A40" w14:textId="77777777"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 xml:space="preserve">La participación de la ciudadanía en este ejercicio fue invaluable. Las opiniones recabadas nos proporcionan información esencial para mejorar los servicios municipales y fortalecer la relación entre la </w:t>
      </w:r>
      <w:r w:rsidRPr="00C51FAD">
        <w:rPr>
          <w:rFonts w:ascii="Century Gothic" w:hAnsi="Century Gothic"/>
          <w:sz w:val="22"/>
          <w:szCs w:val="22"/>
        </w:rPr>
        <w:t>administración pública y los habitantes de San Antonio la Isla. Este sondeo no solo permitió identificar áreas de oportunidad y problemáticas específicas, sino que también representó un ejercicio de diálogo abierto y directo entre servidores públicos y la comunidad.</w:t>
      </w:r>
    </w:p>
    <w:p w14:paraId="08D7C646" w14:textId="77777777"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El contacto cercano con la población permitió que las servidoras y los servidores públicos comprendieran de manera más profunda las preocupaciones de la ciudadanía, promoviendo así la empatía y el compromiso con la mejora continua. Este tipo de ejercicios fomentan la gobernanza participativa, donde la voz de la comunidad no solo es escuchada, sino que se convierte en la base para el diseño y ejecución de políticas públicas eficaces.</w:t>
      </w:r>
    </w:p>
    <w:p w14:paraId="58DE29EB" w14:textId="77777777"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El Gobierno Municipal de San Antonio la Isla reafirma su compromiso con la transparencia, la eficiencia y el bienestar de sus habitantes. Este Sondeo de Opinión es solo el primer paso de un proceso de mejora continua, donde cada voz cuenta y cada opinión contribuye a la construcción de un municipio más próspero, justo y equitativo.</w:t>
      </w:r>
    </w:p>
    <w:p w14:paraId="0292E6F6" w14:textId="074D948A" w:rsidR="00BB1EBC" w:rsidRPr="00C51FAD"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lastRenderedPageBreak/>
        <w:t>Agradecemos profundamente a todas y todos los islenses que participaron en este ejercicio de consulta. Su colaboración es clave para la transformación de nuestro municipio y para la consolidación de una administración que realmente responda a las necesidades de su gente.</w:t>
      </w:r>
    </w:p>
    <w:p w14:paraId="6B768D59" w14:textId="46482083" w:rsidR="00BB1EBC" w:rsidRPr="00C51FAD" w:rsidRDefault="00BB1EBC" w:rsidP="00BB1EBC">
      <w:pPr>
        <w:spacing w:line="360" w:lineRule="auto"/>
        <w:jc w:val="both"/>
        <w:rPr>
          <w:rFonts w:ascii="Century Gothic" w:hAnsi="Century Gothic"/>
          <w:b/>
          <w:bCs/>
          <w:color w:val="025850"/>
          <w:sz w:val="22"/>
          <w:szCs w:val="22"/>
        </w:rPr>
      </w:pPr>
      <w:r w:rsidRPr="00C51FAD">
        <w:rPr>
          <w:rFonts w:ascii="Century Gothic" w:hAnsi="Century Gothic"/>
          <w:b/>
          <w:bCs/>
          <w:color w:val="025850"/>
          <w:sz w:val="22"/>
          <w:szCs w:val="22"/>
        </w:rPr>
        <w:t>Datos Generales</w:t>
      </w:r>
    </w:p>
    <w:p w14:paraId="71855BE7" w14:textId="58142C23" w:rsidR="00BB1EBC" w:rsidRPr="00C51FAD" w:rsidRDefault="00BB1EBC" w:rsidP="00BB1EBC">
      <w:pPr>
        <w:spacing w:line="360" w:lineRule="auto"/>
        <w:ind w:firstLine="708"/>
        <w:jc w:val="both"/>
        <w:rPr>
          <w:rFonts w:ascii="Century Gothic" w:hAnsi="Century Gothic"/>
          <w:sz w:val="22"/>
          <w:szCs w:val="22"/>
        </w:rPr>
      </w:pPr>
      <w:r w:rsidRPr="00C51FAD">
        <w:rPr>
          <w:rFonts w:ascii="Century Gothic" w:hAnsi="Century Gothic"/>
          <w:sz w:val="22"/>
          <w:szCs w:val="22"/>
        </w:rPr>
        <w:t xml:space="preserve">El presente análisis se basa en un sondeo aplicado a </w:t>
      </w:r>
      <w:r w:rsidRPr="00C51FAD">
        <w:rPr>
          <w:rFonts w:ascii="Century Gothic" w:hAnsi="Century Gothic"/>
          <w:b/>
          <w:bCs/>
          <w:sz w:val="22"/>
          <w:szCs w:val="22"/>
        </w:rPr>
        <w:t>1,453</w:t>
      </w:r>
      <w:r w:rsidRPr="00C51FAD">
        <w:rPr>
          <w:rFonts w:ascii="Century Gothic" w:hAnsi="Century Gothic"/>
          <w:sz w:val="22"/>
          <w:szCs w:val="22"/>
        </w:rPr>
        <w:t xml:space="preserve"> personas en el municipio de San Antonio la Isla. El objetivo principal fue conocer la distribución de la población en función de su lugar de residencia y nacimiento, proporcionando un panorama demográfico del municipio y ofreciendo una base para la toma de decisiones en términos de planificación y desarrollo local.</w:t>
      </w:r>
    </w:p>
    <w:p w14:paraId="24239692" w14:textId="77777777" w:rsidR="00BB1EBC" w:rsidRPr="00C51FAD" w:rsidRDefault="00BB1EBC" w:rsidP="00BB1EBC">
      <w:pPr>
        <w:spacing w:line="360" w:lineRule="auto"/>
        <w:ind w:firstLine="708"/>
        <w:jc w:val="both"/>
        <w:rPr>
          <w:rFonts w:ascii="Century Gothic" w:hAnsi="Century Gothic"/>
          <w:sz w:val="22"/>
          <w:szCs w:val="22"/>
        </w:rPr>
      </w:pPr>
      <w:r w:rsidRPr="00C51FAD">
        <w:rPr>
          <w:rFonts w:ascii="Century Gothic" w:hAnsi="Century Gothic"/>
          <w:sz w:val="22"/>
          <w:szCs w:val="22"/>
        </w:rPr>
        <w:t xml:space="preserve">Los resultados obtenidos muestran una distribución variada de los encuestados en las distintas localidades que conforman el municipio. La mayoría de la población encuestada reside en San Lucas Tepemajalco, donde se registraron 429 personas, lo que representa el 29.5% del total. En la cabecera municipal residen 366 personas, equivalente al 25.2%. En San Dimas, la cifra asciende a 299 personas, representando el 20.6%. En cuanto a otras </w:t>
      </w:r>
      <w:r w:rsidRPr="00C51FAD">
        <w:rPr>
          <w:rFonts w:ascii="Century Gothic" w:hAnsi="Century Gothic"/>
          <w:sz w:val="22"/>
          <w:szCs w:val="22"/>
        </w:rPr>
        <w:t xml:space="preserve">localidades, la Colonia Cuauhtémoc cuenta con 200 personas, que equivalen al 13.8%. </w:t>
      </w:r>
    </w:p>
    <w:p w14:paraId="04541704" w14:textId="77777777" w:rsidR="00BB1EBC" w:rsidRPr="00C51FAD" w:rsidRDefault="00BB1EBC" w:rsidP="00BB1EBC">
      <w:pPr>
        <w:spacing w:line="360" w:lineRule="auto"/>
        <w:jc w:val="both"/>
        <w:rPr>
          <w:rFonts w:ascii="Century Gothic" w:hAnsi="Century Gothic"/>
          <w:sz w:val="22"/>
          <w:szCs w:val="22"/>
        </w:rPr>
      </w:pPr>
      <w:r w:rsidRPr="00C51FAD">
        <w:rPr>
          <w:rFonts w:ascii="Century Gothic" w:hAnsi="Century Gothic"/>
          <w:sz w:val="22"/>
          <w:szCs w:val="22"/>
        </w:rPr>
        <w:t>En La Isla habitan 60 personas, representando el 4.1%. En Sánchez Colín hay 42 habitantes, un 2.9% del total. Rancho San Simón cuenta con 26 personas, lo que equivale al 1.8%. Villas de Sauce alberga 23 personas, un 1.6% de la muestra, mientras que en la Colonia Primavera residen solo 8 personas, lo que representa el 0.6%.</w:t>
      </w:r>
    </w:p>
    <w:p w14:paraId="29039BDE" w14:textId="77777777" w:rsidR="00BB1EBC" w:rsidRPr="00C51FAD" w:rsidRDefault="00BB1EBC" w:rsidP="00BB1EBC">
      <w:pPr>
        <w:spacing w:line="360" w:lineRule="auto"/>
        <w:ind w:firstLine="708"/>
        <w:jc w:val="both"/>
        <w:rPr>
          <w:rFonts w:ascii="Century Gothic" w:hAnsi="Century Gothic"/>
          <w:sz w:val="22"/>
          <w:szCs w:val="22"/>
        </w:rPr>
      </w:pPr>
      <w:r w:rsidRPr="00C51FAD">
        <w:rPr>
          <w:rFonts w:ascii="Century Gothic" w:hAnsi="Century Gothic"/>
          <w:sz w:val="22"/>
          <w:szCs w:val="22"/>
        </w:rPr>
        <w:t xml:space="preserve">Además de analizar el lugar de residencia, el estudio también incluyó el lugar de nacimiento de los encuestados. Se identificó que 608 personas nacieron en San Antonio la Isla, lo que representa el 41.9% del total de encuestados. Sin embargo, existe un número considerable de habitantes que provienen de otros lugares. 560 personas señalaron haber nacido en otra entidad del Estado de México, lo que representa el 38.6%. Por otro lado, 274 personas indicaron haber nacido en otra entidad federativa, lo que equivale al 18.9% del total encuestado, reflejando la llegada de población de distintos estados de la República Mexicana a San Antonio la Isla. Finalmente, 11 personas señalaron haber nacido en el extranjero, representando el 0.8% dentro del total </w:t>
      </w:r>
      <w:r w:rsidRPr="00C51FAD">
        <w:rPr>
          <w:rFonts w:ascii="Century Gothic" w:hAnsi="Century Gothic"/>
          <w:sz w:val="22"/>
          <w:szCs w:val="22"/>
        </w:rPr>
        <w:lastRenderedPageBreak/>
        <w:t>encuestado, evidenciando la presencia de migración internacional en el municipio.</w:t>
      </w:r>
    </w:p>
    <w:p w14:paraId="0A7F5BF5" w14:textId="77777777" w:rsidR="00BB1EBC" w:rsidRPr="00C51FAD" w:rsidRDefault="00BB1EBC" w:rsidP="00BB1EBC">
      <w:pPr>
        <w:spacing w:line="360" w:lineRule="auto"/>
        <w:jc w:val="both"/>
        <w:rPr>
          <w:rFonts w:ascii="Century Gothic" w:hAnsi="Century Gothic"/>
          <w:sz w:val="22"/>
          <w:szCs w:val="22"/>
        </w:rPr>
      </w:pPr>
      <w:r w:rsidRPr="00C51FAD">
        <w:rPr>
          <w:rFonts w:ascii="Century Gothic" w:hAnsi="Century Gothic"/>
          <w:sz w:val="22"/>
          <w:szCs w:val="22"/>
        </w:rPr>
        <w:t>La información obtenida a partir de este sondeo permite identificar patrones relevantes en la distribución de la población dentro del municipio. La mayor concentración de habitantes en San Lucas Tepemajalco y la cabecera municipal sugiere que estas zonas cuentan con una infraestructura y oferta de servicios que las hacen más atractivas para la residencia. La menor cantidad de habitantes en otras localidades puede deberse a factores como disponibilidad de vivienda, acceso a empleo o desarrollo de servicios básicos.</w:t>
      </w:r>
    </w:p>
    <w:p w14:paraId="52F78458" w14:textId="77777777" w:rsidR="00BB1EBC" w:rsidRPr="00C51FAD" w:rsidRDefault="00BB1EBC" w:rsidP="00BB1EBC">
      <w:pPr>
        <w:spacing w:line="360" w:lineRule="auto"/>
        <w:ind w:firstLine="708"/>
        <w:jc w:val="both"/>
        <w:rPr>
          <w:rFonts w:ascii="Century Gothic" w:hAnsi="Century Gothic"/>
          <w:sz w:val="22"/>
          <w:szCs w:val="22"/>
        </w:rPr>
      </w:pPr>
      <w:r w:rsidRPr="00C51FAD">
        <w:rPr>
          <w:rFonts w:ascii="Century Gothic" w:hAnsi="Century Gothic"/>
          <w:sz w:val="22"/>
          <w:szCs w:val="22"/>
        </w:rPr>
        <w:t>El análisis del lugar de nacimiento revela que, aunque una parte importante de la población es originaria del municipio, hay una presencia significativa de personas provenientes de otras partes del Estado de México y del país. Esto indica que San Antonio la Isla ha sido receptor de población en las últimas décadas, lo que puede estar relacionado con factores como oportunidades laborales, crecimiento urbano y mejor calidad de vida en comparación con otras regiones.</w:t>
      </w:r>
    </w:p>
    <w:p w14:paraId="7C9D029A" w14:textId="77777777" w:rsidR="00BB1EBC" w:rsidRPr="00C51FAD" w:rsidRDefault="00BB1EBC" w:rsidP="00BB1EBC">
      <w:pPr>
        <w:spacing w:line="360" w:lineRule="auto"/>
        <w:jc w:val="both"/>
        <w:rPr>
          <w:rFonts w:ascii="Century Gothic" w:hAnsi="Century Gothic"/>
          <w:sz w:val="22"/>
          <w:szCs w:val="22"/>
        </w:rPr>
      </w:pPr>
      <w:r w:rsidRPr="00C51FAD">
        <w:rPr>
          <w:rFonts w:ascii="Century Gothic" w:hAnsi="Century Gothic"/>
          <w:sz w:val="22"/>
          <w:szCs w:val="22"/>
        </w:rPr>
        <w:t>El fenómeno migratorio también sugiere la necesidad de considerar políticas públicas que atiendan las necesidades de una población diversa en términos de origen y características sociodemográficas. El crecimiento poblacional puede generar demandas adicionales en términos de infraestructura, vivienda, servicios de salud y educación, lo que resalta la importancia de una planificación estratégica basada en datos concretos.</w:t>
      </w:r>
    </w:p>
    <w:p w14:paraId="0E85208F" w14:textId="18EE1FCC" w:rsidR="00BB1EBC" w:rsidRDefault="00BB1EBC" w:rsidP="00BB1EBC">
      <w:pPr>
        <w:spacing w:line="360" w:lineRule="auto"/>
        <w:ind w:firstLine="360"/>
        <w:jc w:val="both"/>
        <w:rPr>
          <w:rFonts w:ascii="Century Gothic" w:hAnsi="Century Gothic"/>
          <w:sz w:val="22"/>
          <w:szCs w:val="22"/>
        </w:rPr>
      </w:pPr>
      <w:r w:rsidRPr="00C51FAD">
        <w:rPr>
          <w:rFonts w:ascii="Century Gothic" w:hAnsi="Century Gothic"/>
          <w:sz w:val="22"/>
          <w:szCs w:val="22"/>
        </w:rPr>
        <w:t>Estos hallazgos pueden ser útiles para la planeación de políticas públicas, infraestructura y servicios en el municipio. Es recomendable que la autoridad municipal utilice estos datos para diseñar estrategias que fomenten un desarrollo equilibrado en todas las localidades, garantizando el acceso equitativo a servicios y oportunidades para todos los habitantes. La movilidad poblacional y el crecimiento urbano deben ser considerados en la planificación municipal, asegurando que las necesidades de la población sean atendidas de manera efectiva y sostenible.</w:t>
      </w:r>
    </w:p>
    <w:p w14:paraId="08AA5BF6" w14:textId="77777777" w:rsidR="007C62C8" w:rsidRPr="00C51FAD" w:rsidRDefault="007C62C8" w:rsidP="00BB1EBC">
      <w:pPr>
        <w:spacing w:line="360" w:lineRule="auto"/>
        <w:ind w:firstLine="360"/>
        <w:jc w:val="both"/>
        <w:rPr>
          <w:rFonts w:ascii="Century Gothic" w:hAnsi="Century Gothic"/>
          <w:sz w:val="22"/>
          <w:szCs w:val="22"/>
        </w:rPr>
      </w:pPr>
    </w:p>
    <w:p w14:paraId="243EB55D" w14:textId="77777777" w:rsidR="00BB1EBC" w:rsidRPr="00C51FAD" w:rsidRDefault="00BB1EBC" w:rsidP="00820DCC">
      <w:pPr>
        <w:pStyle w:val="Prrafodelista"/>
        <w:numPr>
          <w:ilvl w:val="0"/>
          <w:numId w:val="86"/>
        </w:numPr>
        <w:spacing w:after="160" w:line="360" w:lineRule="auto"/>
        <w:jc w:val="both"/>
        <w:rPr>
          <w:rFonts w:ascii="Century Gothic" w:hAnsi="Century Gothic"/>
          <w:b/>
          <w:bCs/>
          <w:color w:val="025850"/>
          <w:sz w:val="22"/>
          <w:szCs w:val="22"/>
        </w:rPr>
      </w:pPr>
      <w:r w:rsidRPr="00C51FAD">
        <w:rPr>
          <w:rFonts w:ascii="Century Gothic" w:hAnsi="Century Gothic"/>
          <w:b/>
          <w:bCs/>
          <w:color w:val="025850"/>
          <w:sz w:val="22"/>
          <w:szCs w:val="22"/>
        </w:rPr>
        <w:lastRenderedPageBreak/>
        <w:t>INCLUSIÓN PARA EL BIENESTAR Y PROSPERIDAD</w:t>
      </w:r>
    </w:p>
    <w:p w14:paraId="14C07918" w14:textId="77777777" w:rsidR="00BB1EBC" w:rsidRPr="00C51FAD" w:rsidRDefault="00BB1EBC" w:rsidP="00BB1EBC">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El presente análisis se basa en un sondeo de opinión realizado en San Antonio la Isla, cuyo objetivo principal fue evaluar las percepciones de la población sobre diversas políticas públicas implementadas por el gobierno municipal. Con una muestra representativa de </w:t>
      </w:r>
      <w:r w:rsidRPr="00C51FAD">
        <w:rPr>
          <w:rFonts w:ascii="Century Gothic" w:eastAsia="Times New Roman" w:hAnsi="Century Gothic" w:cs="Times New Roman"/>
          <w:b/>
          <w:bCs/>
          <w:sz w:val="22"/>
          <w:szCs w:val="22"/>
          <w:lang w:eastAsia="es-MX"/>
        </w:rPr>
        <w:t>1,453</w:t>
      </w:r>
      <w:r w:rsidRPr="00C51FAD">
        <w:rPr>
          <w:rFonts w:ascii="Century Gothic" w:eastAsia="Times New Roman" w:hAnsi="Century Gothic" w:cs="Times New Roman"/>
          <w:sz w:val="22"/>
          <w:szCs w:val="22"/>
          <w:lang w:eastAsia="es-MX"/>
        </w:rPr>
        <w:t xml:space="preserve"> personas, el estudio abarcó temas clave como la generación de empleo, el apoyo a negocios y emprendedores, la inclusión de grupos vulnerables, la capacitación laboral y la igualdad de oportunidades, entre otros.</w:t>
      </w:r>
    </w:p>
    <w:p w14:paraId="36F24C0F" w14:textId="77777777" w:rsidR="00BB1EBC" w:rsidRPr="00C51FAD" w:rsidRDefault="00BB1EBC" w:rsidP="00BB1EBC">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El propósito de este informe es ofrecer una visión detallada y profunda sobre los puntos fuertes y las áreas de mejora en las políticas municipales, a partir de las opiniones de la población encuestada. El análisis permite identificar los logros alcanzados por el gobierno local, así como los desafíos que aún deben ser abordados para mejorar la calidad de vida de los habitantes y fomentar el desarrollo sostenible en San Antonio la Isla.</w:t>
      </w:r>
    </w:p>
    <w:p w14:paraId="085CBA16" w14:textId="77777777" w:rsidR="00BB1EBC" w:rsidRPr="00C51FAD" w:rsidRDefault="00BB1EBC" w:rsidP="00BB1EBC">
      <w:pPr>
        <w:spacing w:before="100" w:beforeAutospacing="1" w:after="100" w:afterAutospacing="1" w:line="240" w:lineRule="auto"/>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1.1 Generación de oportunidades de empleo</w:t>
      </w:r>
    </w:p>
    <w:p w14:paraId="685BA147" w14:textId="77777777" w:rsidR="00BB1EBC" w:rsidRPr="00C51FAD" w:rsidRDefault="00BB1EBC" w:rsidP="00BB1EBC">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La generación de oportunidades de empleo ha sido evaluada de manera mixta, con una parte significativa de los encuestados que considera la situación como regular, lo que sugiere que los esfuerzos en este campo, aunque presentes, no están cumpliendo con las expectativas de una gran parte de la población. Alrededor del 39% de los participantes califica las políticas de empleo como buenas, lo que indica que aún existen personas que aprecian las iniciativas del gobierno. Sin embargo, la mayoría (aproximadamente 41%) considera que las políticas son solo regulares, lo que refleja una evaluación moderada, señalando que los esfuerzos, aunque notables, no son suficientes o no están alcanzando su máximo potencial. Un 20% califica estas políticas como malas, lo que implica que una quinta parte de los encuestados no ve mejoras sustanciales en la creación de empleo.</w:t>
      </w:r>
    </w:p>
    <w:p w14:paraId="5C15196B" w14:textId="3E4C6567" w:rsidR="00820DCC" w:rsidRPr="00C51FAD" w:rsidRDefault="00BB1EBC" w:rsidP="00C51FAD">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A pesar de los esfuerzos realizados, parece crucial que el gobierno municipal amplíe sus programas de empleo y fortalezca aquellos ya existentes, asegurando que no solo sean accesibles, sino también sostenibles y de largo plazo. Para esto, se </w:t>
      </w:r>
      <w:r w:rsidRPr="00C51FAD">
        <w:rPr>
          <w:rFonts w:ascii="Century Gothic" w:eastAsia="Times New Roman" w:hAnsi="Century Gothic" w:cs="Times New Roman"/>
          <w:sz w:val="22"/>
          <w:szCs w:val="22"/>
          <w:lang w:eastAsia="es-MX"/>
        </w:rPr>
        <w:lastRenderedPageBreak/>
        <w:t>pueden crear incentivos para las empresas que contraten a trabajadores locales o implementar políticas que favorezcan la capacitación constante, ajustadas a las demandas del mercado.</w:t>
      </w:r>
    </w:p>
    <w:p w14:paraId="24B0A306" w14:textId="77777777" w:rsidR="00BB1EBC" w:rsidRPr="00C51FAD" w:rsidRDefault="00BB1EBC" w:rsidP="00BB1EBC">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1.2. Apoyo a negocios y emprendedores</w:t>
      </w:r>
    </w:p>
    <w:p w14:paraId="276AEDBB" w14:textId="77777777" w:rsidR="00BB1EBC" w:rsidRPr="00C51FAD" w:rsidRDefault="00BB1EBC" w:rsidP="00820DCC">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En cuanto al apoyo a negocios y emprendedores, las respuestas reflejan una percepción predominante de que los esfuerzos del gobierno son regulares. Aunque un 37% de los encuestados califica las políticas como buenas, la mayoría (42%) opina que el apoyo brindado no es suficiente para generar un impacto considerable en el sector emprendedor. La diferencia entre los que ven la situación como regular y aquellos que la evalúan como mala (aproximadamente el 21%) resalta que, si bien el apoyo existe, este no ha sido eficaz para transformar la realidad de los negocios emergentes.</w:t>
      </w:r>
    </w:p>
    <w:p w14:paraId="4C2EDC86" w14:textId="77777777" w:rsidR="00BB1EBC" w:rsidRPr="00C51FAD" w:rsidRDefault="00BB1EBC" w:rsidP="00820DCC">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Este resultado también podría sugerir que muchos emprendedores no están recibiendo el respaldo necesario en términos de recursos, capacitación específica o incluso visibilidad. La falta de programas </w:t>
      </w:r>
      <w:r w:rsidRPr="00C51FAD">
        <w:rPr>
          <w:rFonts w:ascii="Century Gothic" w:eastAsia="Times New Roman" w:hAnsi="Century Gothic" w:cs="Times New Roman"/>
          <w:sz w:val="22"/>
          <w:szCs w:val="22"/>
          <w:lang w:eastAsia="es-MX"/>
        </w:rPr>
        <w:t>adaptados a los distintos sectores productivos puede ser un factor que contribuye a esta percepción.</w:t>
      </w:r>
    </w:p>
    <w:p w14:paraId="19A699A1" w14:textId="13DAF4F1" w:rsidR="00C51FAD" w:rsidRPr="00C51FAD" w:rsidRDefault="00BB1EBC" w:rsidP="00BB1EBC">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Es fundamental que el gobierno diseñe políticas más accesibles, adaptadas a las diferentes fases de los negocios, desde los más pequeños hasta los que ya están consolidándose. Los programas de mentoría, microcréditos o asesoramiento especializado serían de gran ayuda para mejorar la situación de los emprendedores locales.</w:t>
      </w:r>
    </w:p>
    <w:p w14:paraId="033C6676" w14:textId="3F33707E"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hAnsi="Century Gothic"/>
          <w:noProof/>
          <w:sz w:val="22"/>
          <w:szCs w:val="22"/>
        </w:rPr>
        <w:drawing>
          <wp:inline distT="0" distB="0" distL="0" distR="0" wp14:anchorId="698472D8" wp14:editId="08522F25">
            <wp:extent cx="3890010" cy="2269173"/>
            <wp:effectExtent l="0" t="0" r="15240" b="1714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3C67FE" w14:textId="3E6E2CE0" w:rsidR="00C51FAD" w:rsidRPr="00C51FAD" w:rsidRDefault="00C51FAD" w:rsidP="00C51FAD">
      <w:pPr>
        <w:pStyle w:val="Prrafodelista"/>
        <w:numPr>
          <w:ilvl w:val="0"/>
          <w:numId w:val="109"/>
        </w:num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 xml:space="preserve">3. Atracción de empresas e inversiones </w:t>
      </w:r>
    </w:p>
    <w:p w14:paraId="7954EB1F" w14:textId="1562E6C9" w:rsidR="00C51FAD" w:rsidRPr="00C51FAD" w:rsidRDefault="00C51FAD" w:rsidP="00C51FAD">
      <w:pPr>
        <w:spacing w:before="100" w:beforeAutospacing="1" w:after="100" w:afterAutospacing="1" w:line="360" w:lineRule="auto"/>
        <w:ind w:left="360"/>
        <w:jc w:val="both"/>
        <w:outlineLvl w:val="2"/>
        <w:rPr>
          <w:rFonts w:ascii="Century Gothic" w:eastAsia="Times New Roman" w:hAnsi="Century Gothic" w:cs="Times New Roman"/>
          <w:b/>
          <w:bCs/>
          <w:sz w:val="22"/>
          <w:szCs w:val="22"/>
          <w:lang w:eastAsia="es-MX"/>
        </w:rPr>
      </w:pPr>
      <w:r w:rsidRPr="00C51FAD">
        <w:rPr>
          <w:rFonts w:ascii="Century Gothic" w:eastAsia="Times New Roman" w:hAnsi="Century Gothic" w:cs="Times New Roman"/>
          <w:sz w:val="22"/>
          <w:szCs w:val="22"/>
          <w:lang w:eastAsia="es-MX"/>
        </w:rPr>
        <w:lastRenderedPageBreak/>
        <w:t>La atracción de empresas e inversiones recibe una evaluación mayormente regular por parte de los encuestados, ya que 44% considera que las políticas son medianamente efectivas, mientras que solo 32% opina que son buenas y un 24% las percibe como malas. Este panorama sugiere que, aunque las políticas de atracción de inversión parecen estar presentes, no se consideran lo suficientemente competitivas o eficaces como para atraer una cantidad significativa de empresas e inversionistas al municipio.</w:t>
      </w:r>
    </w:p>
    <w:p w14:paraId="49CD0849"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Un posible factor que podría estar limitando el impacto de estas políticas es la falta de incentivos claros para las empresas, como reducciones fiscales, acceso a infraestructura o un entorno más amigable para los negocios. Además, si bien se percibe que existe una política de atracción, los resultados parecen indicar que esta no está siendo comunicada de manera efectiva o que no ofrece suficiente valor para las empresas.</w:t>
      </w:r>
    </w:p>
    <w:p w14:paraId="59C3B475"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El gobierno debe fortalecer sus estrategias para atraer empresas e inversiones, ofreciendo incentivos concretos, como exenciones </w:t>
      </w:r>
      <w:r w:rsidRPr="00C51FAD">
        <w:rPr>
          <w:rFonts w:ascii="Century Gothic" w:eastAsia="Times New Roman" w:hAnsi="Century Gothic" w:cs="Times New Roman"/>
          <w:sz w:val="22"/>
          <w:szCs w:val="22"/>
          <w:lang w:eastAsia="es-MX"/>
        </w:rPr>
        <w:t>fiscales, infraestructura adecuada y condiciones laborales favorables. También sería útil promover una mejor comunicación sobre los beneficios que el municipio puede ofrecer a las empresas interesadas.</w:t>
      </w:r>
    </w:p>
    <w:p w14:paraId="43EEC179"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1.4. Inclusión de grupos vulnerables al empleo</w:t>
      </w:r>
    </w:p>
    <w:p w14:paraId="3981180C"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La inclusión de grupos vulnerables al empleo ha sido evaluada como regular por una gran parte de la población, con 45% de los encuestados considerando que los esfuerzos en este ámbito son insuficientes. Aunque un 36% opina que las políticas son buenas, la diferencia con aquellos que las califican como regulares o malas (alrededor del 19%) refleja que los programas de inclusión no son efectivos para llegar a todos los grupos vulnerables, como personas en situación de pobreza, jóvenes, adultos mayores, entre otros.</w:t>
      </w:r>
    </w:p>
    <w:p w14:paraId="28845D14"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Esto también puede señalar que, si bien existen políticas para promover la inclusión, no están alcanzando a los sectores más necesitados o no están adecuadamente adaptadas para cada grupo vulnerable. Además, la falta de información sobre estas políticas podría ser otra de las barreras.</w:t>
      </w:r>
    </w:p>
    <w:p w14:paraId="78F37E23"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lastRenderedPageBreak/>
        <w:t>Recomendación:</w:t>
      </w:r>
      <w:r w:rsidRPr="00C51FAD">
        <w:rPr>
          <w:rFonts w:ascii="Century Gothic" w:eastAsia="Times New Roman" w:hAnsi="Century Gothic" w:cs="Times New Roman"/>
          <w:sz w:val="22"/>
          <w:szCs w:val="22"/>
          <w:lang w:eastAsia="es-MX"/>
        </w:rPr>
        <w:t xml:space="preserve"> Es importante que el gobierno desarrolle políticas de inclusión laboral específicas para cada grupo vulnerable, considerando sus necesidades y capacidades. Además, se debe promover un mayor acceso a información y recursos para garantizar que las personas en situación de vulnerabilidad tengan las mismas oportunidades en el mercado laboral.</w:t>
      </w:r>
    </w:p>
    <w:p w14:paraId="303AF58F"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1.5. Capacitación para el empleo</w:t>
      </w:r>
    </w:p>
    <w:p w14:paraId="60EB37B4"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La capacitación para el empleo también es vista de forma predominantemente regular. Aproximadamente el 39% de los encuestados considera que los programas son buenos, pero un 44% considera que son solo regulares y un 17% los califica como malos. Esto implica que la oferta de capacitación no es percibida como adecuada o suficiente para responder a las necesidades del mercado laboral actual.</w:t>
      </w:r>
    </w:p>
    <w:p w14:paraId="3AC4DC8B"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Además, puede indicar que las personas que buscan empleo o mejorar sus habilidades no están encontrando en la oferta formativa una solución eficaz a sus necesidades. La falta de especialización en áreas de alta </w:t>
      </w:r>
      <w:r w:rsidRPr="00C51FAD">
        <w:rPr>
          <w:rFonts w:ascii="Century Gothic" w:eastAsia="Times New Roman" w:hAnsi="Century Gothic" w:cs="Times New Roman"/>
          <w:sz w:val="22"/>
          <w:szCs w:val="22"/>
          <w:lang w:eastAsia="es-MX"/>
        </w:rPr>
        <w:t>demanda laboral también puede contribuir a esta evaluación.</w:t>
      </w:r>
    </w:p>
    <w:p w14:paraId="2D4D8668"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Es necesario revisar y actualizar los programas de capacitación, ampliando la oferta en áreas con alta demanda laboral, como la tecnología, la atención sanitaria o los servicios especializados. También sería útil promover la colaboración entre el sector público y privado para asegurar que los cursos ofrecidos estén alineados con las necesidades reales del mercado.</w:t>
      </w:r>
    </w:p>
    <w:p w14:paraId="4082EE30" w14:textId="77777777" w:rsidR="007C62C8" w:rsidRDefault="00C51FAD" w:rsidP="007C62C8">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1.6. Ofertas de bolsa de trabajo</w:t>
      </w:r>
    </w:p>
    <w:p w14:paraId="71B4317A" w14:textId="4FD52F43" w:rsidR="00C51FAD" w:rsidRPr="007C62C8" w:rsidRDefault="00C51FAD" w:rsidP="007C62C8">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sz w:val="22"/>
          <w:szCs w:val="22"/>
          <w:lang w:eastAsia="es-MX"/>
        </w:rPr>
        <w:t>Las ofertas de bolsa de trabajo siguen una tendencia similar a la de la capacitación, con 34% de los encuestados considerando que las ofertas son buenas, 44% opinando que son regulares y 22% calificándolas como malas. Esto indica que, aunque existen bolsas de trabajo disponibles, estas no están siendo lo suficientemente efectivas ni diversificadas para cubrir las distintas necesidades de la población laboral.</w:t>
      </w:r>
    </w:p>
    <w:p w14:paraId="28DB1959"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Una posible causa de esta evaluación podría ser la falta de personalización en las ofertas de empleo o la escasa </w:t>
      </w:r>
      <w:r w:rsidRPr="00C51FAD">
        <w:rPr>
          <w:rFonts w:ascii="Century Gothic" w:eastAsia="Times New Roman" w:hAnsi="Century Gothic" w:cs="Times New Roman"/>
          <w:sz w:val="22"/>
          <w:szCs w:val="22"/>
          <w:lang w:eastAsia="es-MX"/>
        </w:rPr>
        <w:lastRenderedPageBreak/>
        <w:t>cantidad de vacantes relevantes para los perfiles laborales de los habitantes del municipio.</w:t>
      </w:r>
    </w:p>
    <w:p w14:paraId="786820E7"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Mejorar las ofertas de empleo a través de la creación de bolsas de trabajo más especializadas, adaptadas a diferentes niveles de habilidades, sectores industriales y grupos demográficos. Además, se podrían implementar plataformas en línea que ofrezcan una experiencia de búsqueda más personalizada y accesible.</w:t>
      </w:r>
    </w:p>
    <w:p w14:paraId="1B19C05A" w14:textId="3AEC5DE3" w:rsidR="00BB1EBC" w:rsidRPr="00C51FAD" w:rsidRDefault="00C51FAD" w:rsidP="00E019D1">
      <w:pPr>
        <w:spacing w:before="102"/>
        <w:jc w:val="both"/>
        <w:rPr>
          <w:rFonts w:ascii="Century Gothic" w:hAnsi="Century Gothic"/>
          <w:color w:val="025850"/>
          <w:sz w:val="22"/>
          <w:szCs w:val="22"/>
        </w:rPr>
      </w:pPr>
      <w:r w:rsidRPr="00C51FAD">
        <w:rPr>
          <w:rFonts w:ascii="Century Gothic" w:hAnsi="Century Gothic"/>
          <w:noProof/>
          <w:sz w:val="22"/>
          <w:szCs w:val="22"/>
        </w:rPr>
        <w:drawing>
          <wp:inline distT="0" distB="0" distL="0" distR="0" wp14:anchorId="18DA910E" wp14:editId="6D515AA4">
            <wp:extent cx="3890010" cy="2269173"/>
            <wp:effectExtent l="0" t="0" r="15240" b="1714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847BF76"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sz w:val="22"/>
          <w:szCs w:val="22"/>
          <w:lang w:eastAsia="es-MX"/>
        </w:rPr>
      </w:pPr>
      <w:r w:rsidRPr="00C51FAD">
        <w:rPr>
          <w:rFonts w:ascii="Century Gothic" w:eastAsia="Times New Roman" w:hAnsi="Century Gothic" w:cs="Times New Roman"/>
          <w:b/>
          <w:bCs/>
          <w:sz w:val="22"/>
          <w:szCs w:val="22"/>
          <w:lang w:eastAsia="es-MX"/>
        </w:rPr>
        <w:t>Fomento artesanal</w:t>
      </w:r>
    </w:p>
    <w:p w14:paraId="238909FB"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El fomento artesanal es el área mejor evaluada por los encuestados, con un 53% que considera que las políticas </w:t>
      </w:r>
      <w:r w:rsidRPr="00C51FAD">
        <w:rPr>
          <w:rFonts w:ascii="Century Gothic" w:eastAsia="Times New Roman" w:hAnsi="Century Gothic" w:cs="Times New Roman"/>
          <w:sz w:val="22"/>
          <w:szCs w:val="22"/>
          <w:lang w:eastAsia="es-MX"/>
        </w:rPr>
        <w:t>son buenas, 34% que las ve como regulares y solo 13% las califica como malas. Este resultado sugiere que el apoyo a la actividad artesanal está siendo bien recibido por la población, lo que podría reflejar la efectividad de las políticas implementadas en este sector. La valoración positiva se debe, probablemente, a la visibilidad que el gobierno ha brindado a los productos locales y a la valorización de la cultura artesanal.</w:t>
      </w:r>
    </w:p>
    <w:p w14:paraId="5B509C2D"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Continuar apoyando al sector artesanal, ampliando los mercados para estos productos y ofreciendo capacitación continua para los artesanos, para que puedan innovar y adaptarse a las nuevas demandas del mercado. También sería beneficioso fomentar el turismo relacionado con la cultura artesanal.</w:t>
      </w:r>
    </w:p>
    <w:p w14:paraId="3E845AD1"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sz w:val="22"/>
          <w:szCs w:val="22"/>
          <w:lang w:eastAsia="es-MX"/>
        </w:rPr>
      </w:pPr>
      <w:r w:rsidRPr="00C51FAD">
        <w:rPr>
          <w:rFonts w:ascii="Century Gothic" w:eastAsia="Times New Roman" w:hAnsi="Century Gothic" w:cs="Times New Roman"/>
          <w:b/>
          <w:bCs/>
          <w:sz w:val="22"/>
          <w:szCs w:val="22"/>
          <w:lang w:eastAsia="es-MX"/>
        </w:rPr>
        <w:t>1.8</w:t>
      </w:r>
      <w:r w:rsidRPr="00C51FAD">
        <w:rPr>
          <w:rFonts w:ascii="Century Gothic" w:eastAsia="Times New Roman" w:hAnsi="Century Gothic" w:cs="Times New Roman"/>
          <w:b/>
          <w:bCs/>
          <w:color w:val="025850"/>
          <w:sz w:val="22"/>
          <w:szCs w:val="22"/>
          <w:lang w:eastAsia="es-MX"/>
        </w:rPr>
        <w:t>. Programas para combatir la pobreza</w:t>
      </w:r>
    </w:p>
    <w:p w14:paraId="769CD00D"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Los programas para combatir la pobreza obtienen una evaluación predominantemente regular, con 41% de los encuestados opinando que los programas son medianamente efectivos, 32% considerándolos buenos y 27% como malos. Esto refleja que, aunque existen políticas para combatir la pobreza, estas no están </w:t>
      </w:r>
      <w:r w:rsidRPr="00C51FAD">
        <w:rPr>
          <w:rFonts w:ascii="Century Gothic" w:eastAsia="Times New Roman" w:hAnsi="Century Gothic" w:cs="Times New Roman"/>
          <w:sz w:val="22"/>
          <w:szCs w:val="22"/>
          <w:lang w:eastAsia="es-MX"/>
        </w:rPr>
        <w:lastRenderedPageBreak/>
        <w:t>generando el impacto esperado. Los programas pueden no estar llegando de manera efectiva a todos los que lo necesitan o no estar ofreciendo las soluciones adecuadas para cambiar las condiciones de vida de los más vulnerables.</w:t>
      </w:r>
    </w:p>
    <w:p w14:paraId="78E6718A"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Es necesario revisar y rediseñar los programas, enfocándose en la capacitación laboral, el acceso a microcréditos o subsidios más efectivos, además de crear políticas que promuevan la autonomía económica de las personas en situación de pobreza.</w:t>
      </w:r>
    </w:p>
    <w:p w14:paraId="3B9EADD9"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1.9. Igualdad de oportunidades laborales para hombres y mujeres</w:t>
      </w:r>
    </w:p>
    <w:p w14:paraId="51803B44"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La igualdad de oportunidades laborales para hombres y mujeres es uno de los aspectos mejor valorados, con 46% de los encuestados que consideran que las políticas son buenas, 39% que las perciben como regulares y 15% como malas. Aunque existe una valoración positiva, las brechas de género persisten en algunos aspectos, como el acceso a cargos directivos o la equidad salarial.</w:t>
      </w:r>
    </w:p>
    <w:p w14:paraId="3F6E8CF3"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El gobierno debe intensificar los esfuerzos para eliminar las brechas de género, implementando políticas claras sobre la equidad salarial y promoviendo la inclusión de las mujeres en roles de liderazgo y toma de decisiones.</w:t>
      </w:r>
    </w:p>
    <w:p w14:paraId="0F2219AD"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t>1.10. Inclusión laboral para personas en situación de discapacidad</w:t>
      </w:r>
    </w:p>
    <w:p w14:paraId="2A3FBBB2"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Las políticas de inclusión laboral para personas con discapacidad muestran una evaluación mixta, con 39% que las considera buenas, 46% como regulares y 15% como malas. Esto indica que, aunque existe una tendencia hacia la inclusión, aún hay barreras significativas para que las personas con discapacidad puedan acceder al mercado laboral de manera equitativa.</w:t>
      </w:r>
    </w:p>
    <w:p w14:paraId="6A1057D4"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Desarrollar políticas más inclusivas que fomenten la contratación de personas con discapacidad y eliminar las barreras físicas y sociales que dificultan su inclusión en el entorno laboral.</w:t>
      </w:r>
    </w:p>
    <w:p w14:paraId="10065AC0"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color w:val="025850"/>
          <w:sz w:val="22"/>
          <w:szCs w:val="22"/>
          <w:lang w:eastAsia="es-MX"/>
        </w:rPr>
      </w:pPr>
      <w:r w:rsidRPr="00C51FAD">
        <w:rPr>
          <w:rFonts w:ascii="Century Gothic" w:eastAsia="Times New Roman" w:hAnsi="Century Gothic" w:cs="Times New Roman"/>
          <w:b/>
          <w:bCs/>
          <w:color w:val="025850"/>
          <w:sz w:val="22"/>
          <w:szCs w:val="22"/>
          <w:lang w:eastAsia="es-MX"/>
        </w:rPr>
        <w:lastRenderedPageBreak/>
        <w:t>1.11. Prevención de discriminación laboral hacia la comunidad LGBTIQ+</w:t>
      </w:r>
    </w:p>
    <w:p w14:paraId="5ED43F74"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Las políticas de prevención de discriminación laboral hacia la comunidad LGBTIQ+ también presentan una evaluación mayormente regular, con 36% de los encuestados considerándolas buenas, 47% opinando que son regulares y 17% viéndolas como malas. Aunque se han implementado medidas, aún existen percepciones de discriminación que afectan a la comunidad LGBTIQ+ en el ámbito laboral.</w:t>
      </w:r>
    </w:p>
    <w:p w14:paraId="0F933ED4" w14:textId="77777777" w:rsidR="00C51FAD" w:rsidRPr="00C51FAD" w:rsidRDefault="00C51FAD" w:rsidP="00C51FAD">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b/>
          <w:bCs/>
          <w:sz w:val="22"/>
          <w:szCs w:val="22"/>
          <w:lang w:eastAsia="es-MX"/>
        </w:rPr>
        <w:t>Recomendación:</w:t>
      </w:r>
      <w:r w:rsidRPr="00C51FAD">
        <w:rPr>
          <w:rFonts w:ascii="Century Gothic" w:eastAsia="Times New Roman" w:hAnsi="Century Gothic" w:cs="Times New Roman"/>
          <w:sz w:val="22"/>
          <w:szCs w:val="22"/>
          <w:lang w:eastAsia="es-MX"/>
        </w:rPr>
        <w:t xml:space="preserve"> Es crucial seguir trabajando en la sensibilización y capacitación sobre la diversidad en el trabajo. Además, las políticas deben ser más claras y efectivas en la protección contra la discriminación en todas sus formas.</w:t>
      </w:r>
    </w:p>
    <w:p w14:paraId="1EDDFDE5" w14:textId="77777777" w:rsidR="00C51FAD" w:rsidRPr="00C51FAD" w:rsidRDefault="00C51FAD" w:rsidP="00C51FAD">
      <w:pPr>
        <w:spacing w:before="100" w:beforeAutospacing="1" w:after="100" w:afterAutospacing="1" w:line="360" w:lineRule="auto"/>
        <w:jc w:val="both"/>
        <w:outlineLvl w:val="2"/>
        <w:rPr>
          <w:rFonts w:ascii="Century Gothic" w:eastAsia="Times New Roman" w:hAnsi="Century Gothic" w:cs="Times New Roman"/>
          <w:b/>
          <w:bCs/>
          <w:sz w:val="22"/>
          <w:szCs w:val="22"/>
          <w:lang w:eastAsia="es-MX"/>
        </w:rPr>
      </w:pPr>
      <w:r w:rsidRPr="00C51FAD">
        <w:rPr>
          <w:rFonts w:ascii="Century Gothic" w:eastAsia="Times New Roman" w:hAnsi="Century Gothic" w:cs="Times New Roman"/>
          <w:b/>
          <w:bCs/>
          <w:sz w:val="22"/>
          <w:szCs w:val="22"/>
          <w:lang w:eastAsia="es-MX"/>
        </w:rPr>
        <w:t>Conclusión</w:t>
      </w:r>
    </w:p>
    <w:p w14:paraId="5AD314AD" w14:textId="00936E38" w:rsidR="00C51FAD" w:rsidRPr="00C51FAD" w:rsidRDefault="00C51FAD" w:rsidP="007C62C8">
      <w:pPr>
        <w:spacing w:before="100" w:beforeAutospacing="1" w:after="100" w:afterAutospacing="1" w:line="360" w:lineRule="auto"/>
        <w:jc w:val="both"/>
        <w:rPr>
          <w:rFonts w:ascii="Century Gothic" w:eastAsia="Times New Roman" w:hAnsi="Century Gothic" w:cs="Times New Roman"/>
          <w:sz w:val="22"/>
          <w:szCs w:val="22"/>
          <w:lang w:eastAsia="es-MX"/>
        </w:rPr>
      </w:pPr>
      <w:r w:rsidRPr="00C51FAD">
        <w:rPr>
          <w:rFonts w:ascii="Century Gothic" w:eastAsia="Times New Roman" w:hAnsi="Century Gothic" w:cs="Times New Roman"/>
          <w:sz w:val="22"/>
          <w:szCs w:val="22"/>
          <w:lang w:eastAsia="es-MX"/>
        </w:rPr>
        <w:t xml:space="preserve">En general, el análisis de los resultados revela que, si bien el gobierno municipal ha implementado una serie de políticas para abordar aspectos clave de la economía y el empleo, las percepciones de los ciudadanos apuntan </w:t>
      </w:r>
      <w:r w:rsidRPr="00C51FAD">
        <w:rPr>
          <w:rFonts w:ascii="Century Gothic" w:eastAsia="Times New Roman" w:hAnsi="Century Gothic" w:cs="Times New Roman"/>
          <w:sz w:val="22"/>
          <w:szCs w:val="22"/>
          <w:lang w:eastAsia="es-MX"/>
        </w:rPr>
        <w:t>a que muchas de estas políticas son insuficientes o regulares. Las áreas que requieren mayor atención son la generación de empleo, el apoyo a emprendedores, la capacitación laboral y la inclusión de grupos vulnerables, lo que resalta la necesidad de revisar y rediseñar las políticas para que sean más efectivas y específicas.</w:t>
      </w:r>
    </w:p>
    <w:p w14:paraId="4EAF0A9D" w14:textId="2F1983C8" w:rsidR="00C51FAD" w:rsidRPr="00C51FAD" w:rsidRDefault="00C51FAD" w:rsidP="00C51FAD">
      <w:pPr>
        <w:pStyle w:val="Prrafodelista"/>
        <w:numPr>
          <w:ilvl w:val="0"/>
          <w:numId w:val="95"/>
        </w:numPr>
        <w:spacing w:after="160" w:line="360" w:lineRule="auto"/>
        <w:jc w:val="both"/>
        <w:rPr>
          <w:rFonts w:ascii="Century Gothic" w:hAnsi="Century Gothic"/>
          <w:b/>
          <w:bCs/>
          <w:color w:val="025850"/>
          <w:sz w:val="22"/>
          <w:szCs w:val="22"/>
        </w:rPr>
      </w:pPr>
      <w:r w:rsidRPr="00C51FAD">
        <w:rPr>
          <w:rFonts w:ascii="Century Gothic" w:hAnsi="Century Gothic"/>
          <w:b/>
          <w:bCs/>
          <w:color w:val="025850"/>
          <w:sz w:val="22"/>
          <w:szCs w:val="22"/>
        </w:rPr>
        <w:t>IGUALDAD DE GÉNERO</w:t>
      </w:r>
    </w:p>
    <w:p w14:paraId="2C37007A"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La violencia de género es una problemática social de gran relevancia que afecta a mujeres de todas las edades y condiciones socioeconómicas. Su impacto se refleja en el deterioro de la calidad de vida de las víctimas y en el tejido social de las comunidades. Con el objetivo de comprender mejor la percepción y experiencia de la población de San Antonio la Isla respecto a este fenómeno, se llevó a cabo un sondeo de opinión con una muestra de </w:t>
      </w:r>
      <w:r w:rsidRPr="00C51FAD">
        <w:rPr>
          <w:rFonts w:ascii="Century Gothic" w:hAnsi="Century Gothic"/>
          <w:b/>
          <w:bCs/>
          <w:sz w:val="22"/>
          <w:szCs w:val="22"/>
        </w:rPr>
        <w:t>1,453 personas</w:t>
      </w:r>
      <w:r w:rsidRPr="00C51FAD">
        <w:rPr>
          <w:rFonts w:ascii="Century Gothic" w:hAnsi="Century Gothic"/>
          <w:sz w:val="22"/>
          <w:szCs w:val="22"/>
        </w:rPr>
        <w:t>. Este estudio permite identificar tanto la prevalencia de la violencia de género como los tipos de agresiones más comunes, el nivel de denuncia y la conciencia social sobre el tema.</w:t>
      </w:r>
    </w:p>
    <w:p w14:paraId="551A212F"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En ese sentido, se exponen los resultados obtenidos a partir del sondeo y analiza los distintos aspectos </w:t>
      </w:r>
      <w:r w:rsidRPr="00C51FAD">
        <w:rPr>
          <w:rFonts w:ascii="Century Gothic" w:hAnsi="Century Gothic"/>
          <w:sz w:val="22"/>
          <w:szCs w:val="22"/>
        </w:rPr>
        <w:lastRenderedPageBreak/>
        <w:t>relacionados con la violencia de género en el municipio. Se busca con ello proporcionar información clave para la toma de decisiones en materia de políticas públicas y estrategias de prevención y atención. A través del análisis de las respuestas de los encuestados, se pueden detectar patrones de conducta y percepciones que permiten evaluar el nivel de sensibilización de la población y las posibles acciones que pueden tomarse para mitigar este problema.</w:t>
      </w:r>
    </w:p>
    <w:p w14:paraId="6677F23F"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Este apartado, aborda temas como la experiencia personal de los encuestados frente a la violencia de género, la propensión a denunciar estos hechos, los tipos de violencia más frecuentes según la percepción de la población y el conocimiento de casos cercanos. Asimismo, se incluyen datos sociodemográficos, para analizar cómo la percepción de la violencia varía según la edad y se presentan conclusiones orientadas a fortalecer las estrategias de prevención y respuesta frente a la violencia de género en San Antonio la Isla.</w:t>
      </w:r>
    </w:p>
    <w:p w14:paraId="2295437D" w14:textId="77777777" w:rsidR="00C51FAD" w:rsidRPr="00C51FAD" w:rsidRDefault="00C51FAD" w:rsidP="00C51FAD">
      <w:pPr>
        <w:spacing w:line="360" w:lineRule="auto"/>
        <w:jc w:val="both"/>
        <w:rPr>
          <w:rFonts w:ascii="Century Gothic" w:hAnsi="Century Gothic"/>
          <w:sz w:val="22"/>
          <w:szCs w:val="22"/>
        </w:rPr>
      </w:pPr>
    </w:p>
    <w:p w14:paraId="534ADBC4" w14:textId="657190C2"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En relación con la experiencia de la población con la violencia de género, el 51.4% de los encuestados (746 personas) afirmó no haber presenciado ni sido víctima de este fenómeno. No obstante, el 22.8% (331 personas) indicó que, aunque no ha sido víctima, conoce casos cercanos. Un 16.8% (244 personas) declaró haber experimentado violencia en algunas ocasiones, mientras que el 3.4% (49 personas) mencionó que la vive con frecuencia. Un 5.7% (83 personas) señaló que no ha prestado atención a este tema. Estos datos reflejan que, aunque una mayoría no ha experimentado la violencia de género de manera directa, el 42% de los encuestados tiene algún grado de cercanía con este fenómeno, lo que indica su presencia en la comunidad.</w:t>
      </w:r>
    </w:p>
    <w:p w14:paraId="50CB3CC4" w14:textId="125930E5"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noProof/>
          <w:sz w:val="22"/>
          <w:szCs w:val="22"/>
        </w:rPr>
        <w:lastRenderedPageBreak/>
        <w:drawing>
          <wp:inline distT="0" distB="0" distL="0" distR="0" wp14:anchorId="02B58169" wp14:editId="7DCFD650">
            <wp:extent cx="3890010" cy="2269490"/>
            <wp:effectExtent l="0" t="0" r="15240" b="1651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FB63A07"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En cuanto a la denuncia de actos de violencia, el 72.4% de los encuestados (1,052 personas) indicó que no presentó una denuncia, mientras que el 27.6% (401 personas) sí lo hizo. La baja proporción de denuncias sugiere la existencia de barreras como la desconfianza en las instituciones, el miedo a represalias o la falta de acceso a mecanismos de denuncia. Estos resultados subrayan la necesidad de fortalecer campañas de sensibilización y protección para las víctimas.</w:t>
      </w:r>
    </w:p>
    <w:p w14:paraId="4CDCF8FB"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Respecto a la percepción sobre los tipos de violencia que prevalecen en el municipio, el 34.6% de los encuestados (503 personas) considera que la violencia física es la más frecuente. La violencia psicológica fue identificada por el </w:t>
      </w:r>
      <w:r w:rsidRPr="00C51FAD">
        <w:rPr>
          <w:rFonts w:ascii="Century Gothic" w:hAnsi="Century Gothic"/>
          <w:sz w:val="22"/>
          <w:szCs w:val="22"/>
        </w:rPr>
        <w:t>27% (392 personas), seguida de la violencia económica con el 25.2% (366 personas). Otros tipos de violencia mencionados fueron la patrimonial con el 7.4% (108 personas), la sexual con el 2.7% (39 personas) y la feminicida con el 2.4% (35 personas). Estos datos reflejan que la violencia física y psicológica son las principales preocupaciones de la comunidad, aunque todas las formas de violencia requieren atención y medidas preventivas.</w:t>
      </w:r>
    </w:p>
    <w:p w14:paraId="5448983D"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Al analizar el conocimiento de casos cercanos de violencia, el 60.8% de los encuestados (883 personas) respondió que no conoce a ninguna mujer que sufra violencia, mientras que el 39.2% (570 personas) indicó que sí. Este dato evidencia que la violencia de género no es un fenómeno aislado y que una parte considerable de la población ha sido testigo de estas situaciones en su entorno, reforzando la importancia de consolidar redes de apoyo y fomentar la denuncia como una herramienta de protección.</w:t>
      </w:r>
    </w:p>
    <w:p w14:paraId="00053AF3"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En cuanto a la distribución etaria de los encuestados, la mayor participación corresponde a personas entre 18 y 30 años, con el 41% de la muestra (596 personas). Le </w:t>
      </w:r>
      <w:r w:rsidRPr="00C51FAD">
        <w:rPr>
          <w:rFonts w:ascii="Century Gothic" w:hAnsi="Century Gothic"/>
          <w:sz w:val="22"/>
          <w:szCs w:val="22"/>
        </w:rPr>
        <w:lastRenderedPageBreak/>
        <w:t>siguen los grupos de 31 a 40 años con el 22.6% (328 personas) y de 41 a 50 años con el 21.1% (307 personas). El 10.6% (154 personas) pertenece al grupo de 51 a 60 años, mientras que el 3.8% (55 personas) tiene entre 61 y 70 años, y solo el 0.9% (13 personas) tiene más de 71 años. La menor representación de personas mayores en el sondeo podría reflejar una menor disposición a participar en este tipo de ejercicios o una percepción distinta sobre la violencia de género, posiblemente influenciada por patrones culturales arraigados.</w:t>
      </w:r>
    </w:p>
    <w:p w14:paraId="0950CF33" w14:textId="758B505F"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7C97533B" wp14:editId="5F7BE0BC">
            <wp:extent cx="3890010" cy="2269490"/>
            <wp:effectExtent l="0" t="0" r="15240" b="1651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4A3BA7F" w14:textId="7D92F76B" w:rsidR="00C51FAD" w:rsidRPr="00C51FAD" w:rsidRDefault="00C51FAD" w:rsidP="00C51FAD">
      <w:pPr>
        <w:spacing w:line="360" w:lineRule="auto"/>
        <w:jc w:val="both"/>
        <w:rPr>
          <w:rFonts w:ascii="Century Gothic" w:hAnsi="Century Gothic"/>
          <w:b/>
          <w:bCs/>
          <w:sz w:val="22"/>
          <w:szCs w:val="22"/>
        </w:rPr>
      </w:pPr>
      <w:r w:rsidRPr="00C51FAD">
        <w:rPr>
          <w:rFonts w:ascii="Century Gothic" w:hAnsi="Century Gothic"/>
          <w:b/>
          <w:bCs/>
          <w:sz w:val="22"/>
          <w:szCs w:val="22"/>
        </w:rPr>
        <w:t>Conclusiones</w:t>
      </w:r>
    </w:p>
    <w:p w14:paraId="18365B67"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Los resultados de este sondeo permiten extraer diversas conclusiones relevantes. La violencia de género sigue siendo un problema latente en San Antonio la Isla, con una proporción considerable de la población que ha sido víctima o testigo de este fenómeno. La falta de denuncias y la persistencia de la violencia física, psicológica y económica resaltan la necesidad de reforzar estrategias de prevención y atención.</w:t>
      </w:r>
    </w:p>
    <w:p w14:paraId="785D39E8"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Para abordar esta problemática de manera integral, se recomienda fortalecer campañas de prevención y educación sobre violencia de género, garantizando el acceso a mecanismos de denuncia seguros y efectivos. Es fundamental implementar programas de atención integral para las víctimas, asegurando su protección y apoyo psicológico y legal. Asimismo, se sugiere fomentar la formación de redes de apoyo comunitarias y sensibilizar a la población, en especial a las generaciones mayores, sobre la importancia de erradicar la violencia de género y transformar patrones culturales normalizados.</w:t>
      </w:r>
    </w:p>
    <w:p w14:paraId="6F200D0C" w14:textId="32F80880"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Asimismo, es necesario contribuir a la generación de políticas públicas y acciones concretas que promuevan la erradicación de la violencia de género en San Antonio </w:t>
      </w:r>
      <w:r w:rsidRPr="00C51FAD">
        <w:rPr>
          <w:rFonts w:ascii="Century Gothic" w:hAnsi="Century Gothic"/>
          <w:sz w:val="22"/>
          <w:szCs w:val="22"/>
        </w:rPr>
        <w:lastRenderedPageBreak/>
        <w:t>la Isla, garantizando el bienestar y la seguridad de sus habitantes.</w:t>
      </w:r>
    </w:p>
    <w:p w14:paraId="3E1D9C07" w14:textId="2236BCC4" w:rsidR="00C51FAD" w:rsidRPr="00C51FAD" w:rsidRDefault="00C51FAD" w:rsidP="00C51FAD">
      <w:pPr>
        <w:pStyle w:val="Prrafodelista"/>
        <w:numPr>
          <w:ilvl w:val="0"/>
          <w:numId w:val="96"/>
        </w:numPr>
        <w:spacing w:after="160" w:line="360" w:lineRule="auto"/>
        <w:jc w:val="both"/>
        <w:rPr>
          <w:rFonts w:ascii="Century Gothic" w:hAnsi="Century Gothic"/>
          <w:b/>
          <w:bCs/>
          <w:color w:val="025850"/>
          <w:sz w:val="22"/>
          <w:szCs w:val="22"/>
        </w:rPr>
      </w:pPr>
      <w:r w:rsidRPr="00C51FAD">
        <w:rPr>
          <w:rFonts w:ascii="Century Gothic" w:hAnsi="Century Gothic"/>
          <w:b/>
          <w:bCs/>
          <w:color w:val="025850"/>
          <w:sz w:val="22"/>
          <w:szCs w:val="22"/>
        </w:rPr>
        <w:t>COMUNIDAD SALUDABLE Y RESILIENTE</w:t>
      </w:r>
    </w:p>
    <w:p w14:paraId="10F79934"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El bienestar emocional es un aspecto fundamental de la calidad de vida de las personas. En la actualidad, factores como el trabajo, la situación económica, las relaciones interpersonales y otros desafíos diarios pueden generar estrés, ansiedad, tristeza y otros problemas emocionales que afectan la vida cotidiana.</w:t>
      </w:r>
    </w:p>
    <w:p w14:paraId="05BD1F82"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 xml:space="preserve">Con el objetivo de comprender mejor la frecuencia con la que las personas experimentan estas dificultades, se realizó un sondeo de opinión con </w:t>
      </w:r>
      <w:r w:rsidRPr="00C51FAD">
        <w:rPr>
          <w:rFonts w:ascii="Century Gothic" w:hAnsi="Century Gothic"/>
          <w:b/>
          <w:bCs/>
          <w:sz w:val="22"/>
          <w:szCs w:val="22"/>
        </w:rPr>
        <w:t>1,453</w:t>
      </w:r>
      <w:r w:rsidRPr="00C51FAD">
        <w:rPr>
          <w:rFonts w:ascii="Century Gothic" w:hAnsi="Century Gothic"/>
          <w:sz w:val="22"/>
          <w:szCs w:val="22"/>
        </w:rPr>
        <w:t xml:space="preserve"> participantes. A través de este sondeo, buscamos identificar patrones y tendencias en la salud emocional de la población, lo que permitirá generar conciencia sobre la importancia del bienestar mental y la necesidad de implementar estrategias para su manejo.</w:t>
      </w:r>
    </w:p>
    <w:p w14:paraId="436E79DF" w14:textId="77777777" w:rsidR="00C51FAD" w:rsidRPr="00C51FAD" w:rsidRDefault="00C51FAD" w:rsidP="00C51FAD">
      <w:pPr>
        <w:spacing w:line="360" w:lineRule="auto"/>
        <w:jc w:val="both"/>
        <w:rPr>
          <w:rFonts w:ascii="Century Gothic" w:hAnsi="Century Gothic"/>
          <w:sz w:val="22"/>
          <w:szCs w:val="22"/>
        </w:rPr>
      </w:pPr>
    </w:p>
    <w:p w14:paraId="004629F8"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b/>
          <w:bCs/>
          <w:sz w:val="22"/>
          <w:szCs w:val="22"/>
        </w:rPr>
        <w:t>Pregunta 1:</w:t>
      </w:r>
      <w:r w:rsidRPr="00C51FAD">
        <w:rPr>
          <w:rFonts w:ascii="Century Gothic" w:hAnsi="Century Gothic"/>
          <w:sz w:val="22"/>
          <w:szCs w:val="22"/>
        </w:rPr>
        <w:t xml:space="preserve"> "En los últimos seis meses, ¿con qué frecuencia ha experimentado estrés, ansiedad, tristeza u otros problemas emocionales que afecten su vida diaria?"</w:t>
      </w:r>
    </w:p>
    <w:p w14:paraId="1EC4CD49"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Los resultados mostraron que el 39.5% de los encuestados manifestó haber experimentado estas emociones algunas veces, el 17.9% frecuentemente y el 4.5% siempre. Por otro lado, el 22.3% reportó que rara vez ha enfrentado estas dificultades y el 15.9% indicó que nunca las ha padecido. Esto implica que un 61.9% de la población ha experimentado problemas emocionales con cierta regularidad, lo que sugiere la necesidad de mayor acceso a apoyo en salud mental. Se recomienda la implementación de programas de prevención y promoción de la salud mental en la comunidad, incluyendo talleres sobre manejo del estrés y estrategias de afrontamiento emocional.</w:t>
      </w:r>
    </w:p>
    <w:p w14:paraId="7F043A37"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b/>
          <w:bCs/>
          <w:sz w:val="22"/>
          <w:szCs w:val="22"/>
        </w:rPr>
        <w:t>Pregunta 2:</w:t>
      </w:r>
      <w:r w:rsidRPr="00C51FAD">
        <w:rPr>
          <w:rFonts w:ascii="Century Gothic" w:hAnsi="Century Gothic"/>
          <w:sz w:val="22"/>
          <w:szCs w:val="22"/>
        </w:rPr>
        <w:t xml:space="preserve"> "¿Qué acciones ha tomado para enfrentar dificultades emocionales?"</w:t>
      </w:r>
    </w:p>
    <w:p w14:paraId="603A5042"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El 39.0% de los participantes optó por estrategias personales como ejercicio y meditación, mientras que el 22.1% buscó apoyo en familiares y amigos. Sin embargo, </w:t>
      </w:r>
      <w:r w:rsidRPr="00C51FAD">
        <w:rPr>
          <w:rFonts w:ascii="Century Gothic" w:hAnsi="Century Gothic"/>
          <w:sz w:val="22"/>
          <w:szCs w:val="22"/>
        </w:rPr>
        <w:lastRenderedPageBreak/>
        <w:t>un 20.2% no buscó ayuda ni tomó ninguna acción, lo que resulta preocupante y resalta la necesidad de fomentar la disponibilidad de recursos de apoyo. Además, el 18.7% de los encuestados acudió con un profesional de salud mental. Es recomendable fortalecer la educación sobre la importancia de buscar ayuda profesional cuando sea necesario, así como aumentar la oferta de servicios psicológicos accesibles y campañas de difusión para normalizar el apoyo terapéutico.</w:t>
      </w:r>
    </w:p>
    <w:p w14:paraId="25BAEE5E" w14:textId="77777777"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494F07E7" wp14:editId="242F087E">
            <wp:extent cx="4445000" cy="3086100"/>
            <wp:effectExtent l="0" t="0" r="1270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2605C24"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b/>
          <w:bCs/>
          <w:sz w:val="22"/>
          <w:szCs w:val="22"/>
        </w:rPr>
        <w:t>Pregunta 3:</w:t>
      </w:r>
      <w:r w:rsidRPr="00C51FAD">
        <w:rPr>
          <w:rFonts w:ascii="Century Gothic" w:hAnsi="Century Gothic"/>
          <w:sz w:val="22"/>
          <w:szCs w:val="22"/>
        </w:rPr>
        <w:t xml:space="preserve"> "¿Considera que en San Antonio la Isla debería de existir módulos de atención psicológica accesibles para brindar apoyo en temas de salud mental?"</w:t>
      </w:r>
    </w:p>
    <w:p w14:paraId="45BB8288"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El 65.9% de los encuestados consideró que son muy necesarios, el 31.1% cree que serían útiles en algunos casos, mientras que solo el 2.3% no los considera necesarios y el 1.5% no está seguro. En total, el 97% de los participantes reconoce la utilidad de estos módulos, lo que evidencia una alta demanda de servicios de salud mental en la localidad. En este sentido, se recomienda que las autoridades municipales prioricen la instalación de módulos de atención psicológica en espacios públicos estratégicos y que se brinde atención gratuita o de bajo costo para garantizar el acceso a toda la población.</w:t>
      </w:r>
    </w:p>
    <w:p w14:paraId="34FAEE19" w14:textId="7C049F47"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lastRenderedPageBreak/>
        <w:drawing>
          <wp:inline distT="0" distB="0" distL="0" distR="0" wp14:anchorId="585F6366" wp14:editId="14F1AF63">
            <wp:extent cx="3890010" cy="2269173"/>
            <wp:effectExtent l="0" t="0" r="15240" b="1714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10E9F0"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b/>
          <w:bCs/>
          <w:sz w:val="22"/>
          <w:szCs w:val="22"/>
        </w:rPr>
        <w:t>Pregunta 4:</w:t>
      </w:r>
      <w:r w:rsidRPr="00C51FAD">
        <w:rPr>
          <w:rFonts w:ascii="Century Gothic" w:hAnsi="Century Gothic"/>
          <w:sz w:val="22"/>
          <w:szCs w:val="22"/>
        </w:rPr>
        <w:t xml:space="preserve"> "Si en el municipio se implementaran módulos de atención psicológica, ¿usted o alguien de su familia lo utilizaría para solicitar apoyo emocional?"</w:t>
      </w:r>
    </w:p>
    <w:p w14:paraId="50EB683D"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El 59.7% de los encuestados respondió que definitivamente los usaría, el 33.8% indicó que tal vez los utilizaría dependiendo de la situación, el 3.6% señaló que no cree necesitarlos y el 3.0% expresó no estar seguro. En total, el 93.5% de la población manifestó una predisposición favorable hacia el uso de estos módulos, lo que refuerza la importancia de su implementación. Para garantizar su eficacia, se recomienda que estos módulos cuenten con personal capacitado, materiales </w:t>
      </w:r>
      <w:r w:rsidRPr="00C51FAD">
        <w:rPr>
          <w:rFonts w:ascii="Century Gothic" w:hAnsi="Century Gothic"/>
          <w:sz w:val="22"/>
          <w:szCs w:val="22"/>
        </w:rPr>
        <w:t>informativos y opciones de seguimiento a largo plazo para los usuarios que lo requieran.</w:t>
      </w:r>
    </w:p>
    <w:p w14:paraId="720AD402" w14:textId="77777777" w:rsidR="00C51FAD" w:rsidRPr="00C51FAD" w:rsidRDefault="00C51FAD" w:rsidP="00C51FAD">
      <w:pPr>
        <w:spacing w:line="360" w:lineRule="auto"/>
        <w:jc w:val="both"/>
        <w:rPr>
          <w:rFonts w:ascii="Century Gothic" w:hAnsi="Century Gothic"/>
          <w:b/>
          <w:bCs/>
          <w:sz w:val="22"/>
          <w:szCs w:val="22"/>
        </w:rPr>
      </w:pPr>
      <w:r w:rsidRPr="00C51FAD">
        <w:rPr>
          <w:rFonts w:ascii="Century Gothic" w:hAnsi="Century Gothic"/>
          <w:b/>
          <w:bCs/>
          <w:sz w:val="22"/>
          <w:szCs w:val="22"/>
        </w:rPr>
        <w:t>Conclusiones</w:t>
      </w:r>
    </w:p>
    <w:p w14:paraId="2474477D" w14:textId="77777777"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 xml:space="preserve">Los resultados del sondeo reflejan que una parte significativa de la población de San Antonio la Isla enfrenta problemas emocionales con frecuencia y que muchos no buscan ayuda profesional. Existe un alto consenso en la comunidad sobre la necesidad de módulos de atención psicológica accesibles. Ante estos hallazgos, se recomienda implementar módulos de atención psicológica en puntos estratégicos del municipio para garantizar un acceso equitativo a los servicios de salud mental. Además, es fundamental realizar campañas de sensibilización sobre la importancia del bienestar emocional y los beneficios de buscar apoyo profesional. También se sugiere fomentar el uso de estrategias personales y redes de apoyo como primeros pasos para enfrentar problemas emocionales, promoviendo actividades comunitarias de bienestar. Asimismo, se debe facilitar el acceso a servicios psicológicos gratuitos o de bajo costo, priorizando a la población en situación de vulnerabilidad. Finalmente, </w:t>
      </w:r>
      <w:r w:rsidRPr="00C51FAD">
        <w:rPr>
          <w:rFonts w:ascii="Century Gothic" w:hAnsi="Century Gothic"/>
          <w:sz w:val="22"/>
          <w:szCs w:val="22"/>
        </w:rPr>
        <w:lastRenderedPageBreak/>
        <w:t>capacitar a líderes comunitarios y educadores permitirá orientar a quienes necesiten ayuda, promoviendo la prevención y detección temprana de problemas emocionales.</w:t>
      </w:r>
    </w:p>
    <w:p w14:paraId="15D48F64" w14:textId="706AEC24" w:rsidR="00C51FAD" w:rsidRPr="00C51FAD" w:rsidRDefault="00C51FAD" w:rsidP="00C51FAD">
      <w:pPr>
        <w:spacing w:line="360" w:lineRule="auto"/>
        <w:jc w:val="both"/>
        <w:rPr>
          <w:rFonts w:ascii="Century Gothic" w:hAnsi="Century Gothic"/>
          <w:sz w:val="22"/>
          <w:szCs w:val="22"/>
        </w:rPr>
      </w:pPr>
      <w:r w:rsidRPr="00C51FAD">
        <w:rPr>
          <w:rFonts w:ascii="Century Gothic" w:hAnsi="Century Gothic"/>
          <w:sz w:val="22"/>
          <w:szCs w:val="22"/>
        </w:rPr>
        <w:t>La implementación de estas acciones contribuiría a mejorar el bienestar emocional de los habitantes de San Antonio la Isla y a reducir el impacto de los problemas de salud mental en la comunidad.</w:t>
      </w:r>
    </w:p>
    <w:p w14:paraId="54BC72B6" w14:textId="2672207D" w:rsidR="00C51FAD" w:rsidRPr="00C51FAD" w:rsidRDefault="00C51FAD" w:rsidP="00C51FAD">
      <w:pPr>
        <w:pStyle w:val="Prrafodelista"/>
        <w:numPr>
          <w:ilvl w:val="0"/>
          <w:numId w:val="86"/>
        </w:numPr>
        <w:spacing w:after="160" w:line="360" w:lineRule="auto"/>
        <w:jc w:val="both"/>
        <w:rPr>
          <w:rFonts w:ascii="Century Gothic" w:hAnsi="Century Gothic"/>
          <w:b/>
          <w:bCs/>
          <w:color w:val="025850"/>
          <w:sz w:val="22"/>
          <w:szCs w:val="22"/>
        </w:rPr>
      </w:pPr>
      <w:r w:rsidRPr="00C51FAD">
        <w:rPr>
          <w:rFonts w:ascii="Century Gothic" w:hAnsi="Century Gothic"/>
          <w:b/>
          <w:bCs/>
          <w:color w:val="025850"/>
          <w:sz w:val="22"/>
          <w:szCs w:val="22"/>
        </w:rPr>
        <w:t>CONSTRUCCIÓN DE LA PAZ Y SEGURIDAD</w:t>
      </w:r>
    </w:p>
    <w:p w14:paraId="5C89927F"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 xml:space="preserve">La seguridad pública es uno de los temas más sensibles y prioritarios en cualquier comunidad. En el caso del municipio de San Antonio la Isla, los resultados de un reciente sondeo de opinión realizado a 1,453 personas revelan una situación alarmante en cuanto a la percepción de seguridad de sus habitantes. A través de este estudio, se ha puesto en evidencia la creciente preocupación de los ciudadanos sobre la eficacia del servicio de seguridad pública, la alta incidencia de delitos y la falta de confianza en las autoridades locales para garantizar la tranquilidad en las calles. La encuesta también refleja un fuerte deseo de incorporar tecnología </w:t>
      </w:r>
      <w:r w:rsidRPr="00C51FAD">
        <w:rPr>
          <w:rFonts w:ascii="Century Gothic" w:hAnsi="Century Gothic"/>
          <w:sz w:val="22"/>
          <w:szCs w:val="22"/>
        </w:rPr>
        <w:t>avanzada como una posible solución para mejorar la seguridad, lo que subraya una preocupación colectiva por encontrar respuestas efectivas ante la creciente ola de violencia. Con una mayoría de la población sintiéndose insegura y un conocimiento extendido de delitos graves, la situación exige un análisis profundo y una acción inmediata por parte de las autoridades municipales.</w:t>
      </w:r>
    </w:p>
    <w:p w14:paraId="24C5FEEF" w14:textId="77777777" w:rsidR="00C51FAD" w:rsidRPr="00C51FAD" w:rsidRDefault="00C51FAD" w:rsidP="00C51FAD">
      <w:pPr>
        <w:pStyle w:val="NormalWeb"/>
        <w:numPr>
          <w:ilvl w:val="0"/>
          <w:numId w:val="97"/>
        </w:numPr>
        <w:spacing w:line="360" w:lineRule="auto"/>
        <w:jc w:val="both"/>
        <w:rPr>
          <w:rFonts w:ascii="Century Gothic" w:hAnsi="Century Gothic"/>
          <w:color w:val="025850"/>
          <w:sz w:val="22"/>
          <w:szCs w:val="22"/>
        </w:rPr>
      </w:pPr>
      <w:r w:rsidRPr="00C51FAD">
        <w:rPr>
          <w:rFonts w:ascii="Century Gothic" w:hAnsi="Century Gothic"/>
          <w:b/>
          <w:bCs/>
          <w:color w:val="025850"/>
          <w:sz w:val="22"/>
          <w:szCs w:val="22"/>
        </w:rPr>
        <w:t>Calificación del Servicio de Seguridad Pública:</w:t>
      </w:r>
    </w:p>
    <w:p w14:paraId="5AD1E6C5" w14:textId="77777777" w:rsidR="00C51FAD" w:rsidRPr="00C51FAD" w:rsidRDefault="00C51FAD" w:rsidP="00C51FAD">
      <w:pPr>
        <w:pStyle w:val="NormalWeb"/>
        <w:numPr>
          <w:ilvl w:val="1"/>
          <w:numId w:val="97"/>
        </w:numPr>
        <w:spacing w:line="360" w:lineRule="auto"/>
        <w:jc w:val="both"/>
        <w:rPr>
          <w:rFonts w:ascii="Century Gothic" w:hAnsi="Century Gothic"/>
          <w:sz w:val="22"/>
          <w:szCs w:val="22"/>
        </w:rPr>
      </w:pPr>
      <w:r w:rsidRPr="00C51FAD">
        <w:rPr>
          <w:rFonts w:ascii="Century Gothic" w:hAnsi="Century Gothic"/>
          <w:b/>
          <w:bCs/>
          <w:sz w:val="22"/>
          <w:szCs w:val="22"/>
        </w:rPr>
        <w:t>Regular (497 personas):</w:t>
      </w:r>
      <w:r w:rsidRPr="00C51FAD">
        <w:rPr>
          <w:rFonts w:ascii="Century Gothic" w:hAnsi="Century Gothic"/>
          <w:sz w:val="22"/>
          <w:szCs w:val="22"/>
        </w:rPr>
        <w:t xml:space="preserve"> A pesar de que estas personas no expresan una opinión completamente negativa, su calificación Regular refleja una falta de confianza en las fuerzas de seguridad. Este grupo probablemente no ha experimentado avances sustanciales en la mejora de la seguridad, lo que genera una sensación de indiferencia o frustración pasiva.</w:t>
      </w:r>
    </w:p>
    <w:p w14:paraId="418F0C80" w14:textId="77777777" w:rsidR="00C51FAD" w:rsidRPr="00C51FAD" w:rsidRDefault="00C51FAD" w:rsidP="00C51FAD">
      <w:pPr>
        <w:pStyle w:val="NormalWeb"/>
        <w:numPr>
          <w:ilvl w:val="1"/>
          <w:numId w:val="97"/>
        </w:numPr>
        <w:spacing w:line="360" w:lineRule="auto"/>
        <w:jc w:val="both"/>
        <w:rPr>
          <w:rFonts w:ascii="Century Gothic" w:hAnsi="Century Gothic"/>
          <w:sz w:val="22"/>
          <w:szCs w:val="22"/>
        </w:rPr>
      </w:pPr>
      <w:r w:rsidRPr="00C51FAD">
        <w:rPr>
          <w:rFonts w:ascii="Century Gothic" w:hAnsi="Century Gothic"/>
          <w:b/>
          <w:bCs/>
          <w:sz w:val="22"/>
          <w:szCs w:val="22"/>
        </w:rPr>
        <w:t>Malo (375 personas) y Muy Malo (274 personas):</w:t>
      </w:r>
      <w:r w:rsidRPr="00C51FAD">
        <w:rPr>
          <w:rFonts w:ascii="Century Gothic" w:hAnsi="Century Gothic"/>
          <w:sz w:val="22"/>
          <w:szCs w:val="22"/>
        </w:rPr>
        <w:t xml:space="preserve"> Más de un tercio de la muestra califica el servicio de seguridad pública como insuficiente o deficiente. Este alto </w:t>
      </w:r>
      <w:r w:rsidRPr="00C51FAD">
        <w:rPr>
          <w:rFonts w:ascii="Century Gothic" w:hAnsi="Century Gothic"/>
          <w:sz w:val="22"/>
          <w:szCs w:val="22"/>
        </w:rPr>
        <w:lastRenderedPageBreak/>
        <w:t>número refleja una insatisfacción profunda y una posible desconexión entre las necesidades de los ciudadanos y las respuestas de las autoridades.</w:t>
      </w:r>
    </w:p>
    <w:p w14:paraId="27DF6AC9" w14:textId="77777777" w:rsidR="00C51FAD" w:rsidRPr="00C51FAD" w:rsidRDefault="00C51FAD" w:rsidP="00C51FAD">
      <w:pPr>
        <w:pStyle w:val="NormalWeb"/>
        <w:numPr>
          <w:ilvl w:val="1"/>
          <w:numId w:val="97"/>
        </w:numPr>
        <w:spacing w:line="360" w:lineRule="auto"/>
        <w:jc w:val="both"/>
        <w:rPr>
          <w:rFonts w:ascii="Century Gothic" w:hAnsi="Century Gothic"/>
          <w:sz w:val="22"/>
          <w:szCs w:val="22"/>
        </w:rPr>
      </w:pPr>
      <w:r w:rsidRPr="00C51FAD">
        <w:rPr>
          <w:rFonts w:ascii="Century Gothic" w:hAnsi="Century Gothic"/>
          <w:b/>
          <w:bCs/>
          <w:sz w:val="22"/>
          <w:szCs w:val="22"/>
        </w:rPr>
        <w:t>Bueno (247 personas) y Muy Bueno (60 personas):</w:t>
      </w:r>
      <w:r w:rsidRPr="00C51FAD">
        <w:rPr>
          <w:rFonts w:ascii="Century Gothic" w:hAnsi="Century Gothic"/>
          <w:sz w:val="22"/>
          <w:szCs w:val="22"/>
        </w:rPr>
        <w:t xml:space="preserve"> A pesar de que estos datos representan una pequeña fracción, la respuesta positiva aún refleja que hay ciertos sectores que valoran algunos esfuerzos en materia de seguridad, aunque insuficientes frente al contexto general.</w:t>
      </w:r>
    </w:p>
    <w:p w14:paraId="7EA007BB" w14:textId="188B7CBB" w:rsidR="00C51FAD" w:rsidRPr="00C51FAD" w:rsidRDefault="00C51FAD" w:rsidP="007C27F6">
      <w:pPr>
        <w:jc w:val="cente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3A3CBDC4" wp14:editId="7F18DFDC">
            <wp:extent cx="3890010" cy="2269173"/>
            <wp:effectExtent l="0" t="0" r="15240" b="17145"/>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E2F9A55" w14:textId="77777777" w:rsidR="00C51FAD" w:rsidRPr="00C51FAD" w:rsidRDefault="00C51FAD">
      <w:pPr>
        <w:rPr>
          <w:rFonts w:ascii="Century Gothic" w:hAnsi="Century Gothic"/>
          <w:color w:val="000000" w:themeColor="text1"/>
          <w:sz w:val="22"/>
          <w:szCs w:val="22"/>
          <w:lang w:val="es-US"/>
        </w:rPr>
      </w:pPr>
    </w:p>
    <w:p w14:paraId="3A63A8EF" w14:textId="77777777" w:rsidR="00C51FAD" w:rsidRPr="00C51FAD" w:rsidRDefault="00C51FAD" w:rsidP="00C51FAD">
      <w:pPr>
        <w:pStyle w:val="NormalWeb"/>
        <w:numPr>
          <w:ilvl w:val="0"/>
          <w:numId w:val="98"/>
        </w:numPr>
        <w:spacing w:line="360" w:lineRule="auto"/>
        <w:jc w:val="both"/>
        <w:rPr>
          <w:rFonts w:ascii="Century Gothic" w:hAnsi="Century Gothic"/>
          <w:color w:val="025850"/>
          <w:sz w:val="22"/>
          <w:szCs w:val="22"/>
        </w:rPr>
      </w:pPr>
      <w:r w:rsidRPr="00C51FAD">
        <w:rPr>
          <w:rFonts w:ascii="Century Gothic" w:hAnsi="Century Gothic"/>
          <w:b/>
          <w:bCs/>
          <w:color w:val="025850"/>
          <w:sz w:val="22"/>
          <w:szCs w:val="22"/>
        </w:rPr>
        <w:t>Conocimiento de Personas Víctimas de Asalto o Robo:</w:t>
      </w:r>
    </w:p>
    <w:p w14:paraId="1C54A58E" w14:textId="77777777" w:rsidR="00C51FAD" w:rsidRPr="00C51FAD" w:rsidRDefault="00C51FAD" w:rsidP="00C51FAD">
      <w:pPr>
        <w:pStyle w:val="NormalWeb"/>
        <w:numPr>
          <w:ilvl w:val="1"/>
          <w:numId w:val="98"/>
        </w:numPr>
        <w:spacing w:line="360" w:lineRule="auto"/>
        <w:jc w:val="both"/>
        <w:rPr>
          <w:rFonts w:ascii="Century Gothic" w:hAnsi="Century Gothic"/>
          <w:sz w:val="22"/>
          <w:szCs w:val="22"/>
        </w:rPr>
      </w:pPr>
      <w:r w:rsidRPr="00C51FAD">
        <w:rPr>
          <w:rFonts w:ascii="Century Gothic" w:hAnsi="Century Gothic"/>
          <w:b/>
          <w:bCs/>
          <w:sz w:val="22"/>
          <w:szCs w:val="22"/>
        </w:rPr>
        <w:t>1070 personas conocen a víctimas de asalto o robo:</w:t>
      </w:r>
      <w:r w:rsidRPr="00C51FAD">
        <w:rPr>
          <w:rFonts w:ascii="Century Gothic" w:hAnsi="Century Gothic"/>
          <w:sz w:val="22"/>
          <w:szCs w:val="22"/>
        </w:rPr>
        <w:t xml:space="preserve"> Este es un dato impactante, ya que muestra que una gran parte de la población está directamente conectada con los efectos de la delincuencia. Este nivel de conocimiento de casos cercanos incrementa la percepción de inseguridad y resalta la urgente necesidad de una intervención más eficaz en la prevención y combate del crimen.</w:t>
      </w:r>
    </w:p>
    <w:p w14:paraId="765FEC0F" w14:textId="77777777" w:rsidR="00C51FAD" w:rsidRPr="00C51FAD" w:rsidRDefault="00C51FAD" w:rsidP="00C51FAD">
      <w:pPr>
        <w:pStyle w:val="NormalWeb"/>
        <w:numPr>
          <w:ilvl w:val="1"/>
          <w:numId w:val="98"/>
        </w:numPr>
        <w:spacing w:line="360" w:lineRule="auto"/>
        <w:jc w:val="both"/>
        <w:rPr>
          <w:rFonts w:ascii="Century Gothic" w:hAnsi="Century Gothic"/>
          <w:sz w:val="22"/>
          <w:szCs w:val="22"/>
        </w:rPr>
      </w:pPr>
      <w:r w:rsidRPr="00C51FAD">
        <w:rPr>
          <w:rFonts w:ascii="Century Gothic" w:hAnsi="Century Gothic"/>
          <w:b/>
          <w:bCs/>
          <w:sz w:val="22"/>
          <w:szCs w:val="22"/>
        </w:rPr>
        <w:t>383 personas no conocen a víctimas de asalto o robo:</w:t>
      </w:r>
      <w:r w:rsidRPr="00C51FAD">
        <w:rPr>
          <w:rFonts w:ascii="Century Gothic" w:hAnsi="Century Gothic"/>
          <w:sz w:val="22"/>
          <w:szCs w:val="22"/>
        </w:rPr>
        <w:t xml:space="preserve"> Aunque esta cifra es menor, su existencia indica que hay zonas del municipio donde la seguridad podría estar relativamente mejor o donde las personas no han tenido contacto directo con la delincuencia. Sin embargo, el contraste con los 1070 casos conocidos subraya que el problema sigue siendo significativo.</w:t>
      </w:r>
    </w:p>
    <w:p w14:paraId="58EFF37C" w14:textId="77777777" w:rsidR="00C51FAD" w:rsidRPr="00C51FAD" w:rsidRDefault="00C51FAD" w:rsidP="00C51FAD">
      <w:pPr>
        <w:pStyle w:val="NormalWeb"/>
        <w:numPr>
          <w:ilvl w:val="0"/>
          <w:numId w:val="98"/>
        </w:numPr>
        <w:spacing w:line="360" w:lineRule="auto"/>
        <w:jc w:val="both"/>
        <w:rPr>
          <w:rFonts w:ascii="Century Gothic" w:hAnsi="Century Gothic"/>
          <w:color w:val="025850"/>
          <w:sz w:val="22"/>
          <w:szCs w:val="22"/>
        </w:rPr>
      </w:pPr>
      <w:r w:rsidRPr="00C51FAD">
        <w:rPr>
          <w:rFonts w:ascii="Century Gothic" w:hAnsi="Century Gothic"/>
          <w:b/>
          <w:bCs/>
          <w:color w:val="025850"/>
          <w:sz w:val="22"/>
          <w:szCs w:val="22"/>
        </w:rPr>
        <w:t>Percepción sobre el Uso de Tecnología para Mejorar la Seguridad:</w:t>
      </w:r>
    </w:p>
    <w:p w14:paraId="085CB597" w14:textId="77777777" w:rsidR="00C51FAD" w:rsidRPr="00C51FAD" w:rsidRDefault="00C51FAD" w:rsidP="00C51FAD">
      <w:pPr>
        <w:pStyle w:val="NormalWeb"/>
        <w:numPr>
          <w:ilvl w:val="1"/>
          <w:numId w:val="98"/>
        </w:numPr>
        <w:spacing w:line="360" w:lineRule="auto"/>
        <w:jc w:val="both"/>
        <w:rPr>
          <w:rFonts w:ascii="Century Gothic" w:hAnsi="Century Gothic"/>
          <w:sz w:val="22"/>
          <w:szCs w:val="22"/>
        </w:rPr>
      </w:pPr>
      <w:r w:rsidRPr="00C51FAD">
        <w:rPr>
          <w:rFonts w:ascii="Century Gothic" w:hAnsi="Century Gothic"/>
          <w:b/>
          <w:bCs/>
          <w:sz w:val="22"/>
          <w:szCs w:val="22"/>
        </w:rPr>
        <w:lastRenderedPageBreak/>
        <w:t>1394 personas creen que la tecnología es necesaria:</w:t>
      </w:r>
      <w:r w:rsidRPr="00C51FAD">
        <w:rPr>
          <w:rFonts w:ascii="Century Gothic" w:hAnsi="Century Gothic"/>
          <w:sz w:val="22"/>
          <w:szCs w:val="22"/>
        </w:rPr>
        <w:t xml:space="preserve"> Este dato muestra una apertura notable hacia el uso de herramientas tecnológicas para mejorar la seguridad. La incorporación de tecnología, como cámaras de vigilancia o sistemas inteligentes de monitoreo, se ve como una solución tangible y necesaria ante la creciente amenaza de la delincuencia.</w:t>
      </w:r>
    </w:p>
    <w:p w14:paraId="67AF17A7" w14:textId="77777777" w:rsidR="00C51FAD" w:rsidRPr="00C51FAD" w:rsidRDefault="00C51FAD" w:rsidP="00C51FAD">
      <w:pPr>
        <w:pStyle w:val="NormalWeb"/>
        <w:numPr>
          <w:ilvl w:val="1"/>
          <w:numId w:val="98"/>
        </w:numPr>
        <w:spacing w:line="360" w:lineRule="auto"/>
        <w:jc w:val="both"/>
        <w:rPr>
          <w:rFonts w:ascii="Century Gothic" w:hAnsi="Century Gothic"/>
          <w:sz w:val="22"/>
          <w:szCs w:val="22"/>
        </w:rPr>
      </w:pPr>
      <w:r w:rsidRPr="00C51FAD">
        <w:rPr>
          <w:rFonts w:ascii="Century Gothic" w:hAnsi="Century Gothic"/>
          <w:b/>
          <w:bCs/>
          <w:sz w:val="22"/>
          <w:szCs w:val="22"/>
        </w:rPr>
        <w:t>29 personas no creen que la tecnología sea necesaria:</w:t>
      </w:r>
      <w:r w:rsidRPr="00C51FAD">
        <w:rPr>
          <w:rFonts w:ascii="Century Gothic" w:hAnsi="Century Gothic"/>
          <w:sz w:val="22"/>
          <w:szCs w:val="22"/>
        </w:rPr>
        <w:t xml:space="preserve"> Este pequeño grupo podría ser escéptico respecto a la efectividad de la tecnología o bien preferiría un enfoque más tradicional o basado en el aumento de patrullajes y la presencia física de la policía. Sin embargo, la abrumadora mayoría a favor de la tecnología resalta un consenso de que este tipo de soluciones podría ser clave en la lucha contra el crimen.</w:t>
      </w:r>
    </w:p>
    <w:p w14:paraId="432B4B8B" w14:textId="77777777" w:rsidR="00C51FAD" w:rsidRPr="00C51FAD" w:rsidRDefault="00C51FAD" w:rsidP="00C51FAD">
      <w:pPr>
        <w:pStyle w:val="NormalWeb"/>
        <w:numPr>
          <w:ilvl w:val="0"/>
          <w:numId w:val="98"/>
        </w:numPr>
        <w:spacing w:line="360" w:lineRule="auto"/>
        <w:jc w:val="both"/>
        <w:rPr>
          <w:rFonts w:ascii="Century Gothic" w:hAnsi="Century Gothic"/>
          <w:color w:val="025850"/>
          <w:sz w:val="22"/>
          <w:szCs w:val="22"/>
        </w:rPr>
      </w:pPr>
      <w:r w:rsidRPr="00C51FAD">
        <w:rPr>
          <w:rFonts w:ascii="Century Gothic" w:hAnsi="Century Gothic"/>
          <w:b/>
          <w:bCs/>
          <w:color w:val="025850"/>
          <w:sz w:val="22"/>
          <w:szCs w:val="22"/>
        </w:rPr>
        <w:t>Sentimiento de Seguridad Personal:</w:t>
      </w:r>
    </w:p>
    <w:p w14:paraId="6EFDE038" w14:textId="77777777" w:rsidR="00C51FAD" w:rsidRPr="00C51FAD" w:rsidRDefault="00C51FAD" w:rsidP="00C51FAD">
      <w:pPr>
        <w:pStyle w:val="NormalWeb"/>
        <w:numPr>
          <w:ilvl w:val="1"/>
          <w:numId w:val="98"/>
        </w:numPr>
        <w:spacing w:line="360" w:lineRule="auto"/>
        <w:jc w:val="both"/>
        <w:rPr>
          <w:rFonts w:ascii="Century Gothic" w:hAnsi="Century Gothic"/>
          <w:sz w:val="22"/>
          <w:szCs w:val="22"/>
        </w:rPr>
      </w:pPr>
      <w:r w:rsidRPr="00C51FAD">
        <w:rPr>
          <w:rFonts w:ascii="Century Gothic" w:hAnsi="Century Gothic"/>
          <w:b/>
          <w:bCs/>
          <w:sz w:val="22"/>
          <w:szCs w:val="22"/>
        </w:rPr>
        <w:t>951 personas no se sienten seguras:</w:t>
      </w:r>
      <w:r w:rsidRPr="00C51FAD">
        <w:rPr>
          <w:rFonts w:ascii="Century Gothic" w:hAnsi="Century Gothic"/>
          <w:sz w:val="22"/>
          <w:szCs w:val="22"/>
        </w:rPr>
        <w:t xml:space="preserve"> Este es un indicador contundente de la situación de inseguridad que afecta al municipio. </w:t>
      </w:r>
      <w:r w:rsidRPr="00C51FAD">
        <w:rPr>
          <w:rFonts w:ascii="Century Gothic" w:hAnsi="Century Gothic"/>
          <w:sz w:val="22"/>
          <w:szCs w:val="22"/>
        </w:rPr>
        <w:t>Más de la mitad de la población vive con el temor constante de ser víctima de algún delito. Este dato refleja una percepción de vulnerabilidad generalizada, que puede tener un impacto negativo en la calidad de vida de los habitantes, afectando su bienestar y tranquilidad.</w:t>
      </w:r>
    </w:p>
    <w:p w14:paraId="1C8FC48C" w14:textId="77777777" w:rsidR="00C51FAD" w:rsidRPr="00C51FAD" w:rsidRDefault="00C51FAD" w:rsidP="00C51FAD">
      <w:pPr>
        <w:pStyle w:val="NormalWeb"/>
        <w:numPr>
          <w:ilvl w:val="1"/>
          <w:numId w:val="98"/>
        </w:numPr>
        <w:spacing w:line="360" w:lineRule="auto"/>
        <w:jc w:val="both"/>
        <w:rPr>
          <w:rFonts w:ascii="Century Gothic" w:hAnsi="Century Gothic"/>
          <w:sz w:val="22"/>
          <w:szCs w:val="22"/>
        </w:rPr>
      </w:pPr>
      <w:r w:rsidRPr="00C51FAD">
        <w:rPr>
          <w:rFonts w:ascii="Century Gothic" w:hAnsi="Century Gothic"/>
          <w:b/>
          <w:bCs/>
          <w:sz w:val="22"/>
          <w:szCs w:val="22"/>
        </w:rPr>
        <w:t>502 personas sí se sienten seguras:</w:t>
      </w:r>
      <w:r w:rsidRPr="00C51FAD">
        <w:rPr>
          <w:rFonts w:ascii="Century Gothic" w:hAnsi="Century Gothic"/>
          <w:sz w:val="22"/>
          <w:szCs w:val="22"/>
        </w:rPr>
        <w:t xml:space="preserve"> Aunque esta cifra es menor en comparación, refleja que no todos los sectores del municipio están igualmente afectados. Sin embargo, la baja proporción de personas que se sienten seguras resalta que la percepción de inseguridad es un fenómeno extendido que afecta a un gran porcentaje de la comunidad.</w:t>
      </w:r>
    </w:p>
    <w:p w14:paraId="0DB2CD8E" w14:textId="1E731F9F"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lastRenderedPageBreak/>
        <w:drawing>
          <wp:inline distT="0" distB="0" distL="0" distR="0" wp14:anchorId="4190E4D6" wp14:editId="6376631C">
            <wp:extent cx="3890010" cy="2269173"/>
            <wp:effectExtent l="0" t="0" r="15240" b="1714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1F5443B" w14:textId="77777777" w:rsidR="00C51FAD" w:rsidRPr="00C51FAD" w:rsidRDefault="00C51FAD" w:rsidP="00C51FAD">
      <w:pPr>
        <w:pStyle w:val="NormalWeb"/>
        <w:numPr>
          <w:ilvl w:val="0"/>
          <w:numId w:val="97"/>
        </w:numPr>
        <w:spacing w:line="360" w:lineRule="auto"/>
        <w:jc w:val="both"/>
        <w:rPr>
          <w:rFonts w:ascii="Century Gothic" w:hAnsi="Century Gothic"/>
          <w:color w:val="025850"/>
          <w:sz w:val="22"/>
          <w:szCs w:val="22"/>
        </w:rPr>
      </w:pPr>
      <w:r w:rsidRPr="00C51FAD">
        <w:rPr>
          <w:rFonts w:ascii="Century Gothic" w:hAnsi="Century Gothic"/>
          <w:b/>
          <w:bCs/>
          <w:color w:val="025850"/>
          <w:sz w:val="22"/>
          <w:szCs w:val="22"/>
        </w:rPr>
        <w:t>Conocimiento de Delitos de Alto Impacto:</w:t>
      </w:r>
    </w:p>
    <w:p w14:paraId="494761D3" w14:textId="77777777" w:rsidR="00C51FAD" w:rsidRPr="00C51FAD" w:rsidRDefault="00C51FAD" w:rsidP="00C51FAD">
      <w:pPr>
        <w:pStyle w:val="NormalWeb"/>
        <w:numPr>
          <w:ilvl w:val="1"/>
          <w:numId w:val="97"/>
        </w:numPr>
        <w:spacing w:line="360" w:lineRule="auto"/>
        <w:jc w:val="both"/>
        <w:rPr>
          <w:rFonts w:ascii="Century Gothic" w:hAnsi="Century Gothic"/>
          <w:sz w:val="22"/>
          <w:szCs w:val="22"/>
        </w:rPr>
      </w:pPr>
      <w:r w:rsidRPr="00C51FAD">
        <w:rPr>
          <w:rFonts w:ascii="Century Gothic" w:hAnsi="Century Gothic"/>
          <w:b/>
          <w:bCs/>
          <w:sz w:val="22"/>
          <w:szCs w:val="22"/>
        </w:rPr>
        <w:t>789 personas están al tanto de delitos de alto impacto:</w:t>
      </w:r>
      <w:r w:rsidRPr="00C51FAD">
        <w:rPr>
          <w:rFonts w:ascii="Century Gothic" w:hAnsi="Century Gothic"/>
          <w:sz w:val="22"/>
          <w:szCs w:val="22"/>
        </w:rPr>
        <w:t xml:space="preserve"> Este dato es significativo porque revela que los delitos graves, como homicidios, secuestros y otros crímenes violentos, son conocidos por una porción considerable de la población. La presencia de estos delitos de alto impacto crea un ambiente de temor colectivo y subraya la gravedad de la situación.</w:t>
      </w:r>
    </w:p>
    <w:p w14:paraId="5280C60D" w14:textId="77777777" w:rsidR="00C51FAD" w:rsidRPr="00C51FAD" w:rsidRDefault="00C51FAD" w:rsidP="00C51FAD">
      <w:pPr>
        <w:pStyle w:val="NormalWeb"/>
        <w:numPr>
          <w:ilvl w:val="1"/>
          <w:numId w:val="97"/>
        </w:numPr>
        <w:spacing w:line="360" w:lineRule="auto"/>
        <w:jc w:val="both"/>
        <w:rPr>
          <w:rFonts w:ascii="Century Gothic" w:hAnsi="Century Gothic"/>
          <w:sz w:val="22"/>
          <w:szCs w:val="22"/>
        </w:rPr>
      </w:pPr>
      <w:r w:rsidRPr="00C51FAD">
        <w:rPr>
          <w:rFonts w:ascii="Century Gothic" w:hAnsi="Century Gothic"/>
          <w:b/>
          <w:bCs/>
          <w:sz w:val="22"/>
          <w:szCs w:val="22"/>
        </w:rPr>
        <w:t>664 personas no saben de delitos de alto impacto:</w:t>
      </w:r>
      <w:r w:rsidRPr="00C51FAD">
        <w:rPr>
          <w:rFonts w:ascii="Century Gothic" w:hAnsi="Century Gothic"/>
          <w:sz w:val="22"/>
          <w:szCs w:val="22"/>
        </w:rPr>
        <w:t xml:space="preserve"> Este dato podría indicar una desconexión parcial de algunos sectores de </w:t>
      </w:r>
      <w:r w:rsidRPr="00C51FAD">
        <w:rPr>
          <w:rFonts w:ascii="Century Gothic" w:hAnsi="Century Gothic"/>
          <w:sz w:val="22"/>
          <w:szCs w:val="22"/>
        </w:rPr>
        <w:t>la población con los sucesos de violencia, o bien que algunos crímenes no se reportan o se perciben como menos graves. Sin embargo, la mayoría conoce la realidad de los delitos graves, lo que indica que la percepción de inseguridad está bien fundada.</w:t>
      </w:r>
    </w:p>
    <w:p w14:paraId="313AB7DE"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b/>
          <w:bCs/>
          <w:sz w:val="22"/>
          <w:szCs w:val="22"/>
        </w:rPr>
        <w:t>Conclusión:</w:t>
      </w:r>
    </w:p>
    <w:p w14:paraId="583673DF" w14:textId="29FEB3EF"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El sondeo revela una crisis de seguridad en San Antonio la Isla. La mayoría de los residentes no se siente segura, y el servicio de seguridad pública es ampliamente percibido como ineficaz. La alta tasa de conocimiento de delitos, especialmente los de alto impacto, refleja una situación de inseguridad generalizada que afecta tanto la calidad de vida como la confianza en las autoridades. Sin embargo, hay un fuerte deseo de cambio, con un apoyo mayoritario hacia el uso de tecnología como una herramienta para mejorar la seguridad. Este análisis pone de relieve la urgencia de una respuesta contundente y efectiva por parte de las autoridades locales para restaurar la confianza de la ciudadanía y garantizar la seguridad en el municipio.</w:t>
      </w:r>
    </w:p>
    <w:p w14:paraId="1DB844FB" w14:textId="053C3D45" w:rsidR="00C51FAD" w:rsidRPr="00C51FAD" w:rsidRDefault="00C51FAD" w:rsidP="00C51FAD">
      <w:pPr>
        <w:pStyle w:val="Prrafodelista"/>
        <w:numPr>
          <w:ilvl w:val="0"/>
          <w:numId w:val="86"/>
        </w:numPr>
        <w:spacing w:after="160" w:line="360" w:lineRule="auto"/>
        <w:jc w:val="both"/>
        <w:rPr>
          <w:rFonts w:ascii="Century Gothic" w:hAnsi="Century Gothic"/>
          <w:b/>
          <w:bCs/>
          <w:color w:val="025850"/>
          <w:sz w:val="22"/>
          <w:szCs w:val="22"/>
        </w:rPr>
      </w:pPr>
      <w:r w:rsidRPr="00C51FAD">
        <w:rPr>
          <w:rFonts w:ascii="Century Gothic" w:hAnsi="Century Gothic"/>
          <w:b/>
          <w:bCs/>
          <w:color w:val="025850"/>
          <w:sz w:val="22"/>
          <w:szCs w:val="22"/>
        </w:rPr>
        <w:lastRenderedPageBreak/>
        <w:t>PRESERVACIÒN Y PROMOCIÓN ECOLÓGICA</w:t>
      </w:r>
    </w:p>
    <w:p w14:paraId="413B03AF"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El sondeo de opinión realizado busca evaluar la percepción de la ciudadanía respecto a las acciones gubernamentales en materia ambiental y el desempeño de los servicios públicos en el municipio. Este tipo de información es crucial para identificar las áreas en las que la administración local debe poner un mayor énfasis y ajustar sus políticas y servicios para mejorar la calidad de vida de los habitantes. Los resultados reflejan una preocupación generalizada por los problemas ambientales y el desempeño de ciertos servicios públicos, como el suministro de agua, la recolección de residuos sólidos, y el estado de las áreas verdes. A través de este análisis, se pueden identificar las principales demandas y expectativas de la población en cuanto a la gestión ambiental y la mejora de los servicios que impactan directamente en su día a día.</w:t>
      </w:r>
    </w:p>
    <w:p w14:paraId="10093AC0" w14:textId="77777777" w:rsidR="00C51FAD" w:rsidRPr="00C51FAD" w:rsidRDefault="00C51FAD" w:rsidP="00C51FAD">
      <w:pPr>
        <w:pStyle w:val="NormalWeb"/>
        <w:spacing w:line="360" w:lineRule="auto"/>
        <w:ind w:left="720"/>
        <w:jc w:val="both"/>
        <w:rPr>
          <w:rFonts w:ascii="Century Gothic" w:hAnsi="Century Gothic"/>
          <w:b/>
          <w:bCs/>
          <w:sz w:val="22"/>
          <w:szCs w:val="22"/>
        </w:rPr>
      </w:pPr>
      <w:r w:rsidRPr="00C51FAD">
        <w:rPr>
          <w:rFonts w:ascii="Century Gothic" w:hAnsi="Century Gothic"/>
          <w:b/>
          <w:bCs/>
          <w:sz w:val="22"/>
          <w:szCs w:val="22"/>
        </w:rPr>
        <w:t>1. Medidas del gobierno municipal dirigidas al medio ambiente</w:t>
      </w:r>
    </w:p>
    <w:p w14:paraId="4D1F99FC" w14:textId="77777777" w:rsidR="00C51FAD" w:rsidRPr="00C51FAD" w:rsidRDefault="00C51FAD" w:rsidP="00C51FAD">
      <w:pPr>
        <w:pStyle w:val="NormalWeb"/>
        <w:numPr>
          <w:ilvl w:val="0"/>
          <w:numId w:val="99"/>
        </w:numPr>
        <w:spacing w:line="360" w:lineRule="auto"/>
        <w:jc w:val="both"/>
        <w:rPr>
          <w:rFonts w:ascii="Century Gothic" w:hAnsi="Century Gothic"/>
          <w:sz w:val="22"/>
          <w:szCs w:val="22"/>
        </w:rPr>
      </w:pPr>
      <w:r w:rsidRPr="00C51FAD">
        <w:rPr>
          <w:rFonts w:ascii="Century Gothic" w:hAnsi="Century Gothic"/>
          <w:b/>
          <w:bCs/>
          <w:sz w:val="22"/>
          <w:szCs w:val="22"/>
        </w:rPr>
        <w:t>661 personas consideran que existen medidas, pero son insuficientes</w:t>
      </w:r>
      <w:r w:rsidRPr="00C51FAD">
        <w:rPr>
          <w:rFonts w:ascii="Century Gothic" w:hAnsi="Century Gothic"/>
          <w:sz w:val="22"/>
          <w:szCs w:val="22"/>
        </w:rPr>
        <w:t xml:space="preserve">: Esto indica que la mayoría </w:t>
      </w:r>
      <w:r w:rsidRPr="00C51FAD">
        <w:rPr>
          <w:rFonts w:ascii="Century Gothic" w:hAnsi="Century Gothic"/>
          <w:sz w:val="22"/>
          <w:szCs w:val="22"/>
        </w:rPr>
        <w:t>de los encuestados reconocen que hay algunas acciones del gobierno, pero perciben que no son suficientes para abordar los problemas ambientales de manera efectiva. Esto puede reflejar una falta de políticas más robustas o de mayor alcance.</w:t>
      </w:r>
    </w:p>
    <w:p w14:paraId="50634844" w14:textId="77777777" w:rsidR="00C51FAD" w:rsidRPr="00C51FAD" w:rsidRDefault="00C51FAD" w:rsidP="00C51FAD">
      <w:pPr>
        <w:pStyle w:val="NormalWeb"/>
        <w:numPr>
          <w:ilvl w:val="0"/>
          <w:numId w:val="99"/>
        </w:numPr>
        <w:spacing w:line="360" w:lineRule="auto"/>
        <w:jc w:val="both"/>
        <w:rPr>
          <w:rFonts w:ascii="Century Gothic" w:hAnsi="Century Gothic"/>
          <w:sz w:val="22"/>
          <w:szCs w:val="22"/>
        </w:rPr>
      </w:pPr>
      <w:r w:rsidRPr="00C51FAD">
        <w:rPr>
          <w:rFonts w:ascii="Century Gothic" w:hAnsi="Century Gothic"/>
          <w:b/>
          <w:bCs/>
          <w:sz w:val="22"/>
          <w:szCs w:val="22"/>
        </w:rPr>
        <w:t>347 personas opinan que no se está haciendo lo necesario</w:t>
      </w:r>
      <w:r w:rsidRPr="00C51FAD">
        <w:rPr>
          <w:rFonts w:ascii="Century Gothic" w:hAnsi="Century Gothic"/>
          <w:sz w:val="22"/>
          <w:szCs w:val="22"/>
        </w:rPr>
        <w:t>: Este dato muestra un porcentaje significativo de la población que considera que el gobierno municipal no está implementando las acciones necesarias para proteger el medio ambiente, lo que podría reflejar un descontento o una falta de confianza en las políticas actuales.</w:t>
      </w:r>
    </w:p>
    <w:p w14:paraId="0BD82BE1" w14:textId="77777777" w:rsidR="00C51FAD" w:rsidRPr="00C51FAD" w:rsidRDefault="00C51FAD" w:rsidP="00C51FAD">
      <w:pPr>
        <w:pStyle w:val="NormalWeb"/>
        <w:numPr>
          <w:ilvl w:val="0"/>
          <w:numId w:val="99"/>
        </w:numPr>
        <w:spacing w:line="360" w:lineRule="auto"/>
        <w:jc w:val="both"/>
        <w:rPr>
          <w:rFonts w:ascii="Century Gothic" w:hAnsi="Century Gothic"/>
          <w:sz w:val="22"/>
          <w:szCs w:val="22"/>
        </w:rPr>
      </w:pPr>
      <w:r w:rsidRPr="00C51FAD">
        <w:rPr>
          <w:rFonts w:ascii="Century Gothic" w:hAnsi="Century Gothic"/>
          <w:b/>
          <w:bCs/>
          <w:sz w:val="22"/>
          <w:szCs w:val="22"/>
        </w:rPr>
        <w:t>230 personas consideran que se está haciendo un buen trabajo</w:t>
      </w:r>
      <w:r w:rsidRPr="00C51FAD">
        <w:rPr>
          <w:rFonts w:ascii="Century Gothic" w:hAnsi="Century Gothic"/>
          <w:sz w:val="22"/>
          <w:szCs w:val="22"/>
        </w:rPr>
        <w:t>: Aunque una parte de la población cree que el gobierno está haciendo un buen trabajo, esta cifra es menor comparada con quienes creen que las medidas son insuficientes o que no se está haciendo lo suficiente.</w:t>
      </w:r>
    </w:p>
    <w:p w14:paraId="7F17FBAD" w14:textId="77777777" w:rsidR="00C51FAD" w:rsidRPr="00C51FAD" w:rsidRDefault="00C51FAD" w:rsidP="00C51FAD">
      <w:pPr>
        <w:pStyle w:val="NormalWeb"/>
        <w:numPr>
          <w:ilvl w:val="0"/>
          <w:numId w:val="99"/>
        </w:numPr>
        <w:spacing w:line="360" w:lineRule="auto"/>
        <w:jc w:val="both"/>
        <w:rPr>
          <w:rFonts w:ascii="Century Gothic" w:hAnsi="Century Gothic"/>
          <w:sz w:val="22"/>
          <w:szCs w:val="22"/>
        </w:rPr>
      </w:pPr>
      <w:r w:rsidRPr="00C51FAD">
        <w:rPr>
          <w:rFonts w:ascii="Century Gothic" w:hAnsi="Century Gothic"/>
          <w:b/>
          <w:bCs/>
          <w:sz w:val="22"/>
          <w:szCs w:val="22"/>
        </w:rPr>
        <w:t>215 personas no tienen idea</w:t>
      </w:r>
      <w:r w:rsidRPr="00C51FAD">
        <w:rPr>
          <w:rFonts w:ascii="Century Gothic" w:hAnsi="Century Gothic"/>
          <w:sz w:val="22"/>
          <w:szCs w:val="22"/>
        </w:rPr>
        <w:t xml:space="preserve">: Este dato podría indicar una falta de información o conciencia sobre las acciones gubernamentales, lo que sugiere que el gobierno necesita mejorar la </w:t>
      </w:r>
      <w:r w:rsidRPr="00C51FAD">
        <w:rPr>
          <w:rFonts w:ascii="Century Gothic" w:hAnsi="Century Gothic"/>
          <w:sz w:val="22"/>
          <w:szCs w:val="22"/>
        </w:rPr>
        <w:lastRenderedPageBreak/>
        <w:t>comunicación y la transparencia sobre sus esfuerzos ambientales.</w:t>
      </w:r>
    </w:p>
    <w:p w14:paraId="76E0B41E" w14:textId="66DA7864"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6649846B" wp14:editId="4809DEAA">
            <wp:extent cx="4241800" cy="3187700"/>
            <wp:effectExtent l="0" t="0" r="6350" b="1270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00AAED0" w14:textId="77777777" w:rsidR="00C51FAD" w:rsidRPr="00C51FAD" w:rsidRDefault="00C51FAD" w:rsidP="00C51FAD">
      <w:pPr>
        <w:pStyle w:val="NormalWeb"/>
        <w:spacing w:line="360" w:lineRule="auto"/>
        <w:ind w:left="720"/>
        <w:jc w:val="both"/>
        <w:rPr>
          <w:rFonts w:ascii="Century Gothic" w:hAnsi="Century Gothic"/>
          <w:b/>
          <w:bCs/>
          <w:color w:val="025850"/>
          <w:sz w:val="22"/>
          <w:szCs w:val="22"/>
        </w:rPr>
      </w:pPr>
      <w:r w:rsidRPr="00C51FAD">
        <w:rPr>
          <w:rFonts w:ascii="Century Gothic" w:hAnsi="Century Gothic"/>
          <w:b/>
          <w:bCs/>
          <w:color w:val="025850"/>
          <w:sz w:val="22"/>
          <w:szCs w:val="22"/>
        </w:rPr>
        <w:t>2. Acciones que debería priorizar el gobierno municipal</w:t>
      </w:r>
    </w:p>
    <w:p w14:paraId="54E13136" w14:textId="77777777" w:rsidR="00C51FAD" w:rsidRPr="00C51FAD" w:rsidRDefault="00C51FAD" w:rsidP="00C51FAD">
      <w:pPr>
        <w:pStyle w:val="NormalWeb"/>
        <w:numPr>
          <w:ilvl w:val="0"/>
          <w:numId w:val="100"/>
        </w:numPr>
        <w:spacing w:line="360" w:lineRule="auto"/>
        <w:jc w:val="both"/>
        <w:rPr>
          <w:rFonts w:ascii="Century Gothic" w:hAnsi="Century Gothic"/>
          <w:sz w:val="22"/>
          <w:szCs w:val="22"/>
        </w:rPr>
      </w:pPr>
      <w:r w:rsidRPr="00C51FAD">
        <w:rPr>
          <w:rFonts w:ascii="Century Gothic" w:hAnsi="Century Gothic"/>
          <w:b/>
          <w:bCs/>
          <w:sz w:val="22"/>
          <w:szCs w:val="22"/>
        </w:rPr>
        <w:t>353 personas proponen programas de ahorro de agua</w:t>
      </w:r>
      <w:r w:rsidRPr="00C51FAD">
        <w:rPr>
          <w:rFonts w:ascii="Century Gothic" w:hAnsi="Century Gothic"/>
          <w:sz w:val="22"/>
          <w:szCs w:val="22"/>
        </w:rPr>
        <w:t xml:space="preserve">: El agua es una de las preocupaciones más destacadas, y esta es una propuesta bastante alta, lo que sugiere que los ciudadanos consideran </w:t>
      </w:r>
      <w:r w:rsidRPr="00C51FAD">
        <w:rPr>
          <w:rFonts w:ascii="Century Gothic" w:hAnsi="Century Gothic"/>
          <w:sz w:val="22"/>
          <w:szCs w:val="22"/>
        </w:rPr>
        <w:t>esencial implementar medidas para conservar este recurso.</w:t>
      </w:r>
    </w:p>
    <w:p w14:paraId="5E29C1AD" w14:textId="77777777" w:rsidR="00C51FAD" w:rsidRPr="00C51FAD" w:rsidRDefault="00C51FAD" w:rsidP="00C51FAD">
      <w:pPr>
        <w:pStyle w:val="NormalWeb"/>
        <w:numPr>
          <w:ilvl w:val="0"/>
          <w:numId w:val="100"/>
        </w:numPr>
        <w:spacing w:line="360" w:lineRule="auto"/>
        <w:jc w:val="both"/>
        <w:rPr>
          <w:rFonts w:ascii="Century Gothic" w:hAnsi="Century Gothic"/>
          <w:sz w:val="22"/>
          <w:szCs w:val="22"/>
        </w:rPr>
      </w:pPr>
      <w:r w:rsidRPr="00C51FAD">
        <w:rPr>
          <w:rFonts w:ascii="Century Gothic" w:hAnsi="Century Gothic"/>
          <w:b/>
          <w:bCs/>
          <w:sz w:val="22"/>
          <w:szCs w:val="22"/>
        </w:rPr>
        <w:t>311 personas piden programas de educación ambiental</w:t>
      </w:r>
      <w:r w:rsidRPr="00C51FAD">
        <w:rPr>
          <w:rFonts w:ascii="Century Gothic" w:hAnsi="Century Gothic"/>
          <w:sz w:val="22"/>
          <w:szCs w:val="22"/>
        </w:rPr>
        <w:t>: Hay un fuerte interés en la educación ambiental, lo que refleja una necesidad de sensibilización en la población sobre cómo reducir el impacto ambiental.</w:t>
      </w:r>
    </w:p>
    <w:p w14:paraId="02F7FA9E" w14:textId="77777777" w:rsidR="00C51FAD" w:rsidRPr="00C51FAD" w:rsidRDefault="00C51FAD" w:rsidP="00C51FAD">
      <w:pPr>
        <w:pStyle w:val="NormalWeb"/>
        <w:numPr>
          <w:ilvl w:val="0"/>
          <w:numId w:val="100"/>
        </w:numPr>
        <w:spacing w:line="360" w:lineRule="auto"/>
        <w:jc w:val="both"/>
        <w:rPr>
          <w:rFonts w:ascii="Century Gothic" w:hAnsi="Century Gothic"/>
          <w:sz w:val="22"/>
          <w:szCs w:val="22"/>
        </w:rPr>
      </w:pPr>
      <w:r w:rsidRPr="00C51FAD">
        <w:rPr>
          <w:rFonts w:ascii="Century Gothic" w:hAnsi="Century Gothic"/>
          <w:b/>
          <w:bCs/>
          <w:sz w:val="22"/>
          <w:szCs w:val="22"/>
        </w:rPr>
        <w:t>308 personas mencionan la protección de áreas verdes</w:t>
      </w:r>
      <w:r w:rsidRPr="00C51FAD">
        <w:rPr>
          <w:rFonts w:ascii="Century Gothic" w:hAnsi="Century Gothic"/>
          <w:sz w:val="22"/>
          <w:szCs w:val="22"/>
        </w:rPr>
        <w:t>: La conservación de los espacios naturales es una prioridad para los ciudadanos, lo que es una buena señal de que el bienestar ecológico y la calidad de vida en los barrios son preocupaciones importantes.</w:t>
      </w:r>
    </w:p>
    <w:p w14:paraId="7E564108" w14:textId="77777777" w:rsidR="00C51FAD" w:rsidRPr="00C51FAD" w:rsidRDefault="00C51FAD" w:rsidP="00C51FAD">
      <w:pPr>
        <w:pStyle w:val="NormalWeb"/>
        <w:numPr>
          <w:ilvl w:val="0"/>
          <w:numId w:val="100"/>
        </w:numPr>
        <w:spacing w:line="360" w:lineRule="auto"/>
        <w:jc w:val="both"/>
        <w:rPr>
          <w:rFonts w:ascii="Century Gothic" w:hAnsi="Century Gothic"/>
          <w:sz w:val="22"/>
          <w:szCs w:val="22"/>
        </w:rPr>
      </w:pPr>
      <w:r w:rsidRPr="00C51FAD">
        <w:rPr>
          <w:rFonts w:ascii="Century Gothic" w:hAnsi="Century Gothic"/>
          <w:b/>
          <w:bCs/>
          <w:sz w:val="22"/>
          <w:szCs w:val="22"/>
        </w:rPr>
        <w:t>288 personas consideran necesarias sanciones estrictas por daño ambiental</w:t>
      </w:r>
      <w:r w:rsidRPr="00C51FAD">
        <w:rPr>
          <w:rFonts w:ascii="Century Gothic" w:hAnsi="Century Gothic"/>
          <w:sz w:val="22"/>
          <w:szCs w:val="22"/>
        </w:rPr>
        <w:t>: La percepción de que las leyes ambientales no se están aplicando de forma estricta puede llevar a los ciudadanos a demandar una mayor regulación y penalización de quienes dañan el medio ambiente.</w:t>
      </w:r>
    </w:p>
    <w:p w14:paraId="4E09D49B" w14:textId="77777777" w:rsidR="00C51FAD" w:rsidRPr="00C51FAD" w:rsidRDefault="00C51FAD" w:rsidP="00C51FAD">
      <w:pPr>
        <w:pStyle w:val="NormalWeb"/>
        <w:numPr>
          <w:ilvl w:val="0"/>
          <w:numId w:val="100"/>
        </w:numPr>
        <w:spacing w:line="360" w:lineRule="auto"/>
        <w:jc w:val="both"/>
        <w:rPr>
          <w:rFonts w:ascii="Century Gothic" w:hAnsi="Century Gothic"/>
          <w:sz w:val="22"/>
          <w:szCs w:val="22"/>
        </w:rPr>
      </w:pPr>
      <w:r w:rsidRPr="00C51FAD">
        <w:rPr>
          <w:rFonts w:ascii="Century Gothic" w:hAnsi="Century Gothic"/>
          <w:b/>
          <w:bCs/>
          <w:sz w:val="22"/>
          <w:szCs w:val="22"/>
        </w:rPr>
        <w:t>193 personas mencionan fomentar el uso de energías renovables</w:t>
      </w:r>
      <w:r w:rsidRPr="00C51FAD">
        <w:rPr>
          <w:rFonts w:ascii="Century Gothic" w:hAnsi="Century Gothic"/>
          <w:sz w:val="22"/>
          <w:szCs w:val="22"/>
        </w:rPr>
        <w:t xml:space="preserve">: Aunque es importante, este aspecto no tiene la misma prioridad que otros, lo que podría reflejar una falta de conocimiento o </w:t>
      </w:r>
      <w:r w:rsidRPr="00C51FAD">
        <w:rPr>
          <w:rFonts w:ascii="Century Gothic" w:hAnsi="Century Gothic"/>
          <w:sz w:val="22"/>
          <w:szCs w:val="22"/>
        </w:rPr>
        <w:lastRenderedPageBreak/>
        <w:t>prioridad por parte de los ciudadanos respecto a este tema.</w:t>
      </w:r>
    </w:p>
    <w:p w14:paraId="247FC350" w14:textId="7E888C1D"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57742154" wp14:editId="247F32DF">
            <wp:extent cx="4152900" cy="320040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DB727BF" w14:textId="77777777" w:rsidR="00C51FAD" w:rsidRPr="00C51FAD" w:rsidRDefault="00C51FAD" w:rsidP="00C51FAD">
      <w:pPr>
        <w:pStyle w:val="NormalWeb"/>
        <w:spacing w:line="360" w:lineRule="auto"/>
        <w:ind w:left="720"/>
        <w:jc w:val="both"/>
        <w:rPr>
          <w:rFonts w:ascii="Century Gothic" w:hAnsi="Century Gothic"/>
          <w:b/>
          <w:bCs/>
          <w:sz w:val="22"/>
          <w:szCs w:val="22"/>
        </w:rPr>
      </w:pPr>
      <w:r w:rsidRPr="00C51FAD">
        <w:rPr>
          <w:rFonts w:ascii="Century Gothic" w:hAnsi="Century Gothic"/>
          <w:b/>
          <w:bCs/>
          <w:sz w:val="22"/>
          <w:szCs w:val="22"/>
        </w:rPr>
        <w:t>. Frecuencia de suministro de agua en los hogares</w:t>
      </w:r>
    </w:p>
    <w:p w14:paraId="167C946B" w14:textId="77777777" w:rsidR="00C51FAD" w:rsidRPr="00C51FAD" w:rsidRDefault="00C51FAD" w:rsidP="00C51FAD">
      <w:pPr>
        <w:pStyle w:val="NormalWeb"/>
        <w:numPr>
          <w:ilvl w:val="0"/>
          <w:numId w:val="101"/>
        </w:numPr>
        <w:spacing w:line="360" w:lineRule="auto"/>
        <w:jc w:val="both"/>
        <w:rPr>
          <w:rFonts w:ascii="Century Gothic" w:hAnsi="Century Gothic"/>
          <w:sz w:val="22"/>
          <w:szCs w:val="22"/>
        </w:rPr>
      </w:pPr>
      <w:r w:rsidRPr="00C51FAD">
        <w:rPr>
          <w:rFonts w:ascii="Century Gothic" w:hAnsi="Century Gothic"/>
          <w:b/>
          <w:bCs/>
          <w:sz w:val="22"/>
          <w:szCs w:val="22"/>
        </w:rPr>
        <w:t>925 personas reciben agua todos los días</w:t>
      </w:r>
      <w:r w:rsidRPr="00C51FAD">
        <w:rPr>
          <w:rFonts w:ascii="Century Gothic" w:hAnsi="Century Gothic"/>
          <w:sz w:val="22"/>
          <w:szCs w:val="22"/>
        </w:rPr>
        <w:t>: La mayoría de los hogares tienen acceso diario al agua, lo cual es positivo, pero esto no necesariamente implica que no existan problemas con la calidad del servicio.</w:t>
      </w:r>
    </w:p>
    <w:p w14:paraId="44569208" w14:textId="77777777" w:rsidR="00C51FAD" w:rsidRPr="00C51FAD" w:rsidRDefault="00C51FAD" w:rsidP="00C51FAD">
      <w:pPr>
        <w:pStyle w:val="NormalWeb"/>
        <w:numPr>
          <w:ilvl w:val="0"/>
          <w:numId w:val="101"/>
        </w:numPr>
        <w:spacing w:line="360" w:lineRule="auto"/>
        <w:jc w:val="both"/>
        <w:rPr>
          <w:rFonts w:ascii="Century Gothic" w:hAnsi="Century Gothic"/>
          <w:sz w:val="22"/>
          <w:szCs w:val="22"/>
        </w:rPr>
      </w:pPr>
      <w:r w:rsidRPr="00C51FAD">
        <w:rPr>
          <w:rFonts w:ascii="Century Gothic" w:hAnsi="Century Gothic"/>
          <w:b/>
          <w:bCs/>
          <w:sz w:val="22"/>
          <w:szCs w:val="22"/>
        </w:rPr>
        <w:t>409 personas reciben agua solo algunos días</w:t>
      </w:r>
      <w:r w:rsidRPr="00C51FAD">
        <w:rPr>
          <w:rFonts w:ascii="Century Gothic" w:hAnsi="Century Gothic"/>
          <w:sz w:val="22"/>
          <w:szCs w:val="22"/>
        </w:rPr>
        <w:t>: Esto indica que una parte importante de la población experimenta interrupciones en el suministro de agua, lo que puede generar preocupación sobre la gestión del agua en la ciudad.</w:t>
      </w:r>
    </w:p>
    <w:p w14:paraId="482D097C" w14:textId="77777777" w:rsidR="00C51FAD" w:rsidRPr="00C51FAD" w:rsidRDefault="00C51FAD" w:rsidP="00C51FAD">
      <w:pPr>
        <w:pStyle w:val="NormalWeb"/>
        <w:numPr>
          <w:ilvl w:val="0"/>
          <w:numId w:val="101"/>
        </w:numPr>
        <w:spacing w:line="360" w:lineRule="auto"/>
        <w:jc w:val="both"/>
        <w:rPr>
          <w:rFonts w:ascii="Century Gothic" w:hAnsi="Century Gothic"/>
          <w:sz w:val="22"/>
          <w:szCs w:val="22"/>
        </w:rPr>
      </w:pPr>
      <w:r w:rsidRPr="00C51FAD">
        <w:rPr>
          <w:rFonts w:ascii="Century Gothic" w:hAnsi="Century Gothic"/>
          <w:b/>
          <w:bCs/>
          <w:sz w:val="22"/>
          <w:szCs w:val="22"/>
        </w:rPr>
        <w:t>102 personas rara vez reciben agua</w:t>
      </w:r>
      <w:r w:rsidRPr="00C51FAD">
        <w:rPr>
          <w:rFonts w:ascii="Century Gothic" w:hAnsi="Century Gothic"/>
          <w:sz w:val="22"/>
          <w:szCs w:val="22"/>
        </w:rPr>
        <w:t xml:space="preserve"> y </w:t>
      </w:r>
      <w:r w:rsidRPr="00C51FAD">
        <w:rPr>
          <w:rFonts w:ascii="Century Gothic" w:hAnsi="Century Gothic"/>
          <w:b/>
          <w:bCs/>
          <w:sz w:val="22"/>
          <w:szCs w:val="22"/>
        </w:rPr>
        <w:t>17 personas nunca reciben agua</w:t>
      </w:r>
      <w:r w:rsidRPr="00C51FAD">
        <w:rPr>
          <w:rFonts w:ascii="Century Gothic" w:hAnsi="Century Gothic"/>
          <w:sz w:val="22"/>
          <w:szCs w:val="22"/>
        </w:rPr>
        <w:t>: Estos datos sugieren que hay una franja de la población que enfrenta serias dificultades para acceder al agua, lo que podría ser un problema urgente para el gobierno municipal.</w:t>
      </w:r>
    </w:p>
    <w:p w14:paraId="02D1A5F4" w14:textId="77777777" w:rsidR="00C51FAD" w:rsidRPr="007C27F6" w:rsidRDefault="00C51FAD" w:rsidP="007C27F6">
      <w:pPr>
        <w:pStyle w:val="NormalWeb"/>
        <w:spacing w:line="360" w:lineRule="auto"/>
        <w:ind w:left="720"/>
        <w:jc w:val="both"/>
        <w:rPr>
          <w:rFonts w:ascii="Century Gothic" w:hAnsi="Century Gothic"/>
          <w:b/>
          <w:bCs/>
          <w:color w:val="025850"/>
          <w:sz w:val="22"/>
          <w:szCs w:val="22"/>
        </w:rPr>
      </w:pPr>
      <w:r w:rsidRPr="007C27F6">
        <w:rPr>
          <w:rFonts w:ascii="Century Gothic" w:hAnsi="Century Gothic"/>
          <w:b/>
          <w:bCs/>
          <w:color w:val="025850"/>
          <w:sz w:val="22"/>
          <w:szCs w:val="22"/>
        </w:rPr>
        <w:t>4. Evaluación de los servicios públicos</w:t>
      </w:r>
    </w:p>
    <w:p w14:paraId="3FD83531"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Agua</w:t>
      </w:r>
      <w:r w:rsidRPr="00C51FAD">
        <w:rPr>
          <w:rFonts w:ascii="Century Gothic" w:hAnsi="Century Gothic"/>
          <w:sz w:val="22"/>
          <w:szCs w:val="22"/>
        </w:rPr>
        <w:t>: La mayoría considera el servicio bueno (847), lo que refleja una percepción positiva sobre este servicio, pero también hay una porción importante que lo califica como regular (451) o malo (154).</w:t>
      </w:r>
    </w:p>
    <w:p w14:paraId="647D7171"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Drenaje</w:t>
      </w:r>
      <w:r w:rsidRPr="00C51FAD">
        <w:rPr>
          <w:rFonts w:ascii="Century Gothic" w:hAnsi="Century Gothic"/>
          <w:sz w:val="22"/>
          <w:szCs w:val="22"/>
        </w:rPr>
        <w:t>: Es otro servicio que la mayoría considera bueno (906), con una pequeña fracción que lo evalúa negativamente.</w:t>
      </w:r>
    </w:p>
    <w:p w14:paraId="3B75E853"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Alumbrado</w:t>
      </w:r>
      <w:r w:rsidRPr="00C51FAD">
        <w:rPr>
          <w:rFonts w:ascii="Century Gothic" w:hAnsi="Century Gothic"/>
          <w:sz w:val="22"/>
          <w:szCs w:val="22"/>
        </w:rPr>
        <w:t xml:space="preserve">: Aquí hay más divisiones, con 574 personas calificándolo como regular y 433 como </w:t>
      </w:r>
      <w:r w:rsidRPr="00C51FAD">
        <w:rPr>
          <w:rFonts w:ascii="Century Gothic" w:hAnsi="Century Gothic"/>
          <w:sz w:val="22"/>
          <w:szCs w:val="22"/>
        </w:rPr>
        <w:lastRenderedPageBreak/>
        <w:t>malo. Esto podría indicar problemas con el alumbrado público, como falta de mantenimiento o cobertura.</w:t>
      </w:r>
    </w:p>
    <w:p w14:paraId="355E7DB0"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Recolección de residuos sólidos</w:t>
      </w:r>
      <w:r w:rsidRPr="00C51FAD">
        <w:rPr>
          <w:rFonts w:ascii="Century Gothic" w:hAnsi="Century Gothic"/>
          <w:sz w:val="22"/>
          <w:szCs w:val="22"/>
        </w:rPr>
        <w:t>: La mayoría lo califica como regular (576) o malo (381), lo que sugiere que existen deficiencias en este servicio, como la frecuencia de recolección o el manejo de los residuos.</w:t>
      </w:r>
    </w:p>
    <w:p w14:paraId="050891FF"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Parques y jardines</w:t>
      </w:r>
      <w:r w:rsidRPr="00C51FAD">
        <w:rPr>
          <w:rFonts w:ascii="Century Gothic" w:hAnsi="Century Gothic"/>
          <w:sz w:val="22"/>
          <w:szCs w:val="22"/>
        </w:rPr>
        <w:t>: Aunque muchos lo consideran bueno (618), la calificación de regular (586) y mala (248) refleja que no todos están satisfechos con el estado de los espacios verdes.</w:t>
      </w:r>
    </w:p>
    <w:p w14:paraId="34D59AEF"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Panteón</w:t>
      </w:r>
      <w:r w:rsidRPr="00C51FAD">
        <w:rPr>
          <w:rFonts w:ascii="Century Gothic" w:hAnsi="Century Gothic"/>
          <w:sz w:val="22"/>
          <w:szCs w:val="22"/>
        </w:rPr>
        <w:t>: Este servicio tiene una evaluación mixta, con muchos evaluándolo como regular (664), lo que puede indicar que se necesita mejorar el mantenimiento de los panteones.</w:t>
      </w:r>
    </w:p>
    <w:p w14:paraId="01A59E9E" w14:textId="77777777" w:rsidR="00C51FAD" w:rsidRPr="00C51FAD" w:rsidRDefault="00C51FAD" w:rsidP="00C51FAD">
      <w:pPr>
        <w:pStyle w:val="NormalWeb"/>
        <w:numPr>
          <w:ilvl w:val="0"/>
          <w:numId w:val="102"/>
        </w:numPr>
        <w:spacing w:line="360" w:lineRule="auto"/>
        <w:jc w:val="both"/>
        <w:rPr>
          <w:rFonts w:ascii="Century Gothic" w:hAnsi="Century Gothic"/>
          <w:sz w:val="22"/>
          <w:szCs w:val="22"/>
        </w:rPr>
      </w:pPr>
      <w:r w:rsidRPr="00C51FAD">
        <w:rPr>
          <w:rFonts w:ascii="Century Gothic" w:hAnsi="Century Gothic"/>
          <w:b/>
          <w:bCs/>
          <w:sz w:val="22"/>
          <w:szCs w:val="22"/>
        </w:rPr>
        <w:t>Rastro</w:t>
      </w:r>
      <w:r w:rsidRPr="00C51FAD">
        <w:rPr>
          <w:rFonts w:ascii="Century Gothic" w:hAnsi="Century Gothic"/>
          <w:sz w:val="22"/>
          <w:szCs w:val="22"/>
        </w:rPr>
        <w:t>: Este servicio también tiene una evaluación mayoritariamente regular (759), lo que indica áreas de mejora, posiblemente relacionadas con la limpieza y el manejo adecuado del lugar.</w:t>
      </w:r>
    </w:p>
    <w:p w14:paraId="49C2B411" w14:textId="77777777" w:rsidR="00C51FAD" w:rsidRPr="00C51FAD" w:rsidRDefault="00C51FAD" w:rsidP="00C51FAD">
      <w:pPr>
        <w:pStyle w:val="NormalWeb"/>
        <w:spacing w:line="360" w:lineRule="auto"/>
        <w:ind w:left="720"/>
        <w:jc w:val="both"/>
        <w:rPr>
          <w:rFonts w:ascii="Century Gothic" w:hAnsi="Century Gothic"/>
          <w:b/>
          <w:bCs/>
          <w:sz w:val="22"/>
          <w:szCs w:val="22"/>
        </w:rPr>
      </w:pPr>
      <w:r w:rsidRPr="00C51FAD">
        <w:rPr>
          <w:rFonts w:ascii="Century Gothic" w:hAnsi="Century Gothic"/>
          <w:b/>
          <w:bCs/>
          <w:sz w:val="22"/>
          <w:szCs w:val="22"/>
        </w:rPr>
        <w:t>Conclusiones generales:</w:t>
      </w:r>
    </w:p>
    <w:p w14:paraId="4D82D182" w14:textId="77777777" w:rsidR="00C51FAD" w:rsidRPr="00C51FAD" w:rsidRDefault="00C51FAD" w:rsidP="00C51FAD">
      <w:pPr>
        <w:pStyle w:val="NormalWeb"/>
        <w:numPr>
          <w:ilvl w:val="0"/>
          <w:numId w:val="103"/>
        </w:numPr>
        <w:spacing w:line="360" w:lineRule="auto"/>
        <w:jc w:val="both"/>
        <w:rPr>
          <w:rFonts w:ascii="Century Gothic" w:hAnsi="Century Gothic"/>
          <w:sz w:val="22"/>
          <w:szCs w:val="22"/>
        </w:rPr>
      </w:pPr>
      <w:r w:rsidRPr="00C51FAD">
        <w:rPr>
          <w:rFonts w:ascii="Century Gothic" w:hAnsi="Century Gothic"/>
          <w:b/>
          <w:bCs/>
          <w:sz w:val="22"/>
          <w:szCs w:val="22"/>
        </w:rPr>
        <w:t>Preocupación generalizada por el medio ambiente</w:t>
      </w:r>
      <w:r w:rsidRPr="00C51FAD">
        <w:rPr>
          <w:rFonts w:ascii="Century Gothic" w:hAnsi="Century Gothic"/>
          <w:sz w:val="22"/>
          <w:szCs w:val="22"/>
        </w:rPr>
        <w:t>: Hay un claro deseo de que el gobierno municipal tome medidas más efectivas en temas como el ahorro de agua, la educación ambiental y la protección de áreas verdes.</w:t>
      </w:r>
    </w:p>
    <w:p w14:paraId="2EAC4BA8" w14:textId="77777777" w:rsidR="00C51FAD" w:rsidRPr="00C51FAD" w:rsidRDefault="00C51FAD" w:rsidP="00C51FAD">
      <w:pPr>
        <w:pStyle w:val="NormalWeb"/>
        <w:numPr>
          <w:ilvl w:val="0"/>
          <w:numId w:val="103"/>
        </w:numPr>
        <w:spacing w:line="360" w:lineRule="auto"/>
        <w:jc w:val="both"/>
        <w:rPr>
          <w:rFonts w:ascii="Century Gothic" w:hAnsi="Century Gothic"/>
          <w:sz w:val="22"/>
          <w:szCs w:val="22"/>
        </w:rPr>
      </w:pPr>
      <w:r w:rsidRPr="00C51FAD">
        <w:rPr>
          <w:rFonts w:ascii="Century Gothic" w:hAnsi="Century Gothic"/>
          <w:b/>
          <w:bCs/>
          <w:sz w:val="22"/>
          <w:szCs w:val="22"/>
        </w:rPr>
        <w:t>Necesidad de mejorar ciertos servicios públicos</w:t>
      </w:r>
      <w:r w:rsidRPr="00C51FAD">
        <w:rPr>
          <w:rFonts w:ascii="Century Gothic" w:hAnsi="Century Gothic"/>
          <w:sz w:val="22"/>
          <w:szCs w:val="22"/>
        </w:rPr>
        <w:t>: Aunque algunos servicios, como el agua y el drenaje, tienen evaluaciones positivas, otros como el alumbrado, la recolección de residuos sólidos y el rastro requieren atención urgente.</w:t>
      </w:r>
    </w:p>
    <w:p w14:paraId="22DF474C" w14:textId="77777777" w:rsidR="00C51FAD" w:rsidRPr="00C51FAD" w:rsidRDefault="00C51FAD" w:rsidP="00C51FAD">
      <w:pPr>
        <w:pStyle w:val="NormalWeb"/>
        <w:numPr>
          <w:ilvl w:val="0"/>
          <w:numId w:val="103"/>
        </w:numPr>
        <w:spacing w:line="360" w:lineRule="auto"/>
        <w:jc w:val="both"/>
        <w:rPr>
          <w:rFonts w:ascii="Century Gothic" w:hAnsi="Century Gothic"/>
          <w:sz w:val="22"/>
          <w:szCs w:val="22"/>
        </w:rPr>
      </w:pPr>
      <w:r w:rsidRPr="00C51FAD">
        <w:rPr>
          <w:rFonts w:ascii="Century Gothic" w:hAnsi="Century Gothic"/>
          <w:b/>
          <w:bCs/>
          <w:sz w:val="22"/>
          <w:szCs w:val="22"/>
        </w:rPr>
        <w:t>Desigualdad en el acceso al agua</w:t>
      </w:r>
      <w:r w:rsidRPr="00C51FAD">
        <w:rPr>
          <w:rFonts w:ascii="Century Gothic" w:hAnsi="Century Gothic"/>
          <w:sz w:val="22"/>
          <w:szCs w:val="22"/>
        </w:rPr>
        <w:t>: Aunque la mayoría recibe agua a diario, una parte importante de la población enfrenta dificultades con el suministro, lo que señala la necesidad de mejorar la infraestructura y la gestión del agua.</w:t>
      </w:r>
    </w:p>
    <w:p w14:paraId="7F090EC4" w14:textId="10CAFAB2" w:rsidR="00C51FAD" w:rsidRPr="00C51FAD" w:rsidRDefault="00C51FAD" w:rsidP="00C51FAD">
      <w:pPr>
        <w:pStyle w:val="NormalWeb"/>
        <w:spacing w:line="360" w:lineRule="auto"/>
        <w:ind w:left="720"/>
        <w:jc w:val="both"/>
        <w:rPr>
          <w:rFonts w:ascii="Century Gothic" w:hAnsi="Century Gothic"/>
          <w:sz w:val="22"/>
          <w:szCs w:val="22"/>
        </w:rPr>
      </w:pPr>
      <w:r w:rsidRPr="00C51FAD">
        <w:rPr>
          <w:rFonts w:ascii="Century Gothic" w:hAnsi="Century Gothic"/>
          <w:sz w:val="22"/>
          <w:szCs w:val="22"/>
        </w:rPr>
        <w:t xml:space="preserve">En </w:t>
      </w:r>
      <w:r w:rsidRPr="00C51FAD">
        <w:rPr>
          <w:rFonts w:ascii="Century Gothic" w:hAnsi="Century Gothic"/>
          <w:b/>
          <w:bCs/>
          <w:sz w:val="22"/>
          <w:szCs w:val="22"/>
        </w:rPr>
        <w:t>conclusión,</w:t>
      </w:r>
      <w:r w:rsidRPr="00C51FAD">
        <w:rPr>
          <w:rFonts w:ascii="Century Gothic" w:hAnsi="Century Gothic"/>
          <w:sz w:val="22"/>
          <w:szCs w:val="22"/>
        </w:rPr>
        <w:t xml:space="preserve"> el gobierno municipal debería priorizar la implementación de políticas más eficaces en conservación ambiental, mejorar la infraestructura y asegurar que todos los ciudadanos tengan acceso regular y de calidad a los servicios básicos, como el agua y la recolección de residuos.</w:t>
      </w:r>
    </w:p>
    <w:p w14:paraId="19885FAE" w14:textId="77777777" w:rsidR="00C51FAD" w:rsidRPr="007C27F6" w:rsidRDefault="00C51FAD" w:rsidP="00C51FAD">
      <w:pPr>
        <w:pStyle w:val="NormalWeb"/>
        <w:numPr>
          <w:ilvl w:val="0"/>
          <w:numId w:val="86"/>
        </w:numPr>
        <w:spacing w:line="360" w:lineRule="auto"/>
        <w:jc w:val="both"/>
        <w:rPr>
          <w:rFonts w:ascii="Century Gothic" w:hAnsi="Century Gothic"/>
          <w:b/>
          <w:bCs/>
          <w:color w:val="025850"/>
          <w:sz w:val="22"/>
          <w:szCs w:val="22"/>
        </w:rPr>
      </w:pPr>
      <w:r w:rsidRPr="007C27F6">
        <w:rPr>
          <w:rFonts w:ascii="Century Gothic" w:hAnsi="Century Gothic"/>
          <w:b/>
          <w:bCs/>
          <w:color w:val="025850"/>
          <w:sz w:val="22"/>
          <w:szCs w:val="22"/>
        </w:rPr>
        <w:lastRenderedPageBreak/>
        <w:t>ESTADO DE DERECHO Y AUSTERIDAD</w:t>
      </w:r>
    </w:p>
    <w:p w14:paraId="1FCB4E09"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El sondeo de opinión también evaluó la percepción ciudadana sobre la eficiencia, transparencia, austeridad y el cuidado de los recursos públicos por parte del gobierno municipal. Estos aspectos son fundamentales para medir la confianza y satisfacción de la ciudadanía con su gobierno local. Los resultados obtenidos permiten identificar áreas de mejora en la gestión pública, así como aspectos en los que el gobierno está siendo percibido positivamente. A través de las respuestas, se pueden identificar tendencias y demandas de la población que pueden servir como guía para optimizar las políticas públicas y fortalecer la relación entre la administración municipal y sus habitantes.</w:t>
      </w:r>
    </w:p>
    <w:p w14:paraId="557D6F1C" w14:textId="77777777" w:rsidR="00C51FAD" w:rsidRPr="007C27F6" w:rsidRDefault="00C51FAD" w:rsidP="00C51FAD">
      <w:pPr>
        <w:pStyle w:val="NormalWeb"/>
        <w:spacing w:line="360" w:lineRule="auto"/>
        <w:jc w:val="both"/>
        <w:rPr>
          <w:rFonts w:ascii="Century Gothic" w:hAnsi="Century Gothic"/>
          <w:b/>
          <w:bCs/>
          <w:color w:val="025850"/>
          <w:sz w:val="22"/>
          <w:szCs w:val="22"/>
        </w:rPr>
      </w:pPr>
      <w:r w:rsidRPr="007C27F6">
        <w:rPr>
          <w:rFonts w:ascii="Century Gothic" w:hAnsi="Century Gothic"/>
          <w:b/>
          <w:bCs/>
          <w:color w:val="025850"/>
          <w:sz w:val="22"/>
          <w:szCs w:val="22"/>
        </w:rPr>
        <w:t>1. ¿Los trámites en el municipio son ágiles y rápidos?</w:t>
      </w:r>
    </w:p>
    <w:p w14:paraId="481C55B8" w14:textId="77777777" w:rsidR="00C51FAD" w:rsidRPr="00C51FAD" w:rsidRDefault="00C51FAD" w:rsidP="00C51FAD">
      <w:pPr>
        <w:pStyle w:val="NormalWeb"/>
        <w:numPr>
          <w:ilvl w:val="1"/>
          <w:numId w:val="104"/>
        </w:numPr>
        <w:spacing w:line="360" w:lineRule="auto"/>
        <w:jc w:val="both"/>
        <w:rPr>
          <w:rFonts w:ascii="Century Gothic" w:hAnsi="Century Gothic"/>
          <w:sz w:val="22"/>
          <w:szCs w:val="22"/>
        </w:rPr>
      </w:pPr>
      <w:r w:rsidRPr="00C51FAD">
        <w:rPr>
          <w:rFonts w:ascii="Century Gothic" w:hAnsi="Century Gothic"/>
          <w:b/>
          <w:bCs/>
          <w:sz w:val="22"/>
          <w:szCs w:val="22"/>
        </w:rPr>
        <w:t>686 personas consideran que no</w:t>
      </w:r>
      <w:r w:rsidRPr="00C51FAD">
        <w:rPr>
          <w:rFonts w:ascii="Century Gothic" w:hAnsi="Century Gothic"/>
          <w:sz w:val="22"/>
          <w:szCs w:val="22"/>
        </w:rPr>
        <w:t>: La percepción de que los trámites no son ágiles es compartida por una parte significativa de la población, lo que puede generar frustración y desconfianza hacia la administración municipal.</w:t>
      </w:r>
    </w:p>
    <w:p w14:paraId="021157CD" w14:textId="77777777" w:rsidR="00C51FAD" w:rsidRPr="00C51FAD" w:rsidRDefault="00C51FAD" w:rsidP="00C51FAD">
      <w:pPr>
        <w:pStyle w:val="NormalWeb"/>
        <w:numPr>
          <w:ilvl w:val="1"/>
          <w:numId w:val="104"/>
        </w:numPr>
        <w:spacing w:line="360" w:lineRule="auto"/>
        <w:jc w:val="both"/>
        <w:rPr>
          <w:rFonts w:ascii="Century Gothic" w:hAnsi="Century Gothic"/>
          <w:sz w:val="22"/>
          <w:szCs w:val="22"/>
        </w:rPr>
      </w:pPr>
      <w:r w:rsidRPr="00C51FAD">
        <w:rPr>
          <w:rFonts w:ascii="Century Gothic" w:hAnsi="Century Gothic"/>
          <w:b/>
          <w:bCs/>
          <w:sz w:val="22"/>
          <w:szCs w:val="22"/>
        </w:rPr>
        <w:t>767 personas consideran que sí</w:t>
      </w:r>
      <w:r w:rsidRPr="00C51FAD">
        <w:rPr>
          <w:rFonts w:ascii="Century Gothic" w:hAnsi="Century Gothic"/>
          <w:sz w:val="22"/>
          <w:szCs w:val="22"/>
        </w:rPr>
        <w:t>: A pesar de la percepción negativa, la mayoría aún considera que los trámites se realizan de manera eficiente.</w:t>
      </w:r>
    </w:p>
    <w:p w14:paraId="6E6212C9" w14:textId="77777777" w:rsidR="00C51FAD" w:rsidRPr="00C51FAD" w:rsidRDefault="00C51FAD" w:rsidP="00C51FAD">
      <w:pPr>
        <w:pStyle w:val="NormalWeb"/>
        <w:numPr>
          <w:ilvl w:val="0"/>
          <w:numId w:val="104"/>
        </w:numPr>
        <w:spacing w:line="360" w:lineRule="auto"/>
        <w:jc w:val="both"/>
        <w:rPr>
          <w:rFonts w:ascii="Century Gothic" w:hAnsi="Century Gothic"/>
          <w:sz w:val="22"/>
          <w:szCs w:val="22"/>
        </w:rPr>
      </w:pPr>
      <w:r w:rsidRPr="00C51FAD">
        <w:rPr>
          <w:rFonts w:ascii="Century Gothic" w:hAnsi="Century Gothic"/>
          <w:b/>
          <w:bCs/>
          <w:sz w:val="22"/>
          <w:szCs w:val="22"/>
        </w:rPr>
        <w:t>Recomendación</w:t>
      </w:r>
      <w:r w:rsidRPr="00C51FAD">
        <w:rPr>
          <w:rFonts w:ascii="Century Gothic" w:hAnsi="Century Gothic"/>
          <w:sz w:val="22"/>
          <w:szCs w:val="22"/>
        </w:rPr>
        <w:t>: Se debe trabajar en la digitalización de los trámites y en la simplificación de los procesos administrativos para hacerlos más rápidos y accesibles. Además, mejorar la capacitación del personal encargado de estos trámites podría contribuir a agilizar los procesos.</w:t>
      </w:r>
    </w:p>
    <w:p w14:paraId="31CC0D32" w14:textId="073638F8"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46343352" wp14:editId="17EA5CB1">
            <wp:extent cx="3890010" cy="2269173"/>
            <wp:effectExtent l="0" t="0" r="15240" b="1714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5BD5618" w14:textId="77777777" w:rsidR="00C51FAD" w:rsidRPr="00C51FAD" w:rsidRDefault="00C51FAD" w:rsidP="00C51FAD">
      <w:pPr>
        <w:pStyle w:val="NormalWeb"/>
        <w:spacing w:line="360" w:lineRule="auto"/>
        <w:jc w:val="both"/>
        <w:rPr>
          <w:rFonts w:ascii="Century Gothic" w:hAnsi="Century Gothic"/>
          <w:b/>
          <w:bCs/>
          <w:sz w:val="22"/>
          <w:szCs w:val="22"/>
        </w:rPr>
      </w:pPr>
      <w:r w:rsidRPr="00C51FAD">
        <w:rPr>
          <w:rFonts w:ascii="Century Gothic" w:hAnsi="Century Gothic"/>
          <w:b/>
          <w:bCs/>
          <w:sz w:val="22"/>
          <w:szCs w:val="22"/>
        </w:rPr>
        <w:t>¿El gobierno municipal es capaz y eficiente?</w:t>
      </w:r>
    </w:p>
    <w:p w14:paraId="4B9C89E5" w14:textId="77777777" w:rsidR="00C51FAD" w:rsidRPr="00C51FAD" w:rsidRDefault="00C51FAD" w:rsidP="00C51FAD">
      <w:pPr>
        <w:pStyle w:val="NormalWeb"/>
        <w:numPr>
          <w:ilvl w:val="1"/>
          <w:numId w:val="105"/>
        </w:numPr>
        <w:spacing w:line="360" w:lineRule="auto"/>
        <w:jc w:val="both"/>
        <w:rPr>
          <w:rFonts w:ascii="Century Gothic" w:hAnsi="Century Gothic"/>
          <w:sz w:val="22"/>
          <w:szCs w:val="22"/>
        </w:rPr>
      </w:pPr>
      <w:r w:rsidRPr="00C51FAD">
        <w:rPr>
          <w:rFonts w:ascii="Century Gothic" w:hAnsi="Century Gothic"/>
          <w:b/>
          <w:bCs/>
          <w:sz w:val="22"/>
          <w:szCs w:val="22"/>
        </w:rPr>
        <w:lastRenderedPageBreak/>
        <w:t>674 personas consideran que no</w:t>
      </w:r>
      <w:r w:rsidRPr="00C51FAD">
        <w:rPr>
          <w:rFonts w:ascii="Century Gothic" w:hAnsi="Century Gothic"/>
          <w:sz w:val="22"/>
          <w:szCs w:val="22"/>
        </w:rPr>
        <w:t>: Una parte considerable de la población duda de la capacidad y eficiencia del gobierno municipal. Este dato puede reflejar insatisfacción con la gestión pública o la percepción de que no se están resolviendo adecuadamente los problemas locales.</w:t>
      </w:r>
    </w:p>
    <w:p w14:paraId="4F62F25A" w14:textId="77777777" w:rsidR="00C51FAD" w:rsidRPr="00C51FAD" w:rsidRDefault="00C51FAD" w:rsidP="00C51FAD">
      <w:pPr>
        <w:pStyle w:val="NormalWeb"/>
        <w:numPr>
          <w:ilvl w:val="1"/>
          <w:numId w:val="105"/>
        </w:numPr>
        <w:spacing w:line="360" w:lineRule="auto"/>
        <w:jc w:val="both"/>
        <w:rPr>
          <w:rFonts w:ascii="Century Gothic" w:hAnsi="Century Gothic"/>
          <w:sz w:val="22"/>
          <w:szCs w:val="22"/>
        </w:rPr>
      </w:pPr>
      <w:r w:rsidRPr="00C51FAD">
        <w:rPr>
          <w:rFonts w:ascii="Century Gothic" w:hAnsi="Century Gothic"/>
          <w:b/>
          <w:bCs/>
          <w:sz w:val="22"/>
          <w:szCs w:val="22"/>
        </w:rPr>
        <w:t>779 personas consideran que sí</w:t>
      </w:r>
      <w:r w:rsidRPr="00C51FAD">
        <w:rPr>
          <w:rFonts w:ascii="Century Gothic" w:hAnsi="Century Gothic"/>
          <w:sz w:val="22"/>
          <w:szCs w:val="22"/>
        </w:rPr>
        <w:t>: Sin embargo, una mayoría opina que el gobierno es capaz y eficiente en sus labores.</w:t>
      </w:r>
    </w:p>
    <w:p w14:paraId="21F85092" w14:textId="77777777" w:rsidR="00C51FAD" w:rsidRPr="00C51FAD" w:rsidRDefault="00C51FAD" w:rsidP="00C51FAD">
      <w:pPr>
        <w:pStyle w:val="NormalWeb"/>
        <w:numPr>
          <w:ilvl w:val="0"/>
          <w:numId w:val="105"/>
        </w:numPr>
        <w:spacing w:line="360" w:lineRule="auto"/>
        <w:jc w:val="both"/>
        <w:rPr>
          <w:rFonts w:ascii="Century Gothic" w:hAnsi="Century Gothic"/>
          <w:sz w:val="22"/>
          <w:szCs w:val="22"/>
        </w:rPr>
      </w:pPr>
      <w:r w:rsidRPr="00C51FAD">
        <w:rPr>
          <w:rFonts w:ascii="Century Gothic" w:hAnsi="Century Gothic"/>
          <w:b/>
          <w:bCs/>
          <w:sz w:val="22"/>
          <w:szCs w:val="22"/>
        </w:rPr>
        <w:t>Recomendación</w:t>
      </w:r>
      <w:r w:rsidRPr="00C51FAD">
        <w:rPr>
          <w:rFonts w:ascii="Century Gothic" w:hAnsi="Century Gothic"/>
          <w:sz w:val="22"/>
          <w:szCs w:val="22"/>
        </w:rPr>
        <w:t>: El gobierno debería realizar una revisión y auditoría interna de sus procesos para identificar áreas de mejora. También sería útil implementar mecanismos de retroalimentación directa con los ciudadanos para mejorar la eficiencia en áreas clave.</w:t>
      </w:r>
    </w:p>
    <w:p w14:paraId="4B343FEF" w14:textId="1C085A1A" w:rsidR="00C51FAD" w:rsidRPr="00C51FAD" w:rsidRDefault="00C51FAD">
      <w:pPr>
        <w:rPr>
          <w:rFonts w:ascii="Century Gothic" w:hAnsi="Century Gothic"/>
          <w:color w:val="000000" w:themeColor="text1"/>
          <w:sz w:val="22"/>
          <w:szCs w:val="22"/>
          <w:lang w:val="es-US"/>
        </w:rPr>
      </w:pPr>
      <w:r w:rsidRPr="00C51FAD">
        <w:rPr>
          <w:rFonts w:ascii="Century Gothic" w:hAnsi="Century Gothic"/>
          <w:noProof/>
          <w:sz w:val="22"/>
          <w:szCs w:val="22"/>
        </w:rPr>
        <w:drawing>
          <wp:inline distT="0" distB="0" distL="0" distR="0" wp14:anchorId="077564C6" wp14:editId="12CE313D">
            <wp:extent cx="3890010" cy="2269173"/>
            <wp:effectExtent l="0" t="0" r="15240" b="17145"/>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2C06EF5" w14:textId="77777777" w:rsidR="00C51FAD" w:rsidRPr="007C27F6" w:rsidRDefault="00C51FAD" w:rsidP="00C51FAD">
      <w:pPr>
        <w:pStyle w:val="NormalWeb"/>
        <w:spacing w:line="360" w:lineRule="auto"/>
        <w:jc w:val="both"/>
        <w:rPr>
          <w:rFonts w:ascii="Century Gothic" w:hAnsi="Century Gothic"/>
          <w:b/>
          <w:bCs/>
          <w:color w:val="025850"/>
          <w:sz w:val="22"/>
          <w:szCs w:val="22"/>
        </w:rPr>
      </w:pPr>
      <w:r w:rsidRPr="007C27F6">
        <w:rPr>
          <w:rFonts w:ascii="Century Gothic" w:hAnsi="Century Gothic"/>
          <w:b/>
          <w:bCs/>
          <w:color w:val="025850"/>
          <w:sz w:val="22"/>
          <w:szCs w:val="22"/>
        </w:rPr>
        <w:t>¿El gobierno municipal es abierto y transparente?</w:t>
      </w:r>
    </w:p>
    <w:p w14:paraId="6B6D75C2" w14:textId="77777777" w:rsidR="00C51FAD" w:rsidRPr="00C51FAD" w:rsidRDefault="00C51FAD" w:rsidP="00C51FAD">
      <w:pPr>
        <w:pStyle w:val="NormalWeb"/>
        <w:numPr>
          <w:ilvl w:val="1"/>
          <w:numId w:val="106"/>
        </w:numPr>
        <w:spacing w:line="360" w:lineRule="auto"/>
        <w:jc w:val="both"/>
        <w:rPr>
          <w:rFonts w:ascii="Century Gothic" w:hAnsi="Century Gothic"/>
          <w:sz w:val="22"/>
          <w:szCs w:val="22"/>
        </w:rPr>
      </w:pPr>
      <w:r w:rsidRPr="00C51FAD">
        <w:rPr>
          <w:rFonts w:ascii="Century Gothic" w:hAnsi="Century Gothic"/>
          <w:b/>
          <w:bCs/>
          <w:sz w:val="22"/>
          <w:szCs w:val="22"/>
        </w:rPr>
        <w:t>695 personas consideran que no</w:t>
      </w:r>
      <w:r w:rsidRPr="00C51FAD">
        <w:rPr>
          <w:rFonts w:ascii="Century Gothic" w:hAnsi="Century Gothic"/>
          <w:sz w:val="22"/>
          <w:szCs w:val="22"/>
        </w:rPr>
        <w:t>: Una proporción significativa de la población siente que el gobierno no es transparente, lo que sugiere que podría haber una falta de comunicación clara sobre las decisiones y acciones del gobierno.</w:t>
      </w:r>
    </w:p>
    <w:p w14:paraId="614B7BA0" w14:textId="77777777" w:rsidR="00C51FAD" w:rsidRPr="00C51FAD" w:rsidRDefault="00C51FAD" w:rsidP="00C51FAD">
      <w:pPr>
        <w:pStyle w:val="NormalWeb"/>
        <w:numPr>
          <w:ilvl w:val="1"/>
          <w:numId w:val="106"/>
        </w:numPr>
        <w:spacing w:line="360" w:lineRule="auto"/>
        <w:jc w:val="both"/>
        <w:rPr>
          <w:rFonts w:ascii="Century Gothic" w:hAnsi="Century Gothic"/>
          <w:sz w:val="22"/>
          <w:szCs w:val="22"/>
        </w:rPr>
      </w:pPr>
      <w:r w:rsidRPr="00C51FAD">
        <w:rPr>
          <w:rFonts w:ascii="Century Gothic" w:hAnsi="Century Gothic"/>
          <w:b/>
          <w:bCs/>
          <w:sz w:val="22"/>
          <w:szCs w:val="22"/>
        </w:rPr>
        <w:t>758 personas consideran que sí</w:t>
      </w:r>
      <w:r w:rsidRPr="00C51FAD">
        <w:rPr>
          <w:rFonts w:ascii="Century Gothic" w:hAnsi="Century Gothic"/>
          <w:sz w:val="22"/>
          <w:szCs w:val="22"/>
        </w:rPr>
        <w:t>: A pesar de la percepción de falta de transparencia, la mayoría de los encuestados percibe al gobierno como abierto.</w:t>
      </w:r>
    </w:p>
    <w:p w14:paraId="664232FD" w14:textId="77777777" w:rsidR="007C27F6" w:rsidRDefault="00C51FAD" w:rsidP="00C51FAD">
      <w:pPr>
        <w:pStyle w:val="NormalWeb"/>
        <w:numPr>
          <w:ilvl w:val="0"/>
          <w:numId w:val="106"/>
        </w:numPr>
        <w:spacing w:line="360" w:lineRule="auto"/>
        <w:jc w:val="both"/>
        <w:rPr>
          <w:rFonts w:ascii="Century Gothic" w:hAnsi="Century Gothic"/>
          <w:sz w:val="22"/>
          <w:szCs w:val="22"/>
        </w:rPr>
      </w:pPr>
      <w:r w:rsidRPr="00C51FAD">
        <w:rPr>
          <w:rFonts w:ascii="Century Gothic" w:hAnsi="Century Gothic"/>
          <w:b/>
          <w:bCs/>
          <w:sz w:val="22"/>
          <w:szCs w:val="22"/>
        </w:rPr>
        <w:t>Recomendación</w:t>
      </w:r>
      <w:r w:rsidRPr="00C51FAD">
        <w:rPr>
          <w:rFonts w:ascii="Century Gothic" w:hAnsi="Century Gothic"/>
          <w:sz w:val="22"/>
          <w:szCs w:val="22"/>
        </w:rPr>
        <w:t xml:space="preserve">: El gobierno debe mejorar la comunicación pública sobre sus decisiones, </w:t>
      </w:r>
      <w:r w:rsidRPr="00C51FAD">
        <w:rPr>
          <w:rFonts w:ascii="Century Gothic" w:hAnsi="Century Gothic"/>
          <w:sz w:val="22"/>
          <w:szCs w:val="22"/>
        </w:rPr>
        <w:lastRenderedPageBreak/>
        <w:t>proyectos y resultados. La implementación de plataformas de acceso a la información pública en línea, y la organización de foros o encuentros con los ciudadanos podrían aumentar la percepción de transparencia.</w:t>
      </w:r>
    </w:p>
    <w:p w14:paraId="54BFEF54" w14:textId="09BE57FD" w:rsidR="00C51FAD" w:rsidRPr="007C27F6" w:rsidRDefault="00C51FAD" w:rsidP="007C27F6">
      <w:pPr>
        <w:pStyle w:val="NormalWeb"/>
        <w:spacing w:line="360" w:lineRule="auto"/>
        <w:ind w:left="360"/>
        <w:jc w:val="both"/>
        <w:rPr>
          <w:rFonts w:ascii="Century Gothic" w:hAnsi="Century Gothic"/>
          <w:sz w:val="22"/>
          <w:szCs w:val="22"/>
        </w:rPr>
      </w:pPr>
      <w:r w:rsidRPr="007C27F6">
        <w:rPr>
          <w:rFonts w:ascii="Century Gothic" w:hAnsi="Century Gothic"/>
          <w:b/>
          <w:bCs/>
          <w:color w:val="025850"/>
          <w:sz w:val="22"/>
          <w:szCs w:val="22"/>
        </w:rPr>
        <w:t xml:space="preserve"> ¿El gobierno municipal es austero?</w:t>
      </w:r>
    </w:p>
    <w:p w14:paraId="624D50B1" w14:textId="77777777" w:rsidR="00C51FAD" w:rsidRPr="00C51FAD" w:rsidRDefault="00C51FAD" w:rsidP="00C51FAD">
      <w:pPr>
        <w:pStyle w:val="NormalWeb"/>
        <w:numPr>
          <w:ilvl w:val="1"/>
          <w:numId w:val="107"/>
        </w:numPr>
        <w:spacing w:line="360" w:lineRule="auto"/>
        <w:jc w:val="both"/>
        <w:rPr>
          <w:rFonts w:ascii="Century Gothic" w:hAnsi="Century Gothic"/>
          <w:sz w:val="22"/>
          <w:szCs w:val="22"/>
        </w:rPr>
      </w:pPr>
      <w:r w:rsidRPr="00C51FAD">
        <w:rPr>
          <w:rFonts w:ascii="Century Gothic" w:hAnsi="Century Gothic"/>
          <w:b/>
          <w:bCs/>
          <w:sz w:val="22"/>
          <w:szCs w:val="22"/>
        </w:rPr>
        <w:t>656 personas consideran que no</w:t>
      </w:r>
      <w:r w:rsidRPr="00C51FAD">
        <w:rPr>
          <w:rFonts w:ascii="Century Gothic" w:hAnsi="Century Gothic"/>
          <w:sz w:val="22"/>
          <w:szCs w:val="22"/>
        </w:rPr>
        <w:t>: La mayoría no percibe al gobierno como austero, lo que puede indicar que los ciudadanos ven un manejo ineficiente o excesivo de los recursos públicos.</w:t>
      </w:r>
    </w:p>
    <w:p w14:paraId="4B1D74B6" w14:textId="77777777" w:rsidR="00C51FAD" w:rsidRPr="00C51FAD" w:rsidRDefault="00C51FAD" w:rsidP="00C51FAD">
      <w:pPr>
        <w:pStyle w:val="NormalWeb"/>
        <w:numPr>
          <w:ilvl w:val="1"/>
          <w:numId w:val="107"/>
        </w:numPr>
        <w:spacing w:line="360" w:lineRule="auto"/>
        <w:jc w:val="both"/>
        <w:rPr>
          <w:rFonts w:ascii="Century Gothic" w:hAnsi="Century Gothic"/>
          <w:sz w:val="22"/>
          <w:szCs w:val="22"/>
        </w:rPr>
      </w:pPr>
      <w:r w:rsidRPr="00C51FAD">
        <w:rPr>
          <w:rFonts w:ascii="Century Gothic" w:hAnsi="Century Gothic"/>
          <w:b/>
          <w:bCs/>
          <w:sz w:val="22"/>
          <w:szCs w:val="22"/>
        </w:rPr>
        <w:t>797 personas consideran que sí</w:t>
      </w:r>
      <w:r w:rsidRPr="00C51FAD">
        <w:rPr>
          <w:rFonts w:ascii="Century Gothic" w:hAnsi="Century Gothic"/>
          <w:sz w:val="22"/>
          <w:szCs w:val="22"/>
        </w:rPr>
        <w:t>: A pesar de las críticas, un número significativo de la población cree que el gobierno es austero en su gestión de los recursos.</w:t>
      </w:r>
    </w:p>
    <w:p w14:paraId="44133EDC" w14:textId="77777777" w:rsidR="00C51FAD" w:rsidRPr="00C51FAD" w:rsidRDefault="00C51FAD" w:rsidP="00C51FAD">
      <w:pPr>
        <w:pStyle w:val="NormalWeb"/>
        <w:numPr>
          <w:ilvl w:val="0"/>
          <w:numId w:val="107"/>
        </w:numPr>
        <w:spacing w:line="360" w:lineRule="auto"/>
        <w:jc w:val="both"/>
        <w:rPr>
          <w:rFonts w:ascii="Century Gothic" w:hAnsi="Century Gothic"/>
          <w:sz w:val="22"/>
          <w:szCs w:val="22"/>
        </w:rPr>
      </w:pPr>
      <w:r w:rsidRPr="00C51FAD">
        <w:rPr>
          <w:rFonts w:ascii="Century Gothic" w:hAnsi="Century Gothic"/>
          <w:b/>
          <w:bCs/>
          <w:sz w:val="22"/>
          <w:szCs w:val="22"/>
        </w:rPr>
        <w:t>Recomendación</w:t>
      </w:r>
      <w:r w:rsidRPr="00C51FAD">
        <w:rPr>
          <w:rFonts w:ascii="Century Gothic" w:hAnsi="Century Gothic"/>
          <w:sz w:val="22"/>
          <w:szCs w:val="22"/>
        </w:rPr>
        <w:t>: El gobierno debe ser más proactivo en mostrar sus esfuerzos por mantener la austeridad, destacando las medidas que implementa para evitar el despilfarro. Además, debe ser transparente en la justificación de sus presupuestos y proyectos.</w:t>
      </w:r>
    </w:p>
    <w:p w14:paraId="315F6879" w14:textId="0083217B" w:rsidR="00C51FAD" w:rsidRPr="00C51FAD" w:rsidRDefault="00C51FAD" w:rsidP="00C51FAD">
      <w:pPr>
        <w:pStyle w:val="NormalWeb"/>
        <w:spacing w:line="360" w:lineRule="auto"/>
        <w:jc w:val="both"/>
        <w:rPr>
          <w:rFonts w:ascii="Century Gothic" w:hAnsi="Century Gothic"/>
          <w:b/>
          <w:bCs/>
          <w:sz w:val="22"/>
          <w:szCs w:val="22"/>
        </w:rPr>
      </w:pPr>
      <w:r w:rsidRPr="00C51FAD">
        <w:rPr>
          <w:rFonts w:ascii="Century Gothic" w:hAnsi="Century Gothic"/>
          <w:b/>
          <w:bCs/>
          <w:sz w:val="22"/>
          <w:szCs w:val="22"/>
        </w:rPr>
        <w:t xml:space="preserve"> </w:t>
      </w:r>
      <w:r w:rsidRPr="007C27F6">
        <w:rPr>
          <w:rFonts w:ascii="Century Gothic" w:hAnsi="Century Gothic"/>
          <w:b/>
          <w:bCs/>
          <w:color w:val="025850"/>
          <w:sz w:val="22"/>
          <w:szCs w:val="22"/>
        </w:rPr>
        <w:t>¿El gobierno municipal cuida los recursos públicos?</w:t>
      </w:r>
    </w:p>
    <w:p w14:paraId="3437A8AC" w14:textId="77777777" w:rsidR="00C51FAD" w:rsidRPr="00C51FAD" w:rsidRDefault="00C51FAD" w:rsidP="00C51FAD">
      <w:pPr>
        <w:pStyle w:val="NormalWeb"/>
        <w:numPr>
          <w:ilvl w:val="1"/>
          <w:numId w:val="108"/>
        </w:numPr>
        <w:spacing w:line="360" w:lineRule="auto"/>
        <w:jc w:val="both"/>
        <w:rPr>
          <w:rFonts w:ascii="Century Gothic" w:hAnsi="Century Gothic"/>
          <w:sz w:val="22"/>
          <w:szCs w:val="22"/>
        </w:rPr>
      </w:pPr>
      <w:r w:rsidRPr="00C51FAD">
        <w:rPr>
          <w:rFonts w:ascii="Century Gothic" w:hAnsi="Century Gothic"/>
          <w:b/>
          <w:bCs/>
          <w:sz w:val="22"/>
          <w:szCs w:val="22"/>
        </w:rPr>
        <w:t>725 personas consideran que no</w:t>
      </w:r>
      <w:r w:rsidRPr="00C51FAD">
        <w:rPr>
          <w:rFonts w:ascii="Century Gothic" w:hAnsi="Century Gothic"/>
          <w:sz w:val="22"/>
          <w:szCs w:val="22"/>
        </w:rPr>
        <w:t>: Este dato refleja que más de 700 personas consideran que los recursos públicos no se están gestionando de manera adecuada, lo que puede generar desconfianza en la administración local.</w:t>
      </w:r>
    </w:p>
    <w:p w14:paraId="564EA999" w14:textId="77777777" w:rsidR="00C51FAD" w:rsidRPr="00C51FAD" w:rsidRDefault="00C51FAD" w:rsidP="00C51FAD">
      <w:pPr>
        <w:pStyle w:val="NormalWeb"/>
        <w:numPr>
          <w:ilvl w:val="1"/>
          <w:numId w:val="108"/>
        </w:numPr>
        <w:spacing w:line="360" w:lineRule="auto"/>
        <w:jc w:val="both"/>
        <w:rPr>
          <w:rFonts w:ascii="Century Gothic" w:hAnsi="Century Gothic"/>
          <w:sz w:val="22"/>
          <w:szCs w:val="22"/>
        </w:rPr>
      </w:pPr>
      <w:r w:rsidRPr="00C51FAD">
        <w:rPr>
          <w:rFonts w:ascii="Century Gothic" w:hAnsi="Century Gothic"/>
          <w:b/>
          <w:bCs/>
          <w:sz w:val="22"/>
          <w:szCs w:val="22"/>
        </w:rPr>
        <w:t>728 personas consideran que sí</w:t>
      </w:r>
      <w:r w:rsidRPr="00C51FAD">
        <w:rPr>
          <w:rFonts w:ascii="Century Gothic" w:hAnsi="Century Gothic"/>
          <w:sz w:val="22"/>
          <w:szCs w:val="22"/>
        </w:rPr>
        <w:t>: A pesar de las críticas, una mayoría opina que el gobierno está cuidando los recursos públicos de manera responsable.</w:t>
      </w:r>
    </w:p>
    <w:p w14:paraId="22CD27A1" w14:textId="77777777" w:rsidR="00C51FAD" w:rsidRPr="00C51FAD" w:rsidRDefault="00C51FAD" w:rsidP="00C51FAD">
      <w:pPr>
        <w:pStyle w:val="NormalWeb"/>
        <w:numPr>
          <w:ilvl w:val="0"/>
          <w:numId w:val="108"/>
        </w:numPr>
        <w:spacing w:line="360" w:lineRule="auto"/>
        <w:jc w:val="both"/>
        <w:rPr>
          <w:rFonts w:ascii="Century Gothic" w:hAnsi="Century Gothic"/>
          <w:sz w:val="22"/>
          <w:szCs w:val="22"/>
        </w:rPr>
      </w:pPr>
      <w:r w:rsidRPr="00C51FAD">
        <w:rPr>
          <w:rFonts w:ascii="Century Gothic" w:hAnsi="Century Gothic"/>
          <w:b/>
          <w:bCs/>
          <w:sz w:val="22"/>
          <w:szCs w:val="22"/>
        </w:rPr>
        <w:t>Recomendación</w:t>
      </w:r>
      <w:r w:rsidRPr="00C51FAD">
        <w:rPr>
          <w:rFonts w:ascii="Century Gothic" w:hAnsi="Century Gothic"/>
          <w:sz w:val="22"/>
          <w:szCs w:val="22"/>
        </w:rPr>
        <w:t>: Es fundamental que el gobierno municipal se enfoque en mejorar la gestión financiera y sea más transparente sobre el uso de los recursos. La implementación de auditorías externas o la creación de mecanismos de rendición de cuentas podrían reforzar la confianza de los ciudadanos en la administración.</w:t>
      </w:r>
    </w:p>
    <w:p w14:paraId="73768E7D" w14:textId="77777777" w:rsidR="007C62C8" w:rsidRDefault="007C62C8" w:rsidP="00C51FAD">
      <w:pPr>
        <w:pStyle w:val="NormalWeb"/>
        <w:spacing w:line="360" w:lineRule="auto"/>
        <w:jc w:val="both"/>
        <w:rPr>
          <w:rFonts w:ascii="Century Gothic" w:hAnsi="Century Gothic"/>
          <w:b/>
          <w:bCs/>
          <w:sz w:val="22"/>
          <w:szCs w:val="22"/>
        </w:rPr>
      </w:pPr>
    </w:p>
    <w:p w14:paraId="4AEBB622" w14:textId="77777777" w:rsidR="007C62C8" w:rsidRDefault="007C62C8" w:rsidP="00C51FAD">
      <w:pPr>
        <w:pStyle w:val="NormalWeb"/>
        <w:spacing w:line="360" w:lineRule="auto"/>
        <w:jc w:val="both"/>
        <w:rPr>
          <w:rFonts w:ascii="Century Gothic" w:hAnsi="Century Gothic"/>
          <w:b/>
          <w:bCs/>
          <w:sz w:val="22"/>
          <w:szCs w:val="22"/>
        </w:rPr>
      </w:pPr>
    </w:p>
    <w:p w14:paraId="3376052F" w14:textId="26454819" w:rsidR="00C51FAD" w:rsidRPr="00C51FAD" w:rsidRDefault="00C51FAD" w:rsidP="00C51FAD">
      <w:pPr>
        <w:pStyle w:val="NormalWeb"/>
        <w:spacing w:line="360" w:lineRule="auto"/>
        <w:jc w:val="both"/>
        <w:rPr>
          <w:rFonts w:ascii="Century Gothic" w:hAnsi="Century Gothic"/>
          <w:b/>
          <w:bCs/>
          <w:sz w:val="22"/>
          <w:szCs w:val="22"/>
        </w:rPr>
      </w:pPr>
      <w:r w:rsidRPr="00C51FAD">
        <w:rPr>
          <w:rFonts w:ascii="Century Gothic" w:hAnsi="Century Gothic"/>
          <w:b/>
          <w:bCs/>
          <w:sz w:val="22"/>
          <w:szCs w:val="22"/>
        </w:rPr>
        <w:lastRenderedPageBreak/>
        <w:t>Conclusión</w:t>
      </w:r>
    </w:p>
    <w:p w14:paraId="51B1B0AB"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Los resultados del sondeo reflejan una opinión mixta de los ciudadanos sobre la eficiencia, transparencia y el manejo de los recursos públicos por parte del gobierno municipal. Mientras que la mayoría considera que el gobierno es capaz y eficiente, hay un número significativo de personas que no perciben agilidad en los trámites administrativos, ni transparencia en la gestión pública. Además, aunque algunos ciudadanos creen que el gobierno cuida los recursos públicos y es austero, hay una notable preocupación por el manejo de estos recursos.</w:t>
      </w:r>
    </w:p>
    <w:p w14:paraId="28D36CBC"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Para mejorar la percepción ciudadana y fortalecer la confianza en la administración municipal, es necesario que el gobierno trabaje en la digitalización de los trámites, en la transparencia de sus procesos y en una mejor comunicación con los ciudadanos. Además, debe priorizar la austeridad real en el manejo de los recursos públicos, mostrando de manera más clara las acciones que está tomando en este sentido.</w:t>
      </w:r>
    </w:p>
    <w:p w14:paraId="51FF2F41" w14:textId="77777777" w:rsidR="00C51FAD" w:rsidRPr="00C51FAD" w:rsidRDefault="00C51FAD" w:rsidP="00C51FAD">
      <w:pPr>
        <w:pStyle w:val="NormalWeb"/>
        <w:spacing w:line="360" w:lineRule="auto"/>
        <w:jc w:val="both"/>
        <w:rPr>
          <w:rFonts w:ascii="Century Gothic" w:hAnsi="Century Gothic"/>
          <w:sz w:val="22"/>
          <w:szCs w:val="22"/>
        </w:rPr>
      </w:pPr>
      <w:r w:rsidRPr="00C51FAD">
        <w:rPr>
          <w:rFonts w:ascii="Century Gothic" w:hAnsi="Century Gothic"/>
          <w:sz w:val="22"/>
          <w:szCs w:val="22"/>
        </w:rPr>
        <w:t xml:space="preserve">De forma general, la administración de San Antonio la Isla tiene una oportunidad significativa para mejorar su </w:t>
      </w:r>
      <w:r w:rsidRPr="00C51FAD">
        <w:rPr>
          <w:rFonts w:ascii="Century Gothic" w:hAnsi="Century Gothic"/>
          <w:sz w:val="22"/>
          <w:szCs w:val="22"/>
        </w:rPr>
        <w:t>relación con la población a través de la optimización de procesos internos, la comunicación abierta y la rendición de cuentas.</w:t>
      </w:r>
    </w:p>
    <w:p w14:paraId="6A73BA54" w14:textId="4B926B89" w:rsidR="00E019D1" w:rsidRDefault="00E019D1">
      <w:pPr>
        <w:rPr>
          <w:rFonts w:ascii="Century Gothic" w:hAnsi="Century Gothic"/>
          <w:color w:val="000000" w:themeColor="text1"/>
          <w:sz w:val="22"/>
          <w:szCs w:val="22"/>
          <w:lang w:val="es-US"/>
        </w:rPr>
      </w:pPr>
      <w:r>
        <w:rPr>
          <w:rFonts w:ascii="Century Gothic" w:hAnsi="Century Gothic"/>
          <w:color w:val="000000" w:themeColor="text1"/>
          <w:sz w:val="22"/>
          <w:szCs w:val="22"/>
          <w:lang w:val="es-US"/>
        </w:rPr>
        <w:br w:type="page"/>
      </w:r>
    </w:p>
    <w:p w14:paraId="738FA931" w14:textId="4FB70207" w:rsidR="004A2000" w:rsidRDefault="004A2000" w:rsidP="007C62C8">
      <w:pPr>
        <w:spacing w:before="102" w:line="240" w:lineRule="auto"/>
        <w:jc w:val="both"/>
        <w:rPr>
          <w:rFonts w:ascii="Century Gothic" w:hAnsi="Century Gothic"/>
          <w:b/>
          <w:bCs/>
          <w:color w:val="025850"/>
        </w:rPr>
      </w:pPr>
      <w:r w:rsidRPr="004A2000">
        <w:rPr>
          <w:rFonts w:ascii="Century Gothic" w:hAnsi="Century Gothic"/>
          <w:b/>
          <w:bCs/>
          <w:color w:val="025850"/>
        </w:rPr>
        <w:lastRenderedPageBreak/>
        <w:t xml:space="preserve">La Regionalización del Estado de México: </w:t>
      </w:r>
      <w:r>
        <w:rPr>
          <w:rFonts w:ascii="Century Gothic" w:hAnsi="Century Gothic"/>
          <w:b/>
          <w:bCs/>
          <w:color w:val="025850"/>
        </w:rPr>
        <w:t>E</w:t>
      </w:r>
      <w:r w:rsidRPr="004A2000">
        <w:rPr>
          <w:rFonts w:ascii="Century Gothic" w:hAnsi="Century Gothic"/>
          <w:b/>
          <w:bCs/>
          <w:color w:val="025850"/>
        </w:rPr>
        <w:t xml:space="preserve">lemento </w:t>
      </w:r>
      <w:r>
        <w:rPr>
          <w:rFonts w:ascii="Century Gothic" w:hAnsi="Century Gothic"/>
          <w:b/>
          <w:bCs/>
          <w:color w:val="025850"/>
        </w:rPr>
        <w:t>C</w:t>
      </w:r>
      <w:r w:rsidRPr="004A2000">
        <w:rPr>
          <w:rFonts w:ascii="Century Gothic" w:hAnsi="Century Gothic"/>
          <w:b/>
          <w:bCs/>
          <w:color w:val="025850"/>
        </w:rPr>
        <w:t xml:space="preserve">lave en el </w:t>
      </w:r>
      <w:r>
        <w:rPr>
          <w:rFonts w:ascii="Century Gothic" w:hAnsi="Century Gothic"/>
          <w:b/>
          <w:bCs/>
          <w:color w:val="025850"/>
        </w:rPr>
        <w:t>P</w:t>
      </w:r>
      <w:r w:rsidRPr="004A2000">
        <w:rPr>
          <w:rFonts w:ascii="Century Gothic" w:hAnsi="Century Gothic"/>
          <w:b/>
          <w:bCs/>
          <w:color w:val="025850"/>
        </w:rPr>
        <w:t xml:space="preserve">roceso de Planeación Municipal </w:t>
      </w:r>
    </w:p>
    <w:p w14:paraId="33174303" w14:textId="77777777" w:rsidR="007C62C8" w:rsidRPr="007C62C8" w:rsidRDefault="007C62C8" w:rsidP="007C62C8">
      <w:pPr>
        <w:spacing w:before="102" w:line="240" w:lineRule="auto"/>
        <w:jc w:val="both"/>
        <w:rPr>
          <w:rFonts w:ascii="Century Gothic" w:hAnsi="Century Gothic"/>
          <w:b/>
          <w:bCs/>
          <w:color w:val="025850"/>
        </w:rPr>
      </w:pPr>
    </w:p>
    <w:p w14:paraId="7D05DDB3" w14:textId="1E729E3D" w:rsidR="004A2000" w:rsidRPr="007C62C8" w:rsidRDefault="004A2000" w:rsidP="007C62C8">
      <w:pPr>
        <w:spacing w:before="102" w:line="240" w:lineRule="auto"/>
        <w:jc w:val="both"/>
        <w:rPr>
          <w:rFonts w:ascii="Century Gothic" w:hAnsi="Century Gothic"/>
          <w:b/>
          <w:bCs/>
          <w:color w:val="025850"/>
        </w:rPr>
      </w:pPr>
      <w:r w:rsidRPr="004A2000">
        <w:rPr>
          <w:rFonts w:ascii="Century Gothic" w:hAnsi="Century Gothic"/>
          <w:b/>
          <w:bCs/>
          <w:color w:val="025850"/>
        </w:rPr>
        <w:t xml:space="preserve">Integración </w:t>
      </w:r>
      <w:r>
        <w:rPr>
          <w:rFonts w:ascii="Century Gothic" w:hAnsi="Century Gothic"/>
          <w:b/>
          <w:bCs/>
          <w:color w:val="025850"/>
        </w:rPr>
        <w:t>T</w:t>
      </w:r>
      <w:r w:rsidRPr="004A2000">
        <w:rPr>
          <w:rFonts w:ascii="Century Gothic" w:hAnsi="Century Gothic"/>
          <w:b/>
          <w:bCs/>
          <w:color w:val="025850"/>
        </w:rPr>
        <w:t xml:space="preserve">erritorial y </w:t>
      </w:r>
      <w:r>
        <w:rPr>
          <w:rFonts w:ascii="Century Gothic" w:hAnsi="Century Gothic"/>
          <w:b/>
          <w:bCs/>
          <w:color w:val="025850"/>
        </w:rPr>
        <w:t>P</w:t>
      </w:r>
      <w:r w:rsidRPr="004A2000">
        <w:rPr>
          <w:rFonts w:ascii="Century Gothic" w:hAnsi="Century Gothic"/>
          <w:b/>
          <w:bCs/>
          <w:color w:val="025850"/>
        </w:rPr>
        <w:t xml:space="preserve">erfil </w:t>
      </w:r>
      <w:r>
        <w:rPr>
          <w:rFonts w:ascii="Century Gothic" w:hAnsi="Century Gothic"/>
          <w:b/>
          <w:bCs/>
          <w:color w:val="025850"/>
        </w:rPr>
        <w:t>S</w:t>
      </w:r>
      <w:r w:rsidRPr="004A2000">
        <w:rPr>
          <w:rFonts w:ascii="Century Gothic" w:hAnsi="Century Gothic"/>
          <w:b/>
          <w:bCs/>
          <w:color w:val="025850"/>
        </w:rPr>
        <w:t xml:space="preserve">ociodemográfico Integración </w:t>
      </w:r>
      <w:r>
        <w:rPr>
          <w:rFonts w:ascii="Century Gothic" w:hAnsi="Century Gothic"/>
          <w:b/>
          <w:bCs/>
          <w:color w:val="025850"/>
        </w:rPr>
        <w:t>T</w:t>
      </w:r>
      <w:r w:rsidRPr="004A2000">
        <w:rPr>
          <w:rFonts w:ascii="Century Gothic" w:hAnsi="Century Gothic"/>
          <w:b/>
          <w:bCs/>
          <w:color w:val="025850"/>
        </w:rPr>
        <w:t xml:space="preserve">erritorial </w:t>
      </w:r>
    </w:p>
    <w:p w14:paraId="27DFEC99" w14:textId="79EFEF51" w:rsidR="004A2000" w:rsidRDefault="004A2000" w:rsidP="004A2000">
      <w:pPr>
        <w:spacing w:before="102" w:line="360" w:lineRule="auto"/>
        <w:ind w:firstLine="708"/>
        <w:jc w:val="both"/>
        <w:rPr>
          <w:rFonts w:ascii="Century Gothic" w:hAnsi="Century Gothic"/>
          <w:color w:val="000000" w:themeColor="text1"/>
          <w:sz w:val="22"/>
          <w:szCs w:val="22"/>
        </w:rPr>
      </w:pPr>
      <w:r w:rsidRPr="004A2000">
        <w:rPr>
          <w:rFonts w:ascii="Century Gothic" w:hAnsi="Century Gothic"/>
          <w:color w:val="000000" w:themeColor="text1"/>
          <w:sz w:val="22"/>
          <w:szCs w:val="22"/>
        </w:rPr>
        <w:t>La Zona V: Valle de Toluca está conformada por la Región 10: Nicolás Romero, con los municipios de Isidro Fabela, Jilotzingo, Nicolás Romero, Otzolotepec, Temoaya y Xonacatlán; la Región 14: Toluca, comprendida por los municipios de Almoloya de Juárez, Calimaya, Chapultepec, Metepec, Mexicaltzingo, San Mateo Atenco, Toluca y Zinacantepec; así como por la Región 16: Lerma, integrada por los municipios de Almoloya del Río, Atizapán, Capulhuac, Lerma, Ocoyoacac, San Antonio la Isla, Texcalyacac, Tianguistenco y Xalatlaco.</w:t>
      </w:r>
    </w:p>
    <w:p w14:paraId="4616202C" w14:textId="0360D5B6" w:rsidR="004A2000" w:rsidRPr="004A2000" w:rsidRDefault="004A2000" w:rsidP="004A2000">
      <w:pPr>
        <w:spacing w:before="102" w:line="360" w:lineRule="auto"/>
        <w:ind w:firstLine="708"/>
        <w:jc w:val="both"/>
        <w:rPr>
          <w:rFonts w:ascii="Century Gothic" w:hAnsi="Century Gothic"/>
          <w:color w:val="000000" w:themeColor="text1"/>
          <w:sz w:val="22"/>
          <w:szCs w:val="22"/>
        </w:rPr>
      </w:pPr>
      <w:r w:rsidRPr="004A2000">
        <w:rPr>
          <w:rFonts w:ascii="Century Gothic" w:hAnsi="Century Gothic"/>
          <w:color w:val="000000" w:themeColor="text1"/>
          <w:sz w:val="22"/>
          <w:szCs w:val="22"/>
        </w:rPr>
        <w:t xml:space="preserve">De acuerdo con el Instituto de Información e Investigación Geográfica, Estadística y Catastral del Estado de México (IGECEM), la extensión territorial de la zona es de 2,917.092 km2, que representa el 12.97% del territorio estatal, posicionándose como la cuarta zona con mayor extensión territorial. Sin embargo, es la tercera con mayor población a nivel estatal, con 2, 893,122 </w:t>
      </w:r>
      <w:r w:rsidRPr="004A2000">
        <w:rPr>
          <w:rFonts w:ascii="Century Gothic" w:hAnsi="Century Gothic"/>
          <w:color w:val="000000" w:themeColor="text1"/>
          <w:sz w:val="22"/>
          <w:szCs w:val="22"/>
        </w:rPr>
        <w:t>habitantes, cifra que representa alrededor del 17% de la población de la entidad.</w:t>
      </w:r>
    </w:p>
    <w:p w14:paraId="59DD072F" w14:textId="77777777" w:rsidR="004A2000" w:rsidRPr="004A2000" w:rsidRDefault="004A2000" w:rsidP="004A2000">
      <w:pPr>
        <w:spacing w:before="102" w:line="360" w:lineRule="auto"/>
        <w:ind w:firstLine="708"/>
        <w:jc w:val="both"/>
        <w:rPr>
          <w:rFonts w:ascii="Century Gothic" w:hAnsi="Century Gothic"/>
          <w:color w:val="000000" w:themeColor="text1"/>
          <w:sz w:val="22"/>
          <w:szCs w:val="22"/>
        </w:rPr>
      </w:pPr>
      <w:r w:rsidRPr="004A2000">
        <w:rPr>
          <w:rFonts w:ascii="Century Gothic" w:hAnsi="Century Gothic"/>
          <w:color w:val="000000" w:themeColor="text1"/>
          <w:sz w:val="22"/>
          <w:szCs w:val="22"/>
        </w:rPr>
        <w:t>En el tema rural, la Zona V cuenta con 137 mil viviendas ocupadas y una población clasificada de menos de 600 mil personas, contrastando con la dinámica urbana. Sin embargo, las acciones del sector público deben encaminarse a fomentar pueblos y municipios con crecimiento urbano ordenado, sitios públicos y mejoras en el panorama urbano que genere también sitios seguros y con condiciones de salud para la ciudadanía. Finalmente, no debe olvidarse que la infraestructura debe ser planificada para todos los sectores de la sociedad, considerando sectores públicos y privados y que cuentan con inclusión, sin realizar diferencias marcadas.</w:t>
      </w:r>
    </w:p>
    <w:p w14:paraId="0DFFEFEF" w14:textId="34894D20" w:rsidR="004A2000" w:rsidRPr="004A2000" w:rsidRDefault="004A2000" w:rsidP="00DF5DAD">
      <w:pPr>
        <w:spacing w:before="102" w:line="360" w:lineRule="auto"/>
        <w:jc w:val="both"/>
        <w:rPr>
          <w:rFonts w:ascii="Century Gothic" w:hAnsi="Century Gothic"/>
          <w:b/>
          <w:bCs/>
          <w:color w:val="025850"/>
          <w:sz w:val="22"/>
          <w:szCs w:val="22"/>
        </w:rPr>
      </w:pPr>
      <w:r w:rsidRPr="004A2000">
        <w:rPr>
          <w:rFonts w:ascii="Century Gothic" w:hAnsi="Century Gothic"/>
          <w:b/>
          <w:bCs/>
          <w:color w:val="025850"/>
          <w:sz w:val="22"/>
          <w:szCs w:val="22"/>
        </w:rPr>
        <w:t xml:space="preserve">Perfil Sociodemográfico Población </w:t>
      </w:r>
    </w:p>
    <w:p w14:paraId="04BD022C" w14:textId="6ACBCD72" w:rsidR="004A2000" w:rsidRPr="004A2000" w:rsidRDefault="004A2000" w:rsidP="00CE2573">
      <w:pPr>
        <w:spacing w:before="102" w:line="360" w:lineRule="auto"/>
        <w:ind w:firstLine="708"/>
        <w:jc w:val="both"/>
        <w:rPr>
          <w:rFonts w:ascii="Century Gothic" w:hAnsi="Century Gothic"/>
          <w:color w:val="000000" w:themeColor="text1"/>
          <w:sz w:val="22"/>
          <w:szCs w:val="22"/>
        </w:rPr>
      </w:pPr>
      <w:r w:rsidRPr="004A2000">
        <w:rPr>
          <w:rFonts w:ascii="Century Gothic" w:hAnsi="Century Gothic"/>
          <w:color w:val="000000" w:themeColor="text1"/>
          <w:sz w:val="22"/>
          <w:szCs w:val="22"/>
        </w:rPr>
        <w:t xml:space="preserve">De acuerdo con el Censo de Población y Vivienda del Instituto Nacional de Estadística y Geografía (INEGI), en 2020, el Estado de México contó con un total de 16,992,418 habitantes (51.4% mujeres y 48.6% hombres), colocándose como la entidad con mayor número de </w:t>
      </w:r>
      <w:r w:rsidRPr="004A2000">
        <w:rPr>
          <w:rFonts w:ascii="Century Gothic" w:hAnsi="Century Gothic"/>
          <w:color w:val="000000" w:themeColor="text1"/>
          <w:sz w:val="22"/>
          <w:szCs w:val="22"/>
        </w:rPr>
        <w:lastRenderedPageBreak/>
        <w:t xml:space="preserve">población. Por otra parte, las proyecciones del Consejo Nacional de Población (CONAPO) estiman que, al 2023, esta población había aumentado en un 2.99%, lo que representa poco más de 508 mil personas en tres años; y para el 2030, la población se incrementará en 643,399 habitantes, llegando a 18,144,619 personas, lo que representa un crecimiento de 3.68 puntos porcentuales </w:t>
      </w:r>
      <w:r w:rsidR="00DF5DAD">
        <w:rPr>
          <w:rFonts w:ascii="Century Gothic" w:hAnsi="Century Gothic"/>
          <w:noProof/>
          <w:color w:val="000000" w:themeColor="text1"/>
          <w:sz w:val="22"/>
          <w:szCs w:val="22"/>
        </w:rPr>
        <w:drawing>
          <wp:anchor distT="0" distB="0" distL="114300" distR="114300" simplePos="0" relativeHeight="251700224" behindDoc="1" locked="0" layoutInCell="1" allowOverlap="1" wp14:anchorId="1B74D1CA" wp14:editId="07891E9B">
            <wp:simplePos x="0" y="0"/>
            <wp:positionH relativeFrom="column">
              <wp:align>right</wp:align>
            </wp:positionH>
            <wp:positionV relativeFrom="paragraph">
              <wp:posOffset>2742915</wp:posOffset>
            </wp:positionV>
            <wp:extent cx="3881120" cy="2815590"/>
            <wp:effectExtent l="0" t="0" r="5080" b="3810"/>
            <wp:wrapTight wrapText="bothSides">
              <wp:wrapPolygon edited="0">
                <wp:start x="0" y="0"/>
                <wp:lineTo x="0" y="21483"/>
                <wp:lineTo x="21522" y="21483"/>
                <wp:lineTo x="21522"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81120" cy="2815590"/>
                    </a:xfrm>
                    <a:prstGeom prst="rect">
                      <a:avLst/>
                    </a:prstGeom>
                    <a:noFill/>
                  </pic:spPr>
                </pic:pic>
              </a:graphicData>
            </a:graphic>
            <wp14:sizeRelH relativeFrom="margin">
              <wp14:pctWidth>0</wp14:pctWidth>
            </wp14:sizeRelH>
            <wp14:sizeRelV relativeFrom="margin">
              <wp14:pctHeight>0</wp14:pctHeight>
            </wp14:sizeRelV>
          </wp:anchor>
        </w:drawing>
      </w:r>
      <w:r w:rsidRPr="004A2000">
        <w:rPr>
          <w:rFonts w:ascii="Century Gothic" w:hAnsi="Century Gothic"/>
          <w:color w:val="000000" w:themeColor="text1"/>
          <w:sz w:val="22"/>
          <w:szCs w:val="22"/>
        </w:rPr>
        <w:t>respecto al 2023.</w:t>
      </w:r>
    </w:p>
    <w:p w14:paraId="6EC7F8A7" w14:textId="30150F70" w:rsidR="00A00C4A" w:rsidRDefault="004A2000" w:rsidP="004A2000">
      <w:pPr>
        <w:spacing w:before="102" w:line="360" w:lineRule="auto"/>
        <w:ind w:firstLine="708"/>
        <w:jc w:val="both"/>
        <w:rPr>
          <w:rFonts w:ascii="Century Gothic" w:hAnsi="Century Gothic"/>
          <w:color w:val="000000" w:themeColor="text1"/>
          <w:sz w:val="22"/>
          <w:szCs w:val="22"/>
        </w:rPr>
      </w:pPr>
      <w:r w:rsidRPr="004A2000">
        <w:rPr>
          <w:rFonts w:ascii="Century Gothic" w:hAnsi="Century Gothic"/>
          <w:color w:val="000000" w:themeColor="text1"/>
          <w:sz w:val="22"/>
          <w:szCs w:val="22"/>
        </w:rPr>
        <w:t xml:space="preserve">En sintonía con lo anterior, la población en las regiones de Nicolas Romero, Toluca y Lerma se concentra principalmente en los municipios nombrados de igual </w:t>
      </w:r>
      <w:r w:rsidRPr="004A2000">
        <w:rPr>
          <w:rFonts w:ascii="Century Gothic" w:hAnsi="Century Gothic"/>
          <w:color w:val="000000" w:themeColor="text1"/>
          <w:sz w:val="22"/>
          <w:szCs w:val="22"/>
        </w:rPr>
        <w:t>manera, es decir, el primero de ellos concentra el 60.5% de la población total en su región, mientras que el segundo concentra el 52.8% y el último registra el 37.2% con respecto a su población regional. En contraste, el Municipio de Isidro Fabela es el que registra menos población en la Región 10: Nicolás Romero, con el 1.68%, mientras que en la Región 14: Toluca, es Almoloya del Rio el municipio menos poblado con 0.74%. En la Región 16: Lerma, Texcalyacac es el municipio con menor población, registrando el 1.25% de la población total en su región.</w:t>
      </w:r>
    </w:p>
    <w:p w14:paraId="32FDF622" w14:textId="77777777" w:rsidR="00A00C4A" w:rsidRDefault="00A00C4A">
      <w:pPr>
        <w:rPr>
          <w:rFonts w:ascii="Century Gothic" w:hAnsi="Century Gothic"/>
          <w:color w:val="000000" w:themeColor="text1"/>
          <w:sz w:val="22"/>
          <w:szCs w:val="22"/>
        </w:rPr>
      </w:pPr>
      <w:r>
        <w:rPr>
          <w:rFonts w:ascii="Century Gothic" w:hAnsi="Century Gothic"/>
          <w:color w:val="000000" w:themeColor="text1"/>
          <w:sz w:val="22"/>
          <w:szCs w:val="22"/>
        </w:rPr>
        <w:br w:type="page"/>
      </w:r>
    </w:p>
    <w:p w14:paraId="0252DA48" w14:textId="77777777" w:rsidR="00A00C4A" w:rsidRDefault="00A00C4A" w:rsidP="004A2000">
      <w:pPr>
        <w:spacing w:before="102" w:line="360" w:lineRule="auto"/>
        <w:ind w:firstLine="708"/>
        <w:jc w:val="both"/>
        <w:rPr>
          <w:rFonts w:ascii="Century Gothic" w:hAnsi="Century Gothic"/>
          <w:color w:val="000000" w:themeColor="text1"/>
          <w:sz w:val="22"/>
          <w:szCs w:val="22"/>
        </w:rPr>
        <w:sectPr w:rsidR="00A00C4A" w:rsidSect="00E019D1">
          <w:pgSz w:w="15840" w:h="12240" w:orient="landscape"/>
          <w:pgMar w:top="1440" w:right="1440" w:bottom="1440" w:left="1440" w:header="709" w:footer="709" w:gutter="0"/>
          <w:cols w:num="2" w:space="708"/>
          <w:docGrid w:linePitch="360"/>
        </w:sectPr>
      </w:pPr>
    </w:p>
    <w:p w14:paraId="58CF9F09" w14:textId="66E11248" w:rsidR="004A2000" w:rsidRPr="004A2000" w:rsidRDefault="00A00C4A" w:rsidP="004A2000">
      <w:pPr>
        <w:spacing w:before="102" w:line="360" w:lineRule="auto"/>
        <w:ind w:firstLine="708"/>
        <w:jc w:val="both"/>
        <w:rPr>
          <w:rFonts w:ascii="Century Gothic" w:hAnsi="Century Gothic"/>
          <w:color w:val="000000" w:themeColor="text1"/>
          <w:sz w:val="22"/>
          <w:szCs w:val="22"/>
        </w:rPr>
      </w:pPr>
      <w:r>
        <w:rPr>
          <w:noProof/>
        </w:rPr>
        <w:lastRenderedPageBreak/>
        <w:drawing>
          <wp:anchor distT="0" distB="0" distL="114300" distR="114300" simplePos="0" relativeHeight="251699200" behindDoc="1" locked="0" layoutInCell="1" allowOverlap="1" wp14:anchorId="6387443F" wp14:editId="46018F6F">
            <wp:simplePos x="0" y="0"/>
            <wp:positionH relativeFrom="column">
              <wp:posOffset>407283</wp:posOffset>
            </wp:positionH>
            <wp:positionV relativeFrom="paragraph">
              <wp:posOffset>178904</wp:posOffset>
            </wp:positionV>
            <wp:extent cx="7593330" cy="4820285"/>
            <wp:effectExtent l="0" t="0" r="7620" b="18415"/>
            <wp:wrapTight wrapText="bothSides">
              <wp:wrapPolygon edited="0">
                <wp:start x="0" y="0"/>
                <wp:lineTo x="0" y="21597"/>
                <wp:lineTo x="21567" y="21597"/>
                <wp:lineTo x="21567" y="0"/>
                <wp:lineTo x="0" y="0"/>
              </wp:wrapPolygon>
            </wp:wrapTight>
            <wp:docPr id="2" name="Gráfico 2">
              <a:extLst xmlns:a="http://schemas.openxmlformats.org/drawingml/2006/main">
                <a:ext uri="{FF2B5EF4-FFF2-40B4-BE49-F238E27FC236}">
                  <a16:creationId xmlns:a16="http://schemas.microsoft.com/office/drawing/2014/main" id="{53427071-A125-4D64-9E89-DA1B165846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63D46022" w14:textId="14D06C34" w:rsidR="00557C34" w:rsidRDefault="00557C34" w:rsidP="00E019D1">
      <w:pPr>
        <w:spacing w:before="102" w:line="360" w:lineRule="auto"/>
        <w:jc w:val="both"/>
        <w:rPr>
          <w:rFonts w:ascii="Century Gothic" w:hAnsi="Century Gothic"/>
          <w:color w:val="000000" w:themeColor="text1"/>
          <w:sz w:val="22"/>
          <w:szCs w:val="22"/>
          <w:lang w:val="es-US"/>
        </w:rPr>
      </w:pPr>
    </w:p>
    <w:p w14:paraId="1AD3C349" w14:textId="48F78A6E" w:rsidR="00A00C4A" w:rsidRDefault="00A00C4A" w:rsidP="00E019D1">
      <w:pPr>
        <w:spacing w:before="102" w:line="360" w:lineRule="auto"/>
        <w:jc w:val="both"/>
        <w:rPr>
          <w:rFonts w:ascii="Century Gothic" w:hAnsi="Century Gothic"/>
          <w:color w:val="000000" w:themeColor="text1"/>
          <w:sz w:val="22"/>
          <w:szCs w:val="22"/>
          <w:lang w:val="es-US"/>
        </w:rPr>
      </w:pPr>
    </w:p>
    <w:p w14:paraId="5B867FAB" w14:textId="51DC9791" w:rsidR="00A00C4A" w:rsidRDefault="00A00C4A" w:rsidP="00E019D1">
      <w:pPr>
        <w:spacing w:before="102" w:line="360" w:lineRule="auto"/>
        <w:jc w:val="both"/>
        <w:rPr>
          <w:rFonts w:ascii="Century Gothic" w:hAnsi="Century Gothic"/>
          <w:color w:val="000000" w:themeColor="text1"/>
          <w:sz w:val="22"/>
          <w:szCs w:val="22"/>
          <w:lang w:val="es-US"/>
        </w:rPr>
      </w:pPr>
    </w:p>
    <w:p w14:paraId="16AF645A" w14:textId="61A99FE5" w:rsidR="00A00C4A" w:rsidRDefault="00A00C4A" w:rsidP="00E019D1">
      <w:pPr>
        <w:spacing w:before="102" w:line="360" w:lineRule="auto"/>
        <w:jc w:val="both"/>
        <w:rPr>
          <w:rFonts w:ascii="Century Gothic" w:hAnsi="Century Gothic"/>
          <w:color w:val="000000" w:themeColor="text1"/>
          <w:sz w:val="22"/>
          <w:szCs w:val="22"/>
          <w:lang w:val="es-US"/>
        </w:rPr>
      </w:pPr>
    </w:p>
    <w:p w14:paraId="4367EDCE" w14:textId="051ADAF8" w:rsidR="00A00C4A" w:rsidRDefault="00A00C4A" w:rsidP="00E019D1">
      <w:pPr>
        <w:spacing w:before="102" w:line="360" w:lineRule="auto"/>
        <w:jc w:val="both"/>
        <w:rPr>
          <w:rFonts w:ascii="Century Gothic" w:hAnsi="Century Gothic"/>
          <w:color w:val="000000" w:themeColor="text1"/>
          <w:sz w:val="22"/>
          <w:szCs w:val="22"/>
          <w:lang w:val="es-US"/>
        </w:rPr>
      </w:pPr>
    </w:p>
    <w:p w14:paraId="724F1B7B" w14:textId="5FDE3125" w:rsidR="00A00C4A" w:rsidRDefault="00A00C4A" w:rsidP="00E019D1">
      <w:pPr>
        <w:spacing w:before="102" w:line="360" w:lineRule="auto"/>
        <w:jc w:val="both"/>
        <w:rPr>
          <w:rFonts w:ascii="Century Gothic" w:hAnsi="Century Gothic"/>
          <w:color w:val="000000" w:themeColor="text1"/>
          <w:sz w:val="22"/>
          <w:szCs w:val="22"/>
          <w:lang w:val="es-US"/>
        </w:rPr>
      </w:pPr>
    </w:p>
    <w:p w14:paraId="6A105532" w14:textId="0FA14991" w:rsidR="00A00C4A" w:rsidRDefault="00A00C4A" w:rsidP="00E019D1">
      <w:pPr>
        <w:spacing w:before="102" w:line="360" w:lineRule="auto"/>
        <w:jc w:val="both"/>
        <w:rPr>
          <w:rFonts w:ascii="Century Gothic" w:hAnsi="Century Gothic"/>
          <w:color w:val="000000" w:themeColor="text1"/>
          <w:sz w:val="22"/>
          <w:szCs w:val="22"/>
          <w:lang w:val="es-US"/>
        </w:rPr>
      </w:pPr>
    </w:p>
    <w:p w14:paraId="398FF074" w14:textId="6208757E" w:rsidR="00A00C4A" w:rsidRDefault="00A00C4A" w:rsidP="00E019D1">
      <w:pPr>
        <w:spacing w:before="102" w:line="360" w:lineRule="auto"/>
        <w:jc w:val="both"/>
        <w:rPr>
          <w:rFonts w:ascii="Century Gothic" w:hAnsi="Century Gothic"/>
          <w:color w:val="000000" w:themeColor="text1"/>
          <w:sz w:val="22"/>
          <w:szCs w:val="22"/>
          <w:lang w:val="es-US"/>
        </w:rPr>
      </w:pPr>
    </w:p>
    <w:p w14:paraId="79905D6E" w14:textId="325D2C10" w:rsidR="00A00C4A" w:rsidRDefault="00A00C4A" w:rsidP="00E019D1">
      <w:pPr>
        <w:spacing w:before="102" w:line="360" w:lineRule="auto"/>
        <w:jc w:val="both"/>
        <w:rPr>
          <w:rFonts w:ascii="Century Gothic" w:hAnsi="Century Gothic"/>
          <w:color w:val="000000" w:themeColor="text1"/>
          <w:sz w:val="22"/>
          <w:szCs w:val="22"/>
          <w:lang w:val="es-US"/>
        </w:rPr>
      </w:pPr>
    </w:p>
    <w:p w14:paraId="3B703941" w14:textId="5B514B7A" w:rsidR="00A00C4A" w:rsidRDefault="00A00C4A" w:rsidP="00E019D1">
      <w:pPr>
        <w:spacing w:before="102" w:line="360" w:lineRule="auto"/>
        <w:jc w:val="both"/>
        <w:rPr>
          <w:rFonts w:ascii="Century Gothic" w:hAnsi="Century Gothic"/>
          <w:color w:val="000000" w:themeColor="text1"/>
          <w:sz w:val="22"/>
          <w:szCs w:val="22"/>
          <w:lang w:val="es-US"/>
        </w:rPr>
      </w:pPr>
    </w:p>
    <w:p w14:paraId="58C9717E" w14:textId="4313D760" w:rsidR="00A00C4A" w:rsidRDefault="00A00C4A" w:rsidP="00E019D1">
      <w:pPr>
        <w:spacing w:before="102" w:line="360" w:lineRule="auto"/>
        <w:jc w:val="both"/>
        <w:rPr>
          <w:rFonts w:ascii="Century Gothic" w:hAnsi="Century Gothic"/>
          <w:color w:val="000000" w:themeColor="text1"/>
          <w:sz w:val="22"/>
          <w:szCs w:val="22"/>
          <w:lang w:val="es-US"/>
        </w:rPr>
      </w:pPr>
    </w:p>
    <w:p w14:paraId="6B3A473A" w14:textId="35CB759B" w:rsidR="00A00C4A" w:rsidRDefault="00A00C4A" w:rsidP="00E019D1">
      <w:pPr>
        <w:spacing w:before="102" w:line="360" w:lineRule="auto"/>
        <w:jc w:val="both"/>
        <w:rPr>
          <w:rFonts w:ascii="Century Gothic" w:hAnsi="Century Gothic"/>
          <w:color w:val="000000" w:themeColor="text1"/>
          <w:sz w:val="22"/>
          <w:szCs w:val="22"/>
          <w:lang w:val="es-US"/>
        </w:rPr>
      </w:pPr>
    </w:p>
    <w:p w14:paraId="596B86C3" w14:textId="0D1DBD4F" w:rsidR="00A00C4A" w:rsidRDefault="00A00C4A" w:rsidP="00E019D1">
      <w:pPr>
        <w:spacing w:before="102" w:line="360" w:lineRule="auto"/>
        <w:jc w:val="both"/>
        <w:rPr>
          <w:rFonts w:ascii="Century Gothic" w:hAnsi="Century Gothic"/>
          <w:color w:val="000000" w:themeColor="text1"/>
          <w:sz w:val="22"/>
          <w:szCs w:val="22"/>
          <w:lang w:val="es-US"/>
        </w:rPr>
      </w:pPr>
    </w:p>
    <w:p w14:paraId="3949D5E0" w14:textId="7A63C83D" w:rsidR="00A00C4A" w:rsidRDefault="00A00C4A" w:rsidP="00A00C4A">
      <w:pPr>
        <w:spacing w:before="102" w:line="360" w:lineRule="auto"/>
        <w:jc w:val="center"/>
        <w:rPr>
          <w:rFonts w:ascii="Century Gothic" w:hAnsi="Century Gothic"/>
          <w:b/>
          <w:bCs/>
          <w:color w:val="000000" w:themeColor="text1"/>
          <w:sz w:val="16"/>
          <w:szCs w:val="16"/>
        </w:rPr>
      </w:pPr>
      <w:r w:rsidRPr="00A00C4A">
        <w:rPr>
          <w:rFonts w:ascii="Century Gothic" w:hAnsi="Century Gothic"/>
          <w:b/>
          <w:bCs/>
          <w:color w:val="000000" w:themeColor="text1"/>
          <w:sz w:val="16"/>
          <w:szCs w:val="16"/>
        </w:rPr>
        <w:t xml:space="preserve">Fuente: </w:t>
      </w:r>
      <w:r w:rsidRPr="00A00C4A">
        <w:rPr>
          <w:rFonts w:ascii="Century Gothic" w:hAnsi="Century Gothic"/>
          <w:color w:val="000000" w:themeColor="text1"/>
          <w:sz w:val="16"/>
          <w:szCs w:val="16"/>
        </w:rPr>
        <w:t>IGECEM, Dirección de Geografía 2024</w:t>
      </w:r>
      <w:r w:rsidRPr="00A00C4A">
        <w:rPr>
          <w:rFonts w:ascii="Century Gothic" w:hAnsi="Century Gothic"/>
          <w:b/>
          <w:bCs/>
          <w:color w:val="000000" w:themeColor="text1"/>
          <w:sz w:val="16"/>
          <w:szCs w:val="16"/>
        </w:rPr>
        <w:t>.</w:t>
      </w:r>
    </w:p>
    <w:p w14:paraId="6105D6ED" w14:textId="77777777" w:rsidR="00A00C4A" w:rsidRDefault="00A00C4A">
      <w:pPr>
        <w:rPr>
          <w:rFonts w:ascii="Century Gothic" w:hAnsi="Century Gothic"/>
          <w:b/>
          <w:bCs/>
          <w:color w:val="000000" w:themeColor="text1"/>
          <w:sz w:val="16"/>
          <w:szCs w:val="16"/>
        </w:rPr>
      </w:pPr>
      <w:r>
        <w:rPr>
          <w:rFonts w:ascii="Century Gothic" w:hAnsi="Century Gothic"/>
          <w:b/>
          <w:bCs/>
          <w:color w:val="000000" w:themeColor="text1"/>
          <w:sz w:val="16"/>
          <w:szCs w:val="16"/>
        </w:rPr>
        <w:br w:type="page"/>
      </w:r>
    </w:p>
    <w:p w14:paraId="526DFD7A" w14:textId="77777777" w:rsidR="00A00C4A" w:rsidRDefault="00A00C4A" w:rsidP="00A00C4A">
      <w:pPr>
        <w:spacing w:before="102" w:line="360" w:lineRule="auto"/>
        <w:rPr>
          <w:rFonts w:ascii="Century Gothic" w:hAnsi="Century Gothic"/>
          <w:color w:val="000000" w:themeColor="text1"/>
          <w:lang w:val="es-US"/>
        </w:rPr>
        <w:sectPr w:rsidR="00A00C4A" w:rsidSect="00A00C4A">
          <w:pgSz w:w="15840" w:h="12240" w:orient="landscape"/>
          <w:pgMar w:top="1440" w:right="1440" w:bottom="1440" w:left="1440" w:header="709" w:footer="709" w:gutter="0"/>
          <w:cols w:space="708"/>
          <w:docGrid w:linePitch="360"/>
        </w:sectPr>
      </w:pPr>
    </w:p>
    <w:p w14:paraId="75E6B610" w14:textId="77777777" w:rsidR="00DF5DAD" w:rsidRPr="00DF5DAD" w:rsidRDefault="00DF5DAD" w:rsidP="00DF5DAD">
      <w:pPr>
        <w:spacing w:before="102"/>
        <w:jc w:val="both"/>
        <w:rPr>
          <w:rFonts w:ascii="Century Gothic" w:hAnsi="Century Gothic"/>
          <w:b/>
          <w:bCs/>
          <w:color w:val="025850"/>
        </w:rPr>
      </w:pPr>
      <w:r w:rsidRPr="00DF5DAD">
        <w:rPr>
          <w:rFonts w:ascii="Century Gothic" w:hAnsi="Century Gothic"/>
          <w:b/>
          <w:bCs/>
          <w:color w:val="025850"/>
        </w:rPr>
        <w:lastRenderedPageBreak/>
        <w:t xml:space="preserve">Diagnóstico regional Ejes del cambio </w:t>
      </w:r>
    </w:p>
    <w:p w14:paraId="213DA29C" w14:textId="2795816E" w:rsidR="00282B40" w:rsidRPr="00CE2573" w:rsidRDefault="00DF5DAD" w:rsidP="00DF5DAD">
      <w:pPr>
        <w:spacing w:before="102"/>
        <w:jc w:val="both"/>
        <w:rPr>
          <w:rFonts w:ascii="Century Gothic" w:hAnsi="Century Gothic"/>
          <w:b/>
          <w:bCs/>
          <w:color w:val="025850"/>
          <w:sz w:val="22"/>
          <w:szCs w:val="22"/>
        </w:rPr>
      </w:pPr>
      <w:r w:rsidRPr="00282B40">
        <w:rPr>
          <w:rFonts w:ascii="Century Gothic" w:hAnsi="Century Gothic"/>
          <w:b/>
          <w:bCs/>
          <w:color w:val="025850"/>
          <w:sz w:val="22"/>
          <w:szCs w:val="22"/>
        </w:rPr>
        <w:t xml:space="preserve">Eje 1. Cero </w:t>
      </w:r>
      <w:r w:rsidR="00282B40">
        <w:rPr>
          <w:rFonts w:ascii="Century Gothic" w:hAnsi="Century Gothic"/>
          <w:b/>
          <w:bCs/>
          <w:color w:val="025850"/>
          <w:sz w:val="22"/>
          <w:szCs w:val="22"/>
        </w:rPr>
        <w:t>C</w:t>
      </w:r>
      <w:r w:rsidRPr="00282B40">
        <w:rPr>
          <w:rFonts w:ascii="Century Gothic" w:hAnsi="Century Gothic"/>
          <w:b/>
          <w:bCs/>
          <w:color w:val="025850"/>
          <w:sz w:val="22"/>
          <w:szCs w:val="22"/>
        </w:rPr>
        <w:t xml:space="preserve">orrupción y </w:t>
      </w:r>
      <w:r w:rsidR="00282B40">
        <w:rPr>
          <w:rFonts w:ascii="Century Gothic" w:hAnsi="Century Gothic"/>
          <w:b/>
          <w:bCs/>
          <w:color w:val="025850"/>
          <w:sz w:val="22"/>
          <w:szCs w:val="22"/>
        </w:rPr>
        <w:t>G</w:t>
      </w:r>
      <w:r w:rsidRPr="00282B40">
        <w:rPr>
          <w:rFonts w:ascii="Century Gothic" w:hAnsi="Century Gothic"/>
          <w:b/>
          <w:bCs/>
          <w:color w:val="025850"/>
          <w:sz w:val="22"/>
          <w:szCs w:val="22"/>
        </w:rPr>
        <w:t xml:space="preserve">obierno del </w:t>
      </w:r>
      <w:r w:rsidR="00282B40">
        <w:rPr>
          <w:rFonts w:ascii="Century Gothic" w:hAnsi="Century Gothic"/>
          <w:b/>
          <w:bCs/>
          <w:color w:val="025850"/>
          <w:sz w:val="22"/>
          <w:szCs w:val="22"/>
        </w:rPr>
        <w:t>P</w:t>
      </w:r>
      <w:r w:rsidRPr="00282B40">
        <w:rPr>
          <w:rFonts w:ascii="Century Gothic" w:hAnsi="Century Gothic"/>
          <w:b/>
          <w:bCs/>
          <w:color w:val="025850"/>
          <w:sz w:val="22"/>
          <w:szCs w:val="22"/>
        </w:rPr>
        <w:t xml:space="preserve">ueblo y para el </w:t>
      </w:r>
      <w:r w:rsidR="00282B40">
        <w:rPr>
          <w:rFonts w:ascii="Century Gothic" w:hAnsi="Century Gothic"/>
          <w:b/>
          <w:bCs/>
          <w:color w:val="025850"/>
          <w:sz w:val="22"/>
          <w:szCs w:val="22"/>
        </w:rPr>
        <w:t>P</w:t>
      </w:r>
      <w:r w:rsidRPr="00282B40">
        <w:rPr>
          <w:rFonts w:ascii="Century Gothic" w:hAnsi="Century Gothic"/>
          <w:b/>
          <w:bCs/>
          <w:color w:val="025850"/>
          <w:sz w:val="22"/>
          <w:szCs w:val="22"/>
        </w:rPr>
        <w:t xml:space="preserve">ueblo. “Estado de Derecho y </w:t>
      </w:r>
      <w:r w:rsidR="00282B40">
        <w:rPr>
          <w:rFonts w:ascii="Century Gothic" w:hAnsi="Century Gothic"/>
          <w:b/>
          <w:bCs/>
          <w:color w:val="025850"/>
          <w:sz w:val="22"/>
          <w:szCs w:val="22"/>
        </w:rPr>
        <w:t>A</w:t>
      </w:r>
      <w:r w:rsidRPr="00282B40">
        <w:rPr>
          <w:rFonts w:ascii="Century Gothic" w:hAnsi="Century Gothic"/>
          <w:b/>
          <w:bCs/>
          <w:color w:val="025850"/>
          <w:sz w:val="22"/>
          <w:szCs w:val="22"/>
        </w:rPr>
        <w:t xml:space="preserve">usteridad” </w:t>
      </w:r>
    </w:p>
    <w:p w14:paraId="7C51C928" w14:textId="1D6E0835" w:rsidR="00DF5DAD" w:rsidRPr="00282B40" w:rsidRDefault="00DF5DAD" w:rsidP="00DF5DAD">
      <w:pPr>
        <w:spacing w:before="102"/>
        <w:jc w:val="both"/>
        <w:rPr>
          <w:rFonts w:ascii="Century Gothic" w:hAnsi="Century Gothic"/>
          <w:b/>
          <w:bCs/>
          <w:color w:val="025850"/>
        </w:rPr>
      </w:pPr>
      <w:r w:rsidRPr="00DF5DAD">
        <w:rPr>
          <w:rFonts w:ascii="Century Gothic" w:hAnsi="Century Gothic"/>
          <w:b/>
          <w:bCs/>
          <w:color w:val="025850"/>
        </w:rPr>
        <w:t xml:space="preserve">Combate a la corrupción </w:t>
      </w:r>
    </w:p>
    <w:p w14:paraId="689EEC0E" w14:textId="77777777" w:rsidR="00DF5DAD" w:rsidRPr="00DF5DAD" w:rsidRDefault="00DF5DAD" w:rsidP="00DF5DAD">
      <w:pPr>
        <w:spacing w:before="102" w:line="360" w:lineRule="auto"/>
        <w:ind w:firstLine="708"/>
        <w:jc w:val="both"/>
        <w:rPr>
          <w:rFonts w:ascii="Century Gothic" w:hAnsi="Century Gothic"/>
          <w:color w:val="000000" w:themeColor="text1"/>
          <w:sz w:val="22"/>
          <w:szCs w:val="22"/>
        </w:rPr>
      </w:pPr>
      <w:r w:rsidRPr="00DF5DAD">
        <w:rPr>
          <w:rFonts w:ascii="Century Gothic" w:hAnsi="Century Gothic"/>
          <w:color w:val="000000" w:themeColor="text1"/>
          <w:sz w:val="22"/>
          <w:szCs w:val="22"/>
        </w:rPr>
        <w:t xml:space="preserve">Uno de los principales desafíos que enfrenta el Estado de México, y el país, es la corrupción, ya que puede conducir a una cultura de impunidad y desconfianza entre los ciudadanos, degradando los valores éticos de la sociedad y la confianza en las instituciones, atenuando la legitimidad del Gobierno y el Estado de Derecho. </w:t>
      </w:r>
    </w:p>
    <w:p w14:paraId="33D2BDE9" w14:textId="77777777" w:rsidR="00DF5DAD" w:rsidRPr="00DF5DAD" w:rsidRDefault="00DF5DAD" w:rsidP="00DF5DAD">
      <w:pPr>
        <w:spacing w:before="102" w:line="360" w:lineRule="auto"/>
        <w:ind w:firstLine="708"/>
        <w:jc w:val="both"/>
        <w:rPr>
          <w:rFonts w:ascii="Century Gothic" w:hAnsi="Century Gothic"/>
          <w:color w:val="000000" w:themeColor="text1"/>
          <w:sz w:val="22"/>
          <w:szCs w:val="22"/>
        </w:rPr>
      </w:pPr>
      <w:r w:rsidRPr="00DF5DAD">
        <w:rPr>
          <w:rFonts w:ascii="Century Gothic" w:hAnsi="Century Gothic"/>
          <w:color w:val="000000" w:themeColor="text1"/>
          <w:sz w:val="22"/>
          <w:szCs w:val="22"/>
        </w:rPr>
        <w:t xml:space="preserve">La corrupción contribuye a que existan desigualdades sociales y económicas, por el desvío de recursos y malas prácticas en el servicio público, lo que aumenta la concentración de riqueza en manos de unos pocos, acrecentando la brecha entre ricos y pobres. De acuerdo con cifras del INEGI, en el Estado de México para 2023, el 80.8% de la población de 18 años y más refirió que la inseguridad y delincuencia es el problema más importante que aqueja hoy en día, seguido de la corrupción con el 56.8%. En particular, se registraron 25,856 casos de corrupción por cada 100 mil habitantes. </w:t>
      </w:r>
    </w:p>
    <w:p w14:paraId="36CC71E8" w14:textId="77777777" w:rsidR="00DF5DAD" w:rsidRPr="00DF5DAD" w:rsidRDefault="00DF5DAD" w:rsidP="00DF5DAD">
      <w:pPr>
        <w:spacing w:before="102" w:line="360" w:lineRule="auto"/>
        <w:ind w:firstLine="708"/>
        <w:jc w:val="both"/>
        <w:rPr>
          <w:rFonts w:ascii="Century Gothic" w:hAnsi="Century Gothic"/>
          <w:color w:val="000000" w:themeColor="text1"/>
          <w:sz w:val="22"/>
          <w:szCs w:val="22"/>
        </w:rPr>
      </w:pPr>
      <w:r w:rsidRPr="00DF5DAD">
        <w:rPr>
          <w:rFonts w:ascii="Century Gothic" w:hAnsi="Century Gothic"/>
          <w:color w:val="000000" w:themeColor="text1"/>
          <w:sz w:val="22"/>
          <w:szCs w:val="22"/>
        </w:rPr>
        <w:t xml:space="preserve">El Estado de México es una de las entidades con mayor incidencia de la corrupción, 44.2% de sus habitantes cree que los actos de corrupción son frecuentes, mientras que el 60.8% de los habitantes de la entidad, en edad de 18 años y más, tuvo contacto con algún acto de corrupción en trámites, pagos y solicitudes de servicios. Como ejemplo de lo anterior, del total de personas del Estado de México de 18 años o más que tuvieron contacto con personal de seguridad pública, el 69% tuvo experiencia con algún episodio de corrupción, ubicando así a la entidad en la posición número tres en el país, con casi diez puntos más que la media nacional (59%) y solo cinco puntos porcentuales por debajo de la entidad que ocupó el primer lugar, Zacatecas (73.9%). </w:t>
      </w:r>
    </w:p>
    <w:p w14:paraId="5C3A9816" w14:textId="77777777" w:rsidR="00DF5DAD" w:rsidRPr="00DF5DAD" w:rsidRDefault="00DF5DAD" w:rsidP="00DF5DAD">
      <w:pPr>
        <w:spacing w:before="102" w:line="360" w:lineRule="auto"/>
        <w:ind w:firstLine="708"/>
        <w:jc w:val="both"/>
        <w:rPr>
          <w:rFonts w:ascii="Century Gothic" w:hAnsi="Century Gothic"/>
          <w:color w:val="000000" w:themeColor="text1"/>
          <w:sz w:val="22"/>
          <w:szCs w:val="22"/>
        </w:rPr>
      </w:pPr>
      <w:r w:rsidRPr="00DF5DAD">
        <w:rPr>
          <w:rFonts w:ascii="Century Gothic" w:hAnsi="Century Gothic"/>
          <w:color w:val="000000" w:themeColor="text1"/>
          <w:sz w:val="22"/>
          <w:szCs w:val="22"/>
        </w:rPr>
        <w:t>El Estado de México ocupa el lugar décimo tercero con la mayor tasa de incidencia de actos de corrupción por cada cien mil habitantes (25.8% de la población de 18 años y más que tuvo contacto con algún acto de corrupción).</w:t>
      </w:r>
    </w:p>
    <w:p w14:paraId="4EE976C8" w14:textId="77777777" w:rsidR="00DF5DAD" w:rsidRPr="00DF5DAD" w:rsidRDefault="00DF5DAD" w:rsidP="00DF5DAD">
      <w:pPr>
        <w:spacing w:before="102" w:line="360" w:lineRule="auto"/>
        <w:ind w:firstLine="708"/>
        <w:jc w:val="both"/>
        <w:rPr>
          <w:rFonts w:ascii="Century Gothic" w:hAnsi="Century Gothic"/>
          <w:sz w:val="22"/>
          <w:szCs w:val="22"/>
        </w:rPr>
      </w:pPr>
      <w:r w:rsidRPr="00DF5DAD">
        <w:rPr>
          <w:rFonts w:ascii="Century Gothic" w:hAnsi="Century Gothic"/>
          <w:color w:val="000000" w:themeColor="text1"/>
          <w:sz w:val="22"/>
          <w:szCs w:val="22"/>
        </w:rPr>
        <w:t xml:space="preserve">Los Sistemas Municipales Anticorrupción son la instancia de coordinación y coadyuvancia con el Sistema Estatal Anticorrupción, que concurrentemente </w:t>
      </w:r>
      <w:r w:rsidRPr="00DF5DAD">
        <w:rPr>
          <w:rFonts w:ascii="Century Gothic" w:hAnsi="Century Gothic"/>
          <w:color w:val="000000" w:themeColor="text1"/>
          <w:sz w:val="22"/>
          <w:szCs w:val="22"/>
        </w:rPr>
        <w:lastRenderedPageBreak/>
        <w:t>tienen por objeto establecer principios, bases generales, políticas públicas, acciones y procedimientos en la prevención, detección y sanción de faltas administrativas, actos y hechos de corrupción; así como coadyuvar con las autoridades competentes en la fiscalización y control de recursos públicos en el ámbito municipal. Cabe destacar que el Estado de México es la única entidad federativa que obliga a cada uno de sus 125 municipios a contar con un Sistema Municipal Anticorrupción. De los municipios que integran la Zona V: Valle de México, los 23 cuentan con evidencia que acredita la implementación del Sistema Municipal Anticorrupción.</w:t>
      </w:r>
      <w:r w:rsidRPr="00DF5DAD">
        <w:rPr>
          <w:rFonts w:ascii="Century Gothic" w:hAnsi="Century Gothic"/>
          <w:sz w:val="22"/>
          <w:szCs w:val="22"/>
        </w:rPr>
        <w:t xml:space="preserve"> </w:t>
      </w:r>
    </w:p>
    <w:p w14:paraId="5BCCD559" w14:textId="77777777" w:rsidR="00DF5DAD" w:rsidRPr="00DF5DAD" w:rsidRDefault="00DF5DAD" w:rsidP="00DF5DAD">
      <w:pPr>
        <w:spacing w:before="102" w:line="360" w:lineRule="auto"/>
        <w:jc w:val="both"/>
        <w:rPr>
          <w:rFonts w:ascii="Century Gothic" w:hAnsi="Century Gothic"/>
          <w:b/>
          <w:color w:val="025850"/>
          <w:sz w:val="22"/>
          <w:szCs w:val="22"/>
        </w:rPr>
      </w:pPr>
      <w:r w:rsidRPr="00DF5DAD">
        <w:rPr>
          <w:rFonts w:ascii="Century Gothic" w:hAnsi="Century Gothic"/>
          <w:b/>
          <w:color w:val="025850"/>
          <w:sz w:val="22"/>
          <w:szCs w:val="22"/>
        </w:rPr>
        <w:t>Transparencia y rendición de cuentas</w:t>
      </w:r>
    </w:p>
    <w:p w14:paraId="1234EF58" w14:textId="622C2E40" w:rsidR="00DF5DAD" w:rsidRDefault="00DF5DAD" w:rsidP="00DF5DAD">
      <w:pPr>
        <w:spacing w:before="102" w:line="360" w:lineRule="auto"/>
        <w:ind w:firstLine="708"/>
        <w:jc w:val="both"/>
        <w:rPr>
          <w:rFonts w:ascii="Century Gothic" w:hAnsi="Century Gothic"/>
          <w:b/>
          <w:color w:val="FF0000"/>
          <w:sz w:val="22"/>
          <w:szCs w:val="22"/>
        </w:rPr>
      </w:pPr>
      <w:r w:rsidRPr="00DF5DAD">
        <w:rPr>
          <w:rFonts w:ascii="Century Gothic" w:hAnsi="Century Gothic"/>
          <w:color w:val="000000" w:themeColor="text1"/>
          <w:sz w:val="22"/>
          <w:szCs w:val="22"/>
        </w:rPr>
        <w:t xml:space="preserve">En el periodo del 2017 al 2023, el INFOEM informó que se recibieron 237,913 solicitudes de acceso a la información relacionadas a los 125 municipios del Estado de México. El 2022 fue el año que contó con más solicitudes de acceso a la información, con 58,530, seguido del 2019 con 42,790 solicitudes. Durante ese mismo periodo, el INFOEM identificó que se recibieron 50,344 solicitudes de información relacionados a los </w:t>
      </w:r>
      <w:r w:rsidRPr="00DF5DAD">
        <w:rPr>
          <w:rFonts w:ascii="Century Gothic" w:hAnsi="Century Gothic"/>
          <w:color w:val="000000" w:themeColor="text1"/>
          <w:sz w:val="22"/>
          <w:szCs w:val="22"/>
        </w:rPr>
        <w:t>municipios de la Zona V: Valle de Toluca del Estado de México, siendo el 2022 el más representativo con 14,111 solicitudes.</w:t>
      </w:r>
      <w:r w:rsidRPr="00DF5DAD">
        <w:rPr>
          <w:rFonts w:ascii="Century Gothic" w:hAnsi="Century Gothic"/>
          <w:b/>
          <w:color w:val="FF0000"/>
          <w:sz w:val="22"/>
          <w:szCs w:val="22"/>
        </w:rPr>
        <w:t xml:space="preserve"> </w:t>
      </w:r>
    </w:p>
    <w:p w14:paraId="4CB1A2DF" w14:textId="30E28707" w:rsidR="00DF5DAD" w:rsidRPr="00DF5DAD" w:rsidRDefault="00DF5DAD" w:rsidP="00DF5DAD">
      <w:pPr>
        <w:spacing w:before="102" w:line="360" w:lineRule="auto"/>
        <w:jc w:val="both"/>
        <w:rPr>
          <w:rFonts w:ascii="Century Gothic" w:hAnsi="Century Gothic"/>
          <w:b/>
          <w:color w:val="025850"/>
          <w:sz w:val="22"/>
          <w:szCs w:val="22"/>
        </w:rPr>
      </w:pPr>
      <w:r w:rsidRPr="00DF5DAD">
        <w:rPr>
          <w:rFonts w:ascii="Century Gothic" w:hAnsi="Century Gothic"/>
          <w:b/>
          <w:color w:val="025850"/>
          <w:sz w:val="22"/>
          <w:szCs w:val="22"/>
        </w:rPr>
        <w:t xml:space="preserve">Eje 2. Bienestar </w:t>
      </w:r>
      <w:r>
        <w:rPr>
          <w:rFonts w:ascii="Century Gothic" w:hAnsi="Century Gothic"/>
          <w:b/>
          <w:color w:val="025850"/>
          <w:sz w:val="22"/>
          <w:szCs w:val="22"/>
        </w:rPr>
        <w:t>A</w:t>
      </w:r>
      <w:r w:rsidRPr="00DF5DAD">
        <w:rPr>
          <w:rFonts w:ascii="Century Gothic" w:hAnsi="Century Gothic"/>
          <w:b/>
          <w:color w:val="025850"/>
          <w:sz w:val="22"/>
          <w:szCs w:val="22"/>
        </w:rPr>
        <w:t xml:space="preserve">mbiental y </w:t>
      </w:r>
      <w:r>
        <w:rPr>
          <w:rFonts w:ascii="Century Gothic" w:hAnsi="Century Gothic"/>
          <w:b/>
          <w:color w:val="025850"/>
          <w:sz w:val="22"/>
          <w:szCs w:val="22"/>
        </w:rPr>
        <w:t>A</w:t>
      </w:r>
      <w:r w:rsidRPr="00DF5DAD">
        <w:rPr>
          <w:rFonts w:ascii="Century Gothic" w:hAnsi="Century Gothic"/>
          <w:b/>
          <w:color w:val="025850"/>
          <w:sz w:val="22"/>
          <w:szCs w:val="22"/>
        </w:rPr>
        <w:t xml:space="preserve">cceso </w:t>
      </w:r>
      <w:r>
        <w:rPr>
          <w:rFonts w:ascii="Century Gothic" w:hAnsi="Century Gothic"/>
          <w:b/>
          <w:color w:val="025850"/>
          <w:sz w:val="22"/>
          <w:szCs w:val="22"/>
        </w:rPr>
        <w:t>U</w:t>
      </w:r>
      <w:r w:rsidRPr="00DF5DAD">
        <w:rPr>
          <w:rFonts w:ascii="Century Gothic" w:hAnsi="Century Gothic"/>
          <w:b/>
          <w:color w:val="025850"/>
          <w:sz w:val="22"/>
          <w:szCs w:val="22"/>
        </w:rPr>
        <w:t xml:space="preserve">niversal al </w:t>
      </w:r>
      <w:r>
        <w:rPr>
          <w:rFonts w:ascii="Century Gothic" w:hAnsi="Century Gothic"/>
          <w:b/>
          <w:color w:val="025850"/>
          <w:sz w:val="22"/>
          <w:szCs w:val="22"/>
        </w:rPr>
        <w:t>A</w:t>
      </w:r>
      <w:r w:rsidRPr="00DF5DAD">
        <w:rPr>
          <w:rFonts w:ascii="Century Gothic" w:hAnsi="Century Gothic"/>
          <w:b/>
          <w:color w:val="025850"/>
          <w:sz w:val="22"/>
          <w:szCs w:val="22"/>
        </w:rPr>
        <w:t xml:space="preserve">gua. “Preservación y </w:t>
      </w:r>
      <w:r>
        <w:rPr>
          <w:rFonts w:ascii="Century Gothic" w:hAnsi="Century Gothic"/>
          <w:b/>
          <w:color w:val="025850"/>
          <w:sz w:val="22"/>
          <w:szCs w:val="22"/>
        </w:rPr>
        <w:t>P</w:t>
      </w:r>
      <w:r w:rsidRPr="00DF5DAD">
        <w:rPr>
          <w:rFonts w:ascii="Century Gothic" w:hAnsi="Century Gothic"/>
          <w:b/>
          <w:color w:val="025850"/>
          <w:sz w:val="22"/>
          <w:szCs w:val="22"/>
        </w:rPr>
        <w:t xml:space="preserve">romoción </w:t>
      </w:r>
      <w:r>
        <w:rPr>
          <w:rFonts w:ascii="Century Gothic" w:hAnsi="Century Gothic"/>
          <w:b/>
          <w:color w:val="025850"/>
          <w:sz w:val="22"/>
          <w:szCs w:val="22"/>
        </w:rPr>
        <w:t>E</w:t>
      </w:r>
      <w:r w:rsidRPr="00DF5DAD">
        <w:rPr>
          <w:rFonts w:ascii="Century Gothic" w:hAnsi="Century Gothic"/>
          <w:b/>
          <w:color w:val="025850"/>
          <w:sz w:val="22"/>
          <w:szCs w:val="22"/>
        </w:rPr>
        <w:t xml:space="preserve">cológica” </w:t>
      </w:r>
    </w:p>
    <w:p w14:paraId="12856A1D" w14:textId="77777777" w:rsidR="00DF5DAD" w:rsidRPr="00DF5DAD" w:rsidRDefault="00DF5DAD" w:rsidP="00DF5DAD">
      <w:pPr>
        <w:spacing w:before="102" w:line="360" w:lineRule="auto"/>
        <w:jc w:val="both"/>
        <w:rPr>
          <w:rFonts w:ascii="Century Gothic" w:hAnsi="Century Gothic"/>
          <w:b/>
          <w:color w:val="025850"/>
          <w:sz w:val="22"/>
          <w:szCs w:val="22"/>
        </w:rPr>
      </w:pPr>
      <w:r w:rsidRPr="00DF5DAD">
        <w:rPr>
          <w:rFonts w:ascii="Century Gothic" w:hAnsi="Century Gothic"/>
          <w:b/>
          <w:color w:val="025850"/>
          <w:sz w:val="22"/>
          <w:szCs w:val="22"/>
        </w:rPr>
        <w:t>Agua para todos</w:t>
      </w:r>
    </w:p>
    <w:p w14:paraId="180E9A81"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Actualmente, el Estado de México pasa por un grave problema con respecto al agua en general, específicamente en lo que se refiere al abastecimiento de agua potable, así como al tratamiento de aguas residuales. De acuerdo con datos del INEGI, la disponibilidad del vital líquido en el Estado de México es de 268 m3/</w:t>
      </w:r>
      <w:proofErr w:type="spellStart"/>
      <w:r w:rsidRPr="00DF5DAD">
        <w:rPr>
          <w:rFonts w:ascii="Century Gothic" w:hAnsi="Century Gothic"/>
          <w:bCs/>
          <w:color w:val="000000" w:themeColor="text1"/>
          <w:sz w:val="22"/>
          <w:szCs w:val="22"/>
        </w:rPr>
        <w:t>hab</w:t>
      </w:r>
      <w:proofErr w:type="spellEnd"/>
      <w:r w:rsidRPr="00DF5DAD">
        <w:rPr>
          <w:rFonts w:ascii="Century Gothic" w:hAnsi="Century Gothic"/>
          <w:bCs/>
          <w:color w:val="000000" w:themeColor="text1"/>
          <w:sz w:val="22"/>
          <w:szCs w:val="22"/>
        </w:rPr>
        <w:t>/año, mientras que la medida en el territorio nacional es de 549 m3/</w:t>
      </w:r>
      <w:proofErr w:type="spellStart"/>
      <w:r w:rsidRPr="00DF5DAD">
        <w:rPr>
          <w:rFonts w:ascii="Century Gothic" w:hAnsi="Century Gothic"/>
          <w:bCs/>
          <w:color w:val="000000" w:themeColor="text1"/>
          <w:sz w:val="22"/>
          <w:szCs w:val="22"/>
        </w:rPr>
        <w:t>hab</w:t>
      </w:r>
      <w:proofErr w:type="spellEnd"/>
      <w:r w:rsidRPr="00DF5DAD">
        <w:rPr>
          <w:rFonts w:ascii="Century Gothic" w:hAnsi="Century Gothic"/>
          <w:bCs/>
          <w:color w:val="000000" w:themeColor="text1"/>
          <w:sz w:val="22"/>
          <w:szCs w:val="22"/>
        </w:rPr>
        <w:t xml:space="preserve">/año, lo que hace al Estado de México posicionarse en el penúltimo lugar nacional, solamente superado por la Ciudad de México. (INEGI, 2019). </w:t>
      </w:r>
    </w:p>
    <w:p w14:paraId="034A1804"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En el Estado de México se cuentan con 1,728 obras de toma de agua para abastecimiento público, de las cuales 222 pertenecen a la Zona V: Valle de Toluca, representando el 12.84% de las obras totales del Estado. </w:t>
      </w:r>
    </w:p>
    <w:p w14:paraId="4C87FA10" w14:textId="77777777" w:rsidR="00DF5DAD" w:rsidRPr="00DF5DAD" w:rsidRDefault="00DF5DAD" w:rsidP="00DF5DAD">
      <w:pPr>
        <w:spacing w:before="102" w:line="360" w:lineRule="auto"/>
        <w:ind w:firstLine="708"/>
        <w:jc w:val="both"/>
        <w:rPr>
          <w:rFonts w:ascii="Century Gothic" w:hAnsi="Century Gothic"/>
          <w:sz w:val="22"/>
          <w:szCs w:val="22"/>
        </w:rPr>
      </w:pPr>
      <w:r w:rsidRPr="00DF5DAD">
        <w:rPr>
          <w:rFonts w:ascii="Century Gothic" w:hAnsi="Century Gothic"/>
          <w:bCs/>
          <w:color w:val="000000" w:themeColor="text1"/>
          <w:sz w:val="22"/>
          <w:szCs w:val="22"/>
        </w:rPr>
        <w:lastRenderedPageBreak/>
        <w:t>De estas obras, 199 pertenecen a la Región 14: Toluca, que equivalen al 11.5% de las obras estatales totales, de las cuales 5 son manantiales, lo que hace que sea la principal fuente con un 2.5% de las obras de aguas totales para esta región y el 1.3% de los manantiales totales de la entidad. Por otra parte, 112 obras pertenecen a la Región 10: Nicolás Romero, representado el 31.5% de las obras totales, de los cuales 39 son manantiales, lo que representa la principal fuente con un 78% de las obras de aguas totales para la región y el 10.4% de los manantiales totales del Estado de México. También, en la Zona V: Valle de Toluca se concentran el 13.4% de los manantiales totales; sin embargo, en alas regiones de la Zona el agua es cada vez más escasa para los habitantes.</w:t>
      </w:r>
      <w:r w:rsidRPr="00DF5DAD">
        <w:rPr>
          <w:rFonts w:ascii="Century Gothic" w:hAnsi="Century Gothic"/>
          <w:sz w:val="22"/>
          <w:szCs w:val="22"/>
        </w:rPr>
        <w:t xml:space="preserve"> </w:t>
      </w:r>
    </w:p>
    <w:p w14:paraId="179122E4"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En la Región 14: Toluca, se enfrenta el desafío de gestionar de manera sostenible los recursos hídricos, prevenir la contaminación, y abordar la susceptibilidad a variaciones estacionales debido a la dependencia de las lluvias para la recarga de presas y mantos acuíferos locales. Por su parte, la Región 10: Nicolás Romero tiene una infraestructura de suministro y tratamiento de agua </w:t>
      </w:r>
      <w:r w:rsidRPr="00DF5DAD">
        <w:rPr>
          <w:rFonts w:ascii="Century Gothic" w:hAnsi="Century Gothic"/>
          <w:bCs/>
          <w:color w:val="000000" w:themeColor="text1"/>
          <w:sz w:val="22"/>
          <w:szCs w:val="22"/>
        </w:rPr>
        <w:t>menos desarrollada en comparación con la Región 14: Toluca, lo que puede afectar la calidad y disponibilidad del agua potable para la población. Aunque enfrenta retos similares, suele hacerlo con recursos más limitados, lo que dificulta la gestión eficiente del agua, la mejora de la infraestructura, y la sensibilización sobre el uso responsable del recurso. Estos aspectos son clave para garantizar la provisión futura de agua potable en la región.</w:t>
      </w:r>
    </w:p>
    <w:p w14:paraId="377316EF" w14:textId="38E309D6" w:rsidR="00DF5DAD" w:rsidRPr="00DF5DAD" w:rsidRDefault="00DF5DAD" w:rsidP="00DF5DAD">
      <w:pPr>
        <w:spacing w:before="102" w:line="360" w:lineRule="auto"/>
        <w:jc w:val="both"/>
        <w:rPr>
          <w:rFonts w:ascii="Century Gothic" w:hAnsi="Century Gothic"/>
          <w:b/>
          <w:color w:val="025850"/>
          <w:sz w:val="22"/>
          <w:szCs w:val="22"/>
        </w:rPr>
      </w:pPr>
      <w:r w:rsidRPr="00DF5DAD">
        <w:rPr>
          <w:rFonts w:ascii="Century Gothic" w:hAnsi="Century Gothic"/>
          <w:b/>
          <w:color w:val="025850"/>
          <w:sz w:val="22"/>
          <w:szCs w:val="22"/>
        </w:rPr>
        <w:t xml:space="preserve">Restauración, conservación y mejora de los bosques y del medio ambiente </w:t>
      </w:r>
    </w:p>
    <w:p w14:paraId="5543963B"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El Estado de México, debido a su ubicación geográfica y la interacción de diversos factores como el gradiente altitudinal, la topografía, el relieve, las formaciones geográficas, los tipos de suelo y la diversidad climática, exhibe una notable heterogeneidad de condiciones ambientales y hábitats que sustentan una rica biodiversidad. </w:t>
      </w:r>
    </w:p>
    <w:p w14:paraId="1CE7333F"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Esta diversidad ha dado lugar a una amplia variedad de ecosistemas, cada uno de los cuales alberga una abundante biodiversidad de especies. Desde el </w:t>
      </w:r>
      <w:r w:rsidRPr="00DF5DAD">
        <w:rPr>
          <w:rFonts w:ascii="Century Gothic" w:hAnsi="Century Gothic"/>
          <w:bCs/>
          <w:color w:val="000000" w:themeColor="text1"/>
          <w:sz w:val="22"/>
          <w:szCs w:val="22"/>
        </w:rPr>
        <w:lastRenderedPageBreak/>
        <w:t xml:space="preserve">centro hasta el norte de la entidad, donde prevalecen los climas templados y fríos, se encuentra la región neártica; y en el suroeste, donde predominan los climas cálidos, se manifiesta la región neotropical. </w:t>
      </w:r>
    </w:p>
    <w:p w14:paraId="6CA5BB3F"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Esta combinación de factores contribuye a la singularidad y riqueza biológica del Estado de México. La protección activa de los ecosistemas es crucial, especialmente considerando la convergencia de las regiones Neártica y Neotropical en el territorio estatal. Esta convergencia facilita el intercambio de especies entre ambas regiones, promoviendo la aparición de nuevas variantes de ecosistemas terrestres y la formación de combinaciones únicas de especies vegetales, volviendo al Estado de México una región de vital importancia para la conservación de la naturaleza (PROBOSQUE, 2022). </w:t>
      </w:r>
    </w:p>
    <w:p w14:paraId="2D0D450B"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Según datos de PROBOSQUE, el Estado de México cuenta con una superficie forestal de 1,080,374.90 hectáreas, lo que representa aproximadamente el 49% de su área total, situándolo como la entidad federativa con la mayor extensión forestal a nivel nacional. Los municipios que sobresalen por su contribución a esta </w:t>
      </w:r>
      <w:r w:rsidRPr="00DF5DAD">
        <w:rPr>
          <w:rFonts w:ascii="Century Gothic" w:hAnsi="Century Gothic"/>
          <w:bCs/>
          <w:color w:val="000000" w:themeColor="text1"/>
          <w:sz w:val="22"/>
          <w:szCs w:val="22"/>
        </w:rPr>
        <w:t xml:space="preserve">vasta extensión forestal incluyen: Tlatlaya, Luvianos, Amatepec, Tejupilco, Sultepec, Temascaltepec, Ocuilan, Valle de Bravo, Zacualpan, Texcoco, Villa del Carbón, Ixtapaluca, San José del Rincón, Chapa de Mota y Zumpahuacán, que en conjunto suman 543,795 hectáreas, equivalente al 50% de la superficie forestal estatal. </w:t>
      </w:r>
    </w:p>
    <w:p w14:paraId="711E72DC" w14:textId="77777777" w:rsidR="00DF5DAD" w:rsidRPr="00DF5DAD" w:rsidRDefault="00DF5DAD" w:rsidP="00DF5DAD">
      <w:pPr>
        <w:spacing w:before="102" w:line="360" w:lineRule="auto"/>
        <w:ind w:firstLine="708"/>
        <w:jc w:val="both"/>
        <w:rPr>
          <w:rFonts w:ascii="Century Gothic" w:hAnsi="Century Gothic"/>
          <w:bCs/>
          <w:color w:val="000000" w:themeColor="text1"/>
          <w:sz w:val="22"/>
          <w:szCs w:val="22"/>
        </w:rPr>
      </w:pPr>
      <w:r w:rsidRPr="00DF5DAD">
        <w:rPr>
          <w:rFonts w:ascii="Century Gothic" w:hAnsi="Century Gothic"/>
          <w:bCs/>
          <w:color w:val="000000" w:themeColor="text1"/>
          <w:sz w:val="22"/>
          <w:szCs w:val="22"/>
        </w:rPr>
        <w:t xml:space="preserve">El 32% de la superficie forestal del Estado está compuesto por una variada vegetación, que incluye bosques de encino, pino, pino-encino y selva baja caducifolia. Asimismo, el 15% de las cinco mil especies de fauna a nivel nacional encuentran refugio en los diversos ecosistemas del Estado de México, lo que abarca 18 especies de peces dulces acuícolas, 51 de anfibios, 93 de reptiles, 457 de aves y 125 de mamíferos. Sin embargo, la entidad enfrenta diversas amenazas que ponen en peligro tanto los ecosistemas como la biodiversidad, entre las que se destacan el crecimiento urbano descontrolado, actividades económicas no reguladas, la tala ilegal e incendios forestales, entre otros. Como consecuencia directa de esta situación, varias especies </w:t>
      </w:r>
      <w:r w:rsidRPr="00DF5DAD">
        <w:rPr>
          <w:rFonts w:ascii="Century Gothic" w:hAnsi="Century Gothic"/>
          <w:bCs/>
          <w:color w:val="000000" w:themeColor="text1"/>
          <w:sz w:val="22"/>
          <w:szCs w:val="22"/>
        </w:rPr>
        <w:lastRenderedPageBreak/>
        <w:t>en la región se encuentran en peligro de extinción debido a la degradación y pérdida de sus hábitats naturales.</w:t>
      </w:r>
    </w:p>
    <w:p w14:paraId="2E17AE6B" w14:textId="78FD1754" w:rsidR="00DF5DAD" w:rsidRPr="00DF5DAD" w:rsidRDefault="00DF5DAD" w:rsidP="00DF5DAD">
      <w:pPr>
        <w:spacing w:before="102" w:line="360" w:lineRule="auto"/>
        <w:jc w:val="both"/>
        <w:rPr>
          <w:rFonts w:ascii="Century Gothic" w:hAnsi="Century Gothic"/>
          <w:b/>
          <w:bCs/>
          <w:color w:val="025850"/>
          <w:sz w:val="22"/>
          <w:szCs w:val="22"/>
        </w:rPr>
      </w:pPr>
      <w:r w:rsidRPr="00DF5DAD">
        <w:rPr>
          <w:rFonts w:ascii="Century Gothic" w:hAnsi="Century Gothic"/>
          <w:b/>
          <w:bCs/>
          <w:color w:val="025850"/>
          <w:sz w:val="22"/>
          <w:szCs w:val="22"/>
        </w:rPr>
        <w:t xml:space="preserve">Protección Animal </w:t>
      </w:r>
    </w:p>
    <w:p w14:paraId="5D8AF797" w14:textId="77777777" w:rsidR="00DF5DAD" w:rsidRPr="00DF5DAD" w:rsidRDefault="00DF5DAD" w:rsidP="00DF5DAD">
      <w:pPr>
        <w:spacing w:before="102" w:line="360" w:lineRule="auto"/>
        <w:ind w:firstLine="708"/>
        <w:jc w:val="both"/>
        <w:rPr>
          <w:rFonts w:ascii="Century Gothic" w:hAnsi="Century Gothic"/>
          <w:sz w:val="22"/>
          <w:szCs w:val="22"/>
        </w:rPr>
      </w:pPr>
      <w:r w:rsidRPr="00DF5DAD">
        <w:rPr>
          <w:rFonts w:ascii="Century Gothic" w:hAnsi="Century Gothic"/>
          <w:sz w:val="22"/>
          <w:szCs w:val="22"/>
        </w:rPr>
        <w:t xml:space="preserve">México se destaca como uno de los cinco países más importantes del mundo en términos de diversidad biológica, hospedando un amplio conjunto de animales, plantas y microorganismos silvestres. Aunque el Estado de México representa solo aproximadamente el 1% del territorio nacional, posee una riqueza biológica extraordinaria. </w:t>
      </w:r>
    </w:p>
    <w:p w14:paraId="374948F4" w14:textId="77777777" w:rsidR="00DF5DAD" w:rsidRPr="00DF5DAD" w:rsidRDefault="00DF5DAD" w:rsidP="00DF5DAD">
      <w:pPr>
        <w:spacing w:before="102" w:line="360" w:lineRule="auto"/>
        <w:ind w:firstLine="708"/>
        <w:jc w:val="both"/>
        <w:rPr>
          <w:rFonts w:ascii="Century Gothic" w:hAnsi="Century Gothic"/>
          <w:sz w:val="22"/>
          <w:szCs w:val="22"/>
        </w:rPr>
      </w:pPr>
      <w:r w:rsidRPr="00DF5DAD">
        <w:rPr>
          <w:rFonts w:ascii="Century Gothic" w:hAnsi="Century Gothic"/>
          <w:sz w:val="22"/>
          <w:szCs w:val="22"/>
        </w:rPr>
        <w:t xml:space="preserve">En sus ecosistemas naturales habitan más de 750 especies de vertebrados y miles de invertebrados y plantas. En las selvas y bosques mexiquenses, es posible avistar venados cola blanca, pecaríes de collar e incluso al esquivo jaguar. Esta diversidad natural del Estado de México se debe a su privilegiada posición geográfica, que combina elementos de origen templado y tropical, contando con una extensa red de áreas naturales protegidas, incluyendo el Nevado de Toluca, los volcanes Popocatépetl e Iztaccíhuatl, las ciénegas de Lerma y las áreas ocupadas por la mariposa monarca. Estas reservas </w:t>
      </w:r>
      <w:r w:rsidRPr="00DF5DAD">
        <w:rPr>
          <w:rFonts w:ascii="Century Gothic" w:hAnsi="Century Gothic"/>
          <w:sz w:val="22"/>
          <w:szCs w:val="22"/>
        </w:rPr>
        <w:t xml:space="preserve">naturales no solo protegen la biodiversidad, sino que también proporcionan valiosos servicios ambientales, como agua de alta calidad y aire limpio. </w:t>
      </w:r>
    </w:p>
    <w:p w14:paraId="09726D89" w14:textId="2074E163" w:rsidR="00DF5DAD" w:rsidRPr="00DF5DAD" w:rsidRDefault="00DF5DAD" w:rsidP="00DF5DAD">
      <w:pPr>
        <w:spacing w:before="102" w:line="360" w:lineRule="auto"/>
        <w:ind w:firstLine="708"/>
        <w:jc w:val="both"/>
        <w:rPr>
          <w:rFonts w:ascii="Century Gothic" w:hAnsi="Century Gothic"/>
          <w:b/>
          <w:bCs/>
          <w:color w:val="FF0000"/>
          <w:sz w:val="32"/>
          <w:szCs w:val="32"/>
        </w:rPr>
      </w:pPr>
      <w:r w:rsidRPr="00DF5DAD">
        <w:rPr>
          <w:rFonts w:ascii="Century Gothic" w:hAnsi="Century Gothic"/>
          <w:sz w:val="22"/>
          <w:szCs w:val="22"/>
        </w:rPr>
        <w:t>Dada la alta cantidad de mascotas en el Estado de México, es crucial establecer y mantener centros de bienestar para animales de compañía, proporcionado atención médica y refugio a los animales necesitados, así como promover la educación sobre el cuidado responsable de las mascotas. En zonas rurales como la Zona V: Valle de Toluca, donde la tenencia de mascotas es más común, estos centros pueden desempeñar un papel vital en la mejora de la calidad de vida, tanto de los animales, como de sus dueños, fomentando una convivencia armoniosa y saludable.</w:t>
      </w:r>
    </w:p>
    <w:p w14:paraId="1E6BF8DA" w14:textId="13079642" w:rsidR="00DF5DAD" w:rsidRPr="00DF5DAD" w:rsidRDefault="00DF5DAD" w:rsidP="00DF5DAD">
      <w:pPr>
        <w:spacing w:before="102" w:line="360" w:lineRule="auto"/>
        <w:jc w:val="both"/>
        <w:rPr>
          <w:rFonts w:ascii="Century Gothic" w:hAnsi="Century Gothic"/>
          <w:b/>
          <w:bCs/>
          <w:color w:val="025850"/>
          <w:sz w:val="22"/>
          <w:szCs w:val="22"/>
        </w:rPr>
      </w:pPr>
      <w:r w:rsidRPr="00DF5DAD">
        <w:rPr>
          <w:rFonts w:ascii="Century Gothic" w:hAnsi="Century Gothic"/>
          <w:b/>
          <w:bCs/>
          <w:color w:val="025850"/>
          <w:sz w:val="22"/>
          <w:szCs w:val="22"/>
        </w:rPr>
        <w:t xml:space="preserve">Eje 3. Empleo </w:t>
      </w:r>
      <w:r>
        <w:rPr>
          <w:rFonts w:ascii="Century Gothic" w:hAnsi="Century Gothic"/>
          <w:b/>
          <w:bCs/>
          <w:color w:val="025850"/>
          <w:sz w:val="22"/>
          <w:szCs w:val="22"/>
        </w:rPr>
        <w:t>D</w:t>
      </w:r>
      <w:r w:rsidRPr="00DF5DAD">
        <w:rPr>
          <w:rFonts w:ascii="Century Gothic" w:hAnsi="Century Gothic"/>
          <w:b/>
          <w:bCs/>
          <w:color w:val="025850"/>
          <w:sz w:val="22"/>
          <w:szCs w:val="22"/>
        </w:rPr>
        <w:t xml:space="preserve">igno y </w:t>
      </w:r>
      <w:r>
        <w:rPr>
          <w:rFonts w:ascii="Century Gothic" w:hAnsi="Century Gothic"/>
          <w:b/>
          <w:bCs/>
          <w:color w:val="025850"/>
          <w:sz w:val="22"/>
          <w:szCs w:val="22"/>
        </w:rPr>
        <w:t>D</w:t>
      </w:r>
      <w:r w:rsidRPr="00DF5DAD">
        <w:rPr>
          <w:rFonts w:ascii="Century Gothic" w:hAnsi="Century Gothic"/>
          <w:b/>
          <w:bCs/>
          <w:color w:val="025850"/>
          <w:sz w:val="22"/>
          <w:szCs w:val="22"/>
        </w:rPr>
        <w:t xml:space="preserve">esarrollo </w:t>
      </w:r>
      <w:r>
        <w:rPr>
          <w:rFonts w:ascii="Century Gothic" w:hAnsi="Century Gothic"/>
          <w:b/>
          <w:bCs/>
          <w:color w:val="025850"/>
          <w:sz w:val="22"/>
          <w:szCs w:val="22"/>
        </w:rPr>
        <w:t>E</w:t>
      </w:r>
      <w:r w:rsidRPr="00DF5DAD">
        <w:rPr>
          <w:rFonts w:ascii="Century Gothic" w:hAnsi="Century Gothic"/>
          <w:b/>
          <w:bCs/>
          <w:color w:val="025850"/>
          <w:sz w:val="22"/>
          <w:szCs w:val="22"/>
        </w:rPr>
        <w:t xml:space="preserve">conómico. “Inclusión para el </w:t>
      </w:r>
      <w:r>
        <w:rPr>
          <w:rFonts w:ascii="Century Gothic" w:hAnsi="Century Gothic"/>
          <w:b/>
          <w:bCs/>
          <w:color w:val="025850"/>
          <w:sz w:val="22"/>
          <w:szCs w:val="22"/>
        </w:rPr>
        <w:t>B</w:t>
      </w:r>
      <w:r w:rsidRPr="00DF5DAD">
        <w:rPr>
          <w:rFonts w:ascii="Century Gothic" w:hAnsi="Century Gothic"/>
          <w:b/>
          <w:bCs/>
          <w:color w:val="025850"/>
          <w:sz w:val="22"/>
          <w:szCs w:val="22"/>
        </w:rPr>
        <w:t xml:space="preserve">ienestar y la </w:t>
      </w:r>
      <w:r>
        <w:rPr>
          <w:rFonts w:ascii="Century Gothic" w:hAnsi="Century Gothic"/>
          <w:b/>
          <w:bCs/>
          <w:color w:val="025850"/>
          <w:sz w:val="22"/>
          <w:szCs w:val="22"/>
        </w:rPr>
        <w:t>P</w:t>
      </w:r>
      <w:r w:rsidRPr="00DF5DAD">
        <w:rPr>
          <w:rFonts w:ascii="Century Gothic" w:hAnsi="Century Gothic"/>
          <w:b/>
          <w:bCs/>
          <w:color w:val="025850"/>
          <w:sz w:val="22"/>
          <w:szCs w:val="22"/>
        </w:rPr>
        <w:t xml:space="preserve">rosperidad” </w:t>
      </w:r>
    </w:p>
    <w:p w14:paraId="5AE8CE53" w14:textId="306FE20D" w:rsidR="00DF5DAD" w:rsidRPr="00DF5DAD" w:rsidRDefault="00DF5DAD" w:rsidP="00DF5DAD">
      <w:pPr>
        <w:spacing w:before="102" w:line="360" w:lineRule="auto"/>
        <w:jc w:val="both"/>
        <w:rPr>
          <w:rFonts w:ascii="Century Gothic" w:hAnsi="Century Gothic"/>
          <w:b/>
          <w:bCs/>
          <w:color w:val="025850"/>
          <w:sz w:val="22"/>
          <w:szCs w:val="22"/>
        </w:rPr>
      </w:pPr>
      <w:r w:rsidRPr="00DF5DAD">
        <w:rPr>
          <w:rFonts w:ascii="Century Gothic" w:hAnsi="Century Gothic"/>
          <w:b/>
          <w:bCs/>
          <w:color w:val="025850"/>
          <w:sz w:val="22"/>
          <w:szCs w:val="22"/>
        </w:rPr>
        <w:t>Empleo digno y desarrollo económico</w:t>
      </w:r>
    </w:p>
    <w:p w14:paraId="30401C3F" w14:textId="77777777" w:rsidR="00DF5DAD" w:rsidRPr="00DF5DAD" w:rsidRDefault="00DF5DAD" w:rsidP="00DF5DAD">
      <w:pPr>
        <w:spacing w:before="102" w:line="360" w:lineRule="auto"/>
        <w:ind w:firstLine="708"/>
        <w:jc w:val="both"/>
        <w:rPr>
          <w:rFonts w:ascii="Century Gothic" w:hAnsi="Century Gothic"/>
          <w:sz w:val="22"/>
          <w:szCs w:val="22"/>
        </w:rPr>
      </w:pPr>
      <w:r w:rsidRPr="00DF5DAD">
        <w:rPr>
          <w:rFonts w:ascii="Century Gothic" w:hAnsi="Century Gothic"/>
          <w:color w:val="000000" w:themeColor="text1"/>
          <w:sz w:val="22"/>
          <w:szCs w:val="22"/>
        </w:rPr>
        <w:t xml:space="preserve">En 2022, la Zona V: Valle de Toluca contribuyó con 21.4% al agregado de la actividad económica del Estado de México, posicionándose como la segunda zona con mayor aportación. En el periodo 2017-2022, la Zona V: </w:t>
      </w:r>
      <w:r w:rsidRPr="00DF5DAD">
        <w:rPr>
          <w:rFonts w:ascii="Century Gothic" w:hAnsi="Century Gothic"/>
          <w:color w:val="000000" w:themeColor="text1"/>
          <w:sz w:val="22"/>
          <w:szCs w:val="22"/>
        </w:rPr>
        <w:lastRenderedPageBreak/>
        <w:t>Valle de Toluca experimentó un decrecimiento promedio anual en su actividad económica de -0.2%. La Región 10: Nicolás Romero contribuyó, en 2022, con el 5.5% de la actividad económica de la Zona, mientras que el 74.6% lo aportó la Región 14: Toluca y el 19.8% restante fue de la Región 16: Lerma. En el periodo 2017-2022, la Región 10 tuvo un decrecimiento promedio anual de la actividad económica de 0.8%; en cambio, la Región 16 registró un decrecimiento de -0.5%.</w:t>
      </w:r>
      <w:r w:rsidRPr="00DF5DAD">
        <w:rPr>
          <w:rFonts w:ascii="Century Gothic" w:hAnsi="Century Gothic"/>
          <w:sz w:val="22"/>
          <w:szCs w:val="22"/>
        </w:rPr>
        <w:t xml:space="preserve"> </w:t>
      </w:r>
    </w:p>
    <w:p w14:paraId="26886B6A" w14:textId="77777777" w:rsidR="00DF5DAD" w:rsidRPr="00DF5DAD" w:rsidRDefault="00DF5DAD" w:rsidP="00DF5DAD">
      <w:pPr>
        <w:spacing w:before="102" w:line="360" w:lineRule="auto"/>
        <w:ind w:firstLine="708"/>
        <w:jc w:val="both"/>
        <w:rPr>
          <w:rFonts w:ascii="Century Gothic" w:hAnsi="Century Gothic"/>
          <w:sz w:val="22"/>
          <w:szCs w:val="22"/>
        </w:rPr>
      </w:pPr>
      <w:r w:rsidRPr="00DF5DAD">
        <w:rPr>
          <w:rFonts w:ascii="Century Gothic" w:hAnsi="Century Gothic"/>
          <w:color w:val="000000" w:themeColor="text1"/>
          <w:sz w:val="22"/>
          <w:szCs w:val="22"/>
        </w:rPr>
        <w:t>En cuanto a los municipios que conforman a la Región 10, Nicolás Romero tuvo la mayor aportación a la actividad económica con un 49.7% del total; por el contrario, Isidro Fabela participó solo con 0.7%. En la Región 14, la mayor participación fue de Toluca con el 69.1% y la menor de participación la tiene Mexicaltzingo y Almoloya del Río con el 0.1%%. En el caso de la Región 16 Lerma la mayor participación fue para el municipio de Lerma con 56.3% y los municipios con la menor participación fueron Texcalyacac y Chapultepec con 0.2%.</w:t>
      </w:r>
      <w:r w:rsidRPr="00DF5DAD">
        <w:rPr>
          <w:rFonts w:ascii="Century Gothic" w:hAnsi="Century Gothic"/>
          <w:sz w:val="22"/>
          <w:szCs w:val="22"/>
        </w:rPr>
        <w:t xml:space="preserve"> </w:t>
      </w:r>
    </w:p>
    <w:p w14:paraId="7A0BB6EC" w14:textId="629E7478" w:rsidR="00282B40" w:rsidRDefault="00DF5DAD" w:rsidP="00B30646">
      <w:pPr>
        <w:spacing w:before="102" w:line="360" w:lineRule="auto"/>
        <w:ind w:firstLine="708"/>
        <w:jc w:val="both"/>
        <w:rPr>
          <w:rFonts w:ascii="Century Gothic" w:hAnsi="Century Gothic"/>
          <w:color w:val="000000" w:themeColor="text1"/>
          <w:sz w:val="22"/>
          <w:szCs w:val="22"/>
        </w:rPr>
      </w:pPr>
      <w:r w:rsidRPr="00DF5DAD">
        <w:rPr>
          <w:rFonts w:ascii="Century Gothic" w:hAnsi="Century Gothic"/>
          <w:color w:val="000000" w:themeColor="text1"/>
          <w:sz w:val="22"/>
          <w:szCs w:val="22"/>
        </w:rPr>
        <w:t xml:space="preserve">La Región 14: Toluca promedió un nivel de población ocupada de 97.0%. Mexicaltzingo fue el </w:t>
      </w:r>
      <w:r w:rsidRPr="00DF5DAD">
        <w:rPr>
          <w:rFonts w:ascii="Century Gothic" w:hAnsi="Century Gothic"/>
          <w:color w:val="000000" w:themeColor="text1"/>
          <w:sz w:val="22"/>
          <w:szCs w:val="22"/>
        </w:rPr>
        <w:t>municipio con el porcentaje más alto, con un 99.2%; en contraste, Calimaya registró una tasa de 95.2%. La Región 16: Lerma obtuvo un promedio de 97.8%</w:t>
      </w:r>
      <w:r w:rsidR="00282B40">
        <w:rPr>
          <w:rFonts w:ascii="Century Gothic" w:hAnsi="Century Gothic"/>
          <w:color w:val="000000" w:themeColor="text1"/>
          <w:sz w:val="22"/>
          <w:szCs w:val="22"/>
        </w:rPr>
        <w:t xml:space="preserve"> </w:t>
      </w:r>
      <w:r w:rsidRPr="00DF5DAD">
        <w:rPr>
          <w:rFonts w:ascii="Century Gothic" w:hAnsi="Century Gothic"/>
          <w:color w:val="000000" w:themeColor="text1"/>
          <w:sz w:val="22"/>
          <w:szCs w:val="22"/>
        </w:rPr>
        <w:t>y San Antonio la Isla tiene el valor más bajo con 97.1%.</w:t>
      </w:r>
    </w:p>
    <w:p w14:paraId="6117A3BD" w14:textId="581630FD" w:rsidR="00282B40" w:rsidRPr="00282B40" w:rsidRDefault="00282B40" w:rsidP="00282B40">
      <w:pPr>
        <w:spacing w:after="0" w:line="240" w:lineRule="auto"/>
        <w:ind w:firstLine="708"/>
        <w:jc w:val="center"/>
        <w:rPr>
          <w:rFonts w:ascii="Century Gothic" w:hAnsi="Century Gothic"/>
          <w:b/>
          <w:bCs/>
          <w:color w:val="025850"/>
          <w:sz w:val="22"/>
          <w:szCs w:val="22"/>
        </w:rPr>
      </w:pPr>
      <w:r w:rsidRPr="00282B40">
        <w:rPr>
          <w:rFonts w:ascii="Century Gothic" w:hAnsi="Century Gothic"/>
          <w:b/>
          <w:bCs/>
          <w:color w:val="025850"/>
          <w:sz w:val="22"/>
          <w:szCs w:val="22"/>
        </w:rPr>
        <w:t>Población Ocupada, Primer trimestre Zona V, Valle de Toluca</w:t>
      </w:r>
    </w:p>
    <w:p w14:paraId="666247D4" w14:textId="77777777" w:rsidR="00282B40" w:rsidRPr="00282B40" w:rsidRDefault="00282B40" w:rsidP="00282B40">
      <w:pPr>
        <w:spacing w:after="0" w:line="240" w:lineRule="auto"/>
        <w:ind w:firstLine="708"/>
        <w:jc w:val="center"/>
        <w:rPr>
          <w:rFonts w:ascii="Century Gothic" w:hAnsi="Century Gothic"/>
          <w:b/>
          <w:bCs/>
          <w:color w:val="000000" w:themeColor="text1"/>
          <w:sz w:val="22"/>
          <w:szCs w:val="22"/>
        </w:rPr>
      </w:pPr>
    </w:p>
    <w:tbl>
      <w:tblPr>
        <w:tblStyle w:val="Tablaconcuadrcula4-nfasis2"/>
        <w:tblW w:w="6638" w:type="dxa"/>
        <w:tblLook w:val="04A0" w:firstRow="1" w:lastRow="0" w:firstColumn="1" w:lastColumn="0" w:noHBand="0" w:noVBand="1"/>
      </w:tblPr>
      <w:tblGrid>
        <w:gridCol w:w="1553"/>
        <w:gridCol w:w="780"/>
        <w:gridCol w:w="780"/>
        <w:gridCol w:w="780"/>
        <w:gridCol w:w="780"/>
        <w:gridCol w:w="780"/>
        <w:gridCol w:w="780"/>
        <w:gridCol w:w="780"/>
      </w:tblGrid>
      <w:tr w:rsidR="00282B40" w:rsidRPr="00282B40" w14:paraId="37402D26" w14:textId="77777777" w:rsidTr="00282B40">
        <w:trPr>
          <w:cnfStyle w:val="100000000000" w:firstRow="1" w:lastRow="0" w:firstColumn="0" w:lastColumn="0" w:oddVBand="0" w:evenVBand="0" w:oddHBand="0"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0" w:type="auto"/>
          </w:tcPr>
          <w:p w14:paraId="13712FE9"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Región 16: Lerma</w:t>
            </w:r>
          </w:p>
        </w:tc>
        <w:tc>
          <w:tcPr>
            <w:tcW w:w="0" w:type="auto"/>
          </w:tcPr>
          <w:p w14:paraId="7847B517"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96.5%</w:t>
            </w:r>
          </w:p>
        </w:tc>
        <w:tc>
          <w:tcPr>
            <w:tcW w:w="0" w:type="auto"/>
          </w:tcPr>
          <w:p w14:paraId="71FB1D14"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95.8%</w:t>
            </w:r>
          </w:p>
        </w:tc>
        <w:tc>
          <w:tcPr>
            <w:tcW w:w="0" w:type="auto"/>
          </w:tcPr>
          <w:p w14:paraId="49976D7E"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96.2%</w:t>
            </w:r>
          </w:p>
        </w:tc>
        <w:tc>
          <w:tcPr>
            <w:tcW w:w="0" w:type="auto"/>
          </w:tcPr>
          <w:p w14:paraId="515063E6"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95.2%</w:t>
            </w:r>
          </w:p>
        </w:tc>
        <w:tc>
          <w:tcPr>
            <w:tcW w:w="0" w:type="auto"/>
          </w:tcPr>
          <w:p w14:paraId="14154254"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94.7%</w:t>
            </w:r>
          </w:p>
        </w:tc>
        <w:tc>
          <w:tcPr>
            <w:tcW w:w="0" w:type="auto"/>
          </w:tcPr>
          <w:p w14:paraId="0E9E46D8"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97.0%</w:t>
            </w:r>
          </w:p>
        </w:tc>
        <w:tc>
          <w:tcPr>
            <w:tcW w:w="0" w:type="auto"/>
          </w:tcPr>
          <w:p w14:paraId="69107407" w14:textId="77777777" w:rsidR="00282B40" w:rsidRPr="00282B40" w:rsidRDefault="00282B40" w:rsidP="00282B4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97.8%</w:t>
            </w:r>
          </w:p>
        </w:tc>
      </w:tr>
      <w:tr w:rsidR="00282B40" w:rsidRPr="00282B40" w14:paraId="3AA6331E" w14:textId="77777777" w:rsidTr="00282B40">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0" w:type="auto"/>
          </w:tcPr>
          <w:p w14:paraId="3410E744"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Atizapán</w:t>
            </w:r>
          </w:p>
        </w:tc>
        <w:tc>
          <w:tcPr>
            <w:tcW w:w="0" w:type="auto"/>
          </w:tcPr>
          <w:p w14:paraId="0784FB17"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96.9%</w:t>
            </w:r>
          </w:p>
        </w:tc>
        <w:tc>
          <w:tcPr>
            <w:tcW w:w="0" w:type="auto"/>
          </w:tcPr>
          <w:p w14:paraId="13A15D9A"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96.8%</w:t>
            </w:r>
          </w:p>
        </w:tc>
        <w:tc>
          <w:tcPr>
            <w:tcW w:w="0" w:type="auto"/>
          </w:tcPr>
          <w:p w14:paraId="309091EC"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96.7%</w:t>
            </w:r>
          </w:p>
        </w:tc>
        <w:tc>
          <w:tcPr>
            <w:tcW w:w="0" w:type="auto"/>
          </w:tcPr>
          <w:p w14:paraId="353ACE52"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95.0%</w:t>
            </w:r>
          </w:p>
        </w:tc>
        <w:tc>
          <w:tcPr>
            <w:tcW w:w="0" w:type="auto"/>
          </w:tcPr>
          <w:p w14:paraId="2C09F37C"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95.4%</w:t>
            </w:r>
          </w:p>
        </w:tc>
        <w:tc>
          <w:tcPr>
            <w:tcW w:w="0" w:type="auto"/>
          </w:tcPr>
          <w:p w14:paraId="14CEB1C5"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96.8%</w:t>
            </w:r>
          </w:p>
        </w:tc>
        <w:tc>
          <w:tcPr>
            <w:tcW w:w="0" w:type="auto"/>
          </w:tcPr>
          <w:p w14:paraId="58867E40"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98.1%</w:t>
            </w:r>
          </w:p>
        </w:tc>
      </w:tr>
      <w:tr w:rsidR="00282B40" w:rsidRPr="00282B40" w14:paraId="63B88DB5" w14:textId="77777777" w:rsidTr="00282B40">
        <w:trPr>
          <w:trHeight w:val="124"/>
        </w:trPr>
        <w:tc>
          <w:tcPr>
            <w:cnfStyle w:val="001000000000" w:firstRow="0" w:lastRow="0" w:firstColumn="1" w:lastColumn="0" w:oddVBand="0" w:evenVBand="0" w:oddHBand="0" w:evenHBand="0" w:firstRowFirstColumn="0" w:firstRowLastColumn="0" w:lastRowFirstColumn="0" w:lastRowLastColumn="0"/>
            <w:tcW w:w="0" w:type="auto"/>
          </w:tcPr>
          <w:p w14:paraId="1503E5E2"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Capulhuac</w:t>
            </w:r>
          </w:p>
        </w:tc>
        <w:tc>
          <w:tcPr>
            <w:tcW w:w="0" w:type="auto"/>
          </w:tcPr>
          <w:p w14:paraId="5196DCBA"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96.8%</w:t>
            </w:r>
          </w:p>
        </w:tc>
        <w:tc>
          <w:tcPr>
            <w:tcW w:w="0" w:type="auto"/>
          </w:tcPr>
          <w:p w14:paraId="239EAC4E"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96.5%</w:t>
            </w:r>
          </w:p>
        </w:tc>
        <w:tc>
          <w:tcPr>
            <w:tcW w:w="0" w:type="auto"/>
          </w:tcPr>
          <w:p w14:paraId="1944F2EC"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96.4%</w:t>
            </w:r>
          </w:p>
        </w:tc>
        <w:tc>
          <w:tcPr>
            <w:tcW w:w="0" w:type="auto"/>
          </w:tcPr>
          <w:p w14:paraId="0527FF43"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95.3%</w:t>
            </w:r>
          </w:p>
        </w:tc>
        <w:tc>
          <w:tcPr>
            <w:tcW w:w="0" w:type="auto"/>
          </w:tcPr>
          <w:p w14:paraId="6A78514E"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95.7%</w:t>
            </w:r>
          </w:p>
        </w:tc>
        <w:tc>
          <w:tcPr>
            <w:tcW w:w="0" w:type="auto"/>
          </w:tcPr>
          <w:p w14:paraId="24D3FE5F"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97.6%</w:t>
            </w:r>
          </w:p>
        </w:tc>
        <w:tc>
          <w:tcPr>
            <w:tcW w:w="0" w:type="auto"/>
          </w:tcPr>
          <w:p w14:paraId="73D23E9A"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97.8%</w:t>
            </w:r>
          </w:p>
        </w:tc>
      </w:tr>
      <w:tr w:rsidR="00282B40" w:rsidRPr="00282B40" w14:paraId="080CC864" w14:textId="77777777" w:rsidTr="00282B40">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0" w:type="auto"/>
          </w:tcPr>
          <w:p w14:paraId="3A214B05"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Almoloya del Río</w:t>
            </w:r>
          </w:p>
        </w:tc>
        <w:tc>
          <w:tcPr>
            <w:tcW w:w="0" w:type="auto"/>
          </w:tcPr>
          <w:p w14:paraId="2A47D8BB"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97.3% </w:t>
            </w:r>
          </w:p>
        </w:tc>
        <w:tc>
          <w:tcPr>
            <w:tcW w:w="0" w:type="auto"/>
          </w:tcPr>
          <w:p w14:paraId="21525693"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97.1% </w:t>
            </w:r>
          </w:p>
        </w:tc>
        <w:tc>
          <w:tcPr>
            <w:tcW w:w="0" w:type="auto"/>
          </w:tcPr>
          <w:p w14:paraId="6ED01AAB"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96.9% </w:t>
            </w:r>
          </w:p>
        </w:tc>
        <w:tc>
          <w:tcPr>
            <w:tcW w:w="0" w:type="auto"/>
          </w:tcPr>
          <w:p w14:paraId="409C0716"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95.0% </w:t>
            </w:r>
          </w:p>
        </w:tc>
        <w:tc>
          <w:tcPr>
            <w:tcW w:w="0" w:type="auto"/>
          </w:tcPr>
          <w:p w14:paraId="3CC89F4C"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95.1% </w:t>
            </w:r>
          </w:p>
        </w:tc>
        <w:tc>
          <w:tcPr>
            <w:tcW w:w="0" w:type="auto"/>
          </w:tcPr>
          <w:p w14:paraId="77940B4F"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96.5% </w:t>
            </w:r>
          </w:p>
        </w:tc>
        <w:tc>
          <w:tcPr>
            <w:tcW w:w="0" w:type="auto"/>
          </w:tcPr>
          <w:p w14:paraId="0582DAB3"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 xml:space="preserve">97.8% </w:t>
            </w:r>
          </w:p>
        </w:tc>
      </w:tr>
      <w:tr w:rsidR="00282B40" w:rsidRPr="00282B40" w14:paraId="5E46189B" w14:textId="77777777" w:rsidTr="00282B40">
        <w:trPr>
          <w:trHeight w:val="124"/>
        </w:trPr>
        <w:tc>
          <w:tcPr>
            <w:cnfStyle w:val="001000000000" w:firstRow="0" w:lastRow="0" w:firstColumn="1" w:lastColumn="0" w:oddVBand="0" w:evenVBand="0" w:oddHBand="0" w:evenHBand="0" w:firstRowFirstColumn="0" w:firstRowLastColumn="0" w:lastRowFirstColumn="0" w:lastRowLastColumn="0"/>
            <w:tcW w:w="0" w:type="auto"/>
          </w:tcPr>
          <w:p w14:paraId="6D70631E"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Xalatlaco</w:t>
            </w:r>
          </w:p>
        </w:tc>
        <w:tc>
          <w:tcPr>
            <w:tcW w:w="0" w:type="auto"/>
          </w:tcPr>
          <w:p w14:paraId="0B9757FC"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96.9%</w:t>
            </w:r>
          </w:p>
        </w:tc>
        <w:tc>
          <w:tcPr>
            <w:tcW w:w="0" w:type="auto"/>
          </w:tcPr>
          <w:p w14:paraId="4817092E"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95.1%</w:t>
            </w:r>
          </w:p>
        </w:tc>
        <w:tc>
          <w:tcPr>
            <w:tcW w:w="0" w:type="auto"/>
          </w:tcPr>
          <w:p w14:paraId="36C8111D"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96.5%</w:t>
            </w:r>
          </w:p>
        </w:tc>
        <w:tc>
          <w:tcPr>
            <w:tcW w:w="0" w:type="auto"/>
          </w:tcPr>
          <w:p w14:paraId="3445527D"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95.4%</w:t>
            </w:r>
          </w:p>
        </w:tc>
        <w:tc>
          <w:tcPr>
            <w:tcW w:w="0" w:type="auto"/>
          </w:tcPr>
          <w:p w14:paraId="627A4DCA"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94.8%</w:t>
            </w:r>
          </w:p>
        </w:tc>
        <w:tc>
          <w:tcPr>
            <w:tcW w:w="0" w:type="auto"/>
          </w:tcPr>
          <w:p w14:paraId="09072A0F"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97.0%</w:t>
            </w:r>
          </w:p>
        </w:tc>
        <w:tc>
          <w:tcPr>
            <w:tcW w:w="0" w:type="auto"/>
          </w:tcPr>
          <w:p w14:paraId="72E53599"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97.4%</w:t>
            </w:r>
          </w:p>
        </w:tc>
      </w:tr>
      <w:tr w:rsidR="00282B40" w:rsidRPr="00282B40" w14:paraId="272C40CE" w14:textId="77777777" w:rsidTr="00282B40">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0" w:type="auto"/>
          </w:tcPr>
          <w:p w14:paraId="422ACD0C"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Lerma</w:t>
            </w:r>
          </w:p>
        </w:tc>
        <w:tc>
          <w:tcPr>
            <w:tcW w:w="0" w:type="auto"/>
          </w:tcPr>
          <w:p w14:paraId="7F091DEC"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95.8%</w:t>
            </w:r>
          </w:p>
        </w:tc>
        <w:tc>
          <w:tcPr>
            <w:tcW w:w="0" w:type="auto"/>
          </w:tcPr>
          <w:p w14:paraId="1BCDDB66"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94.2%</w:t>
            </w:r>
          </w:p>
        </w:tc>
        <w:tc>
          <w:tcPr>
            <w:tcW w:w="0" w:type="auto"/>
          </w:tcPr>
          <w:p w14:paraId="4366AADA"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95.5%</w:t>
            </w:r>
          </w:p>
        </w:tc>
        <w:tc>
          <w:tcPr>
            <w:tcW w:w="0" w:type="auto"/>
          </w:tcPr>
          <w:p w14:paraId="54B53C05"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95.8%</w:t>
            </w:r>
          </w:p>
        </w:tc>
        <w:tc>
          <w:tcPr>
            <w:tcW w:w="0" w:type="auto"/>
          </w:tcPr>
          <w:p w14:paraId="47CC68F4"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94.2%</w:t>
            </w:r>
          </w:p>
        </w:tc>
        <w:tc>
          <w:tcPr>
            <w:tcW w:w="0" w:type="auto"/>
          </w:tcPr>
          <w:p w14:paraId="07E32A04"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97.0%</w:t>
            </w:r>
          </w:p>
        </w:tc>
        <w:tc>
          <w:tcPr>
            <w:tcW w:w="0" w:type="auto"/>
          </w:tcPr>
          <w:p w14:paraId="30CF98F8"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97.0%</w:t>
            </w:r>
          </w:p>
        </w:tc>
      </w:tr>
      <w:tr w:rsidR="00282B40" w:rsidRPr="00282B40" w14:paraId="6DEDBB7A" w14:textId="77777777" w:rsidTr="00282B40">
        <w:trPr>
          <w:trHeight w:val="124"/>
        </w:trPr>
        <w:tc>
          <w:tcPr>
            <w:cnfStyle w:val="001000000000" w:firstRow="0" w:lastRow="0" w:firstColumn="1" w:lastColumn="0" w:oddVBand="0" w:evenVBand="0" w:oddHBand="0" w:evenHBand="0" w:firstRowFirstColumn="0" w:firstRowLastColumn="0" w:lastRowFirstColumn="0" w:lastRowLastColumn="0"/>
            <w:tcW w:w="0" w:type="auto"/>
          </w:tcPr>
          <w:p w14:paraId="67BEE916"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Ocoyoacac</w:t>
            </w:r>
          </w:p>
        </w:tc>
        <w:tc>
          <w:tcPr>
            <w:tcW w:w="0" w:type="auto"/>
          </w:tcPr>
          <w:p w14:paraId="2200F16C"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96.2%</w:t>
            </w:r>
          </w:p>
        </w:tc>
        <w:tc>
          <w:tcPr>
            <w:tcW w:w="0" w:type="auto"/>
          </w:tcPr>
          <w:p w14:paraId="193A7C73"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95.9%</w:t>
            </w:r>
          </w:p>
        </w:tc>
        <w:tc>
          <w:tcPr>
            <w:tcW w:w="0" w:type="auto"/>
          </w:tcPr>
          <w:p w14:paraId="73C514CD"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95.8%</w:t>
            </w:r>
          </w:p>
        </w:tc>
        <w:tc>
          <w:tcPr>
            <w:tcW w:w="0" w:type="auto"/>
          </w:tcPr>
          <w:p w14:paraId="6ABBF22F"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94.3%</w:t>
            </w:r>
          </w:p>
        </w:tc>
        <w:tc>
          <w:tcPr>
            <w:tcW w:w="0" w:type="auto"/>
          </w:tcPr>
          <w:p w14:paraId="4746DCB3"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92.3%</w:t>
            </w:r>
          </w:p>
        </w:tc>
        <w:tc>
          <w:tcPr>
            <w:tcW w:w="0" w:type="auto"/>
          </w:tcPr>
          <w:p w14:paraId="048DA0E3"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96.7%</w:t>
            </w:r>
          </w:p>
        </w:tc>
        <w:tc>
          <w:tcPr>
            <w:tcW w:w="0" w:type="auto"/>
          </w:tcPr>
          <w:p w14:paraId="4861E07B"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98.1%</w:t>
            </w:r>
          </w:p>
        </w:tc>
      </w:tr>
      <w:tr w:rsidR="00282B40" w:rsidRPr="00282B40" w14:paraId="3B907532" w14:textId="77777777" w:rsidTr="00282B40">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0" w:type="auto"/>
          </w:tcPr>
          <w:p w14:paraId="543E2DA2"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San Antonio la Isla</w:t>
            </w:r>
          </w:p>
        </w:tc>
        <w:tc>
          <w:tcPr>
            <w:tcW w:w="0" w:type="auto"/>
          </w:tcPr>
          <w:p w14:paraId="7069727F"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96.5%</w:t>
            </w:r>
          </w:p>
        </w:tc>
        <w:tc>
          <w:tcPr>
            <w:tcW w:w="0" w:type="auto"/>
          </w:tcPr>
          <w:p w14:paraId="185A5964"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96.2%</w:t>
            </w:r>
          </w:p>
        </w:tc>
        <w:tc>
          <w:tcPr>
            <w:tcW w:w="0" w:type="auto"/>
          </w:tcPr>
          <w:p w14:paraId="5D24107E"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96.3%</w:t>
            </w:r>
          </w:p>
        </w:tc>
        <w:tc>
          <w:tcPr>
            <w:tcW w:w="0" w:type="auto"/>
          </w:tcPr>
          <w:p w14:paraId="4B999055"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94.7%</w:t>
            </w:r>
          </w:p>
        </w:tc>
        <w:tc>
          <w:tcPr>
            <w:tcW w:w="0" w:type="auto"/>
          </w:tcPr>
          <w:p w14:paraId="5D42EF8F"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94.6%</w:t>
            </w:r>
          </w:p>
        </w:tc>
        <w:tc>
          <w:tcPr>
            <w:tcW w:w="0" w:type="auto"/>
          </w:tcPr>
          <w:p w14:paraId="6BED2341"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97.0%</w:t>
            </w:r>
          </w:p>
        </w:tc>
        <w:tc>
          <w:tcPr>
            <w:tcW w:w="0" w:type="auto"/>
          </w:tcPr>
          <w:p w14:paraId="036E5A72"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97.1%</w:t>
            </w:r>
          </w:p>
        </w:tc>
      </w:tr>
      <w:tr w:rsidR="00282B40" w:rsidRPr="00282B40" w14:paraId="1E2D01E0" w14:textId="77777777" w:rsidTr="00282B40">
        <w:trPr>
          <w:trHeight w:val="124"/>
        </w:trPr>
        <w:tc>
          <w:tcPr>
            <w:cnfStyle w:val="001000000000" w:firstRow="0" w:lastRow="0" w:firstColumn="1" w:lastColumn="0" w:oddVBand="0" w:evenVBand="0" w:oddHBand="0" w:evenHBand="0" w:firstRowFirstColumn="0" w:firstRowLastColumn="0" w:lastRowFirstColumn="0" w:lastRowLastColumn="0"/>
            <w:tcW w:w="0" w:type="auto"/>
          </w:tcPr>
          <w:p w14:paraId="2FECD854"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Texcalyacac</w:t>
            </w:r>
          </w:p>
        </w:tc>
        <w:tc>
          <w:tcPr>
            <w:tcW w:w="0" w:type="auto"/>
          </w:tcPr>
          <w:p w14:paraId="2C33EE33"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97.0%</w:t>
            </w:r>
          </w:p>
        </w:tc>
        <w:tc>
          <w:tcPr>
            <w:tcW w:w="0" w:type="auto"/>
          </w:tcPr>
          <w:p w14:paraId="5F45F2A4"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96.6%</w:t>
            </w:r>
          </w:p>
        </w:tc>
        <w:tc>
          <w:tcPr>
            <w:tcW w:w="0" w:type="auto"/>
          </w:tcPr>
          <w:p w14:paraId="197A6ECC"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96.5%</w:t>
            </w:r>
          </w:p>
        </w:tc>
        <w:tc>
          <w:tcPr>
            <w:tcW w:w="0" w:type="auto"/>
          </w:tcPr>
          <w:p w14:paraId="08F94D32"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95.8%</w:t>
            </w:r>
          </w:p>
        </w:tc>
        <w:tc>
          <w:tcPr>
            <w:tcW w:w="0" w:type="auto"/>
          </w:tcPr>
          <w:p w14:paraId="5F133CC5"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94.3%</w:t>
            </w:r>
          </w:p>
        </w:tc>
        <w:tc>
          <w:tcPr>
            <w:tcW w:w="0" w:type="auto"/>
          </w:tcPr>
          <w:p w14:paraId="000F47F5"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96.8%</w:t>
            </w:r>
          </w:p>
        </w:tc>
        <w:tc>
          <w:tcPr>
            <w:tcW w:w="0" w:type="auto"/>
          </w:tcPr>
          <w:p w14:paraId="6548352E" w14:textId="77777777" w:rsidR="00282B40" w:rsidRPr="00282B40" w:rsidRDefault="00282B40" w:rsidP="00282B4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97.4%</w:t>
            </w:r>
          </w:p>
        </w:tc>
      </w:tr>
      <w:tr w:rsidR="00282B40" w:rsidRPr="00282B40" w14:paraId="589746AB" w14:textId="77777777" w:rsidTr="00282B40">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0" w:type="auto"/>
          </w:tcPr>
          <w:p w14:paraId="3FADBF86" w14:textId="77777777" w:rsidR="00282B40" w:rsidRPr="00282B40" w:rsidRDefault="00282B40" w:rsidP="00282B40">
            <w:pPr>
              <w:rPr>
                <w:rFonts w:ascii="Century Gothic" w:hAnsi="Century Gothic"/>
                <w:sz w:val="20"/>
                <w:szCs w:val="20"/>
              </w:rPr>
            </w:pPr>
            <w:r w:rsidRPr="00282B40">
              <w:rPr>
                <w:rFonts w:ascii="Century Gothic" w:hAnsi="Century Gothic"/>
                <w:sz w:val="20"/>
                <w:szCs w:val="20"/>
              </w:rPr>
              <w:t>Tianguistenco</w:t>
            </w:r>
          </w:p>
        </w:tc>
        <w:tc>
          <w:tcPr>
            <w:tcW w:w="0" w:type="auto"/>
          </w:tcPr>
          <w:p w14:paraId="079946A8"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96.1%</w:t>
            </w:r>
          </w:p>
        </w:tc>
        <w:tc>
          <w:tcPr>
            <w:tcW w:w="0" w:type="auto"/>
          </w:tcPr>
          <w:p w14:paraId="1E385FBE"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95.1%</w:t>
            </w:r>
          </w:p>
        </w:tc>
        <w:tc>
          <w:tcPr>
            <w:tcW w:w="0" w:type="auto"/>
          </w:tcPr>
          <w:p w14:paraId="73BDC527"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96.0%</w:t>
            </w:r>
          </w:p>
        </w:tc>
        <w:tc>
          <w:tcPr>
            <w:tcW w:w="0" w:type="auto"/>
          </w:tcPr>
          <w:p w14:paraId="52414DCC"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93.1%</w:t>
            </w:r>
          </w:p>
        </w:tc>
        <w:tc>
          <w:tcPr>
            <w:tcW w:w="0" w:type="auto"/>
          </w:tcPr>
          <w:p w14:paraId="2E5262DA"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95.3%</w:t>
            </w:r>
          </w:p>
        </w:tc>
        <w:tc>
          <w:tcPr>
            <w:tcW w:w="0" w:type="auto"/>
          </w:tcPr>
          <w:p w14:paraId="29A71392"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96.7%</w:t>
            </w:r>
          </w:p>
        </w:tc>
        <w:tc>
          <w:tcPr>
            <w:tcW w:w="0" w:type="auto"/>
          </w:tcPr>
          <w:p w14:paraId="09A6A1BB" w14:textId="77777777" w:rsidR="00282B40" w:rsidRPr="00282B40" w:rsidRDefault="00282B40" w:rsidP="00282B4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282B40">
              <w:rPr>
                <w:rFonts w:ascii="Century Gothic" w:hAnsi="Century Gothic"/>
                <w:sz w:val="20"/>
                <w:szCs w:val="20"/>
              </w:rPr>
              <w:t>98.2%</w:t>
            </w:r>
          </w:p>
        </w:tc>
      </w:tr>
    </w:tbl>
    <w:p w14:paraId="42B69AC7" w14:textId="444BCC1C" w:rsidR="00282B40" w:rsidRDefault="00282B40" w:rsidP="00282B40">
      <w:pPr>
        <w:spacing w:before="102"/>
        <w:jc w:val="both"/>
        <w:rPr>
          <w:rFonts w:ascii="Century Gothic" w:hAnsi="Century Gothic"/>
          <w:sz w:val="14"/>
          <w:szCs w:val="14"/>
        </w:rPr>
      </w:pPr>
      <w:r w:rsidRPr="00282B40">
        <w:rPr>
          <w:rFonts w:ascii="Century Gothic" w:hAnsi="Century Gothic"/>
          <w:b/>
          <w:bCs/>
          <w:sz w:val="14"/>
          <w:szCs w:val="14"/>
        </w:rPr>
        <w:t>Fuente</w:t>
      </w:r>
      <w:r w:rsidRPr="00282B40">
        <w:rPr>
          <w:rFonts w:ascii="Century Gothic" w:hAnsi="Century Gothic"/>
          <w:sz w:val="14"/>
          <w:szCs w:val="14"/>
        </w:rPr>
        <w:t>: COPLADEM (2024). Con información del Instituto Nacional de Estadística y Geografía (INEGI). Censo de Población y Vivienda, 2020. Tabulados del Cuestionario Básico.</w:t>
      </w:r>
    </w:p>
    <w:p w14:paraId="2AE23700" w14:textId="77777777" w:rsidR="00282B40" w:rsidRDefault="00282B40">
      <w:pPr>
        <w:rPr>
          <w:rFonts w:ascii="Century Gothic" w:hAnsi="Century Gothic"/>
          <w:sz w:val="14"/>
          <w:szCs w:val="14"/>
        </w:rPr>
      </w:pPr>
      <w:r>
        <w:rPr>
          <w:rFonts w:ascii="Century Gothic" w:hAnsi="Century Gothic"/>
          <w:sz w:val="14"/>
          <w:szCs w:val="14"/>
        </w:rPr>
        <w:br w:type="page"/>
      </w:r>
    </w:p>
    <w:p w14:paraId="2A19DAC3" w14:textId="4364B2E6" w:rsidR="00282B40" w:rsidRPr="00282B40" w:rsidRDefault="00282B40" w:rsidP="00282B40">
      <w:pPr>
        <w:spacing w:before="102"/>
        <w:jc w:val="both"/>
        <w:rPr>
          <w:rFonts w:ascii="Century Gothic" w:hAnsi="Century Gothic"/>
          <w:b/>
          <w:bCs/>
          <w:color w:val="025850"/>
          <w:sz w:val="22"/>
          <w:szCs w:val="22"/>
        </w:rPr>
      </w:pPr>
      <w:r w:rsidRPr="00282B40">
        <w:rPr>
          <w:rFonts w:ascii="Century Gothic" w:hAnsi="Century Gothic"/>
          <w:b/>
          <w:bCs/>
          <w:color w:val="025850"/>
          <w:sz w:val="22"/>
          <w:szCs w:val="22"/>
        </w:rPr>
        <w:lastRenderedPageBreak/>
        <w:t xml:space="preserve">Fomento al turismo </w:t>
      </w:r>
    </w:p>
    <w:p w14:paraId="7E7145E2" w14:textId="092FE85E"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 xml:space="preserve">En 2020, en la Zona V, el Producto Interno Bruto (PIB) turístico fue de 46,895.8 millones de pesos; el promedio de participación de las actividades turísticas al PIB total de la zona fue de 36.5%. La Región 10: Nicolás Romero aportó el 1.1% del PIB turístico de la zona, mientras que el 85.1% correspondió a la Región 14: Toluca. La Región 16: Lerma aporta el 13.8% del PIB turístico de la zona. En la Zona V, no se ubican algún pueblo Mágico, sin embargo, están los pueblos con encanto de Lerma, Temoaya y Zinacantepec. </w:t>
      </w:r>
    </w:p>
    <w:p w14:paraId="5A92FD8A" w14:textId="77777777"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 xml:space="preserve">De igual forma, Toluca y Metepec son considerados de los más importantes en el turismo de reuniones. En 2018, Valle de Bravo contabilizó 1,077 unidades económicas con actividad turística, lo que lo coloca como el tercer Pueblo Mágico con la mayor cantidad, por detrás de Metepec (3,156) y Tepotzotlán (1,171). En 2020, el PIB de las actividades turísticas de Valle de Bravo ascendió a 2,778.0 millones de pesos, solo por debajo de Metepec (13,535.9). En términos per cápita, la producción de las actividades turísticas en Valle de Bravo generó 45,104.6 pesos (55,862.4 en el caso de Metepec). </w:t>
      </w:r>
    </w:p>
    <w:p w14:paraId="57567E36" w14:textId="0DF20437"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 xml:space="preserve">En 2020, en términos per cápita, las actividades turísticas en la Zona V, destaca el municipio de Metepec con una distribución de 55,862.4 pesos, seguido de Toluca con 28,162 que colocan a la Región 14 como la de mayor impacto en la zona, la Región 16 es la segunda de mayor impacto, principalmente a través de los municipios de Ocoyoacac y Lerma con 25,654 y 22,213 respectivamente. </w:t>
      </w:r>
    </w:p>
    <w:p w14:paraId="7FFE37B0" w14:textId="18986FF3" w:rsidR="00282B40" w:rsidRPr="00282B40" w:rsidRDefault="00282B40" w:rsidP="00282B40">
      <w:pPr>
        <w:spacing w:before="102" w:line="360" w:lineRule="auto"/>
        <w:jc w:val="both"/>
        <w:rPr>
          <w:rFonts w:ascii="Century Gothic" w:hAnsi="Century Gothic"/>
          <w:b/>
          <w:bCs/>
          <w:color w:val="025850"/>
          <w:sz w:val="22"/>
          <w:szCs w:val="22"/>
        </w:rPr>
      </w:pPr>
      <w:r w:rsidRPr="00282B40">
        <w:rPr>
          <w:rFonts w:ascii="Century Gothic" w:hAnsi="Century Gothic"/>
          <w:b/>
          <w:bCs/>
          <w:color w:val="025850"/>
          <w:sz w:val="22"/>
          <w:szCs w:val="22"/>
        </w:rPr>
        <w:t xml:space="preserve">Desarrollo agrario y dignificación del campo </w:t>
      </w:r>
    </w:p>
    <w:p w14:paraId="56AB47CF" w14:textId="77777777"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En 2021, el PIB primario del Estado de México ascendió a 20,147 millones de pesos, la Zona V: Valle de Toluca contribuyó con el 11.6%. Al interior de la Zona, la Región 14 aportó el 57.6%, mientras que la Región 16 aportó el 22.4% y la Región 10 el 20% restante. Entre 2017 y 2021, el PIB Primario del Estado de México presentó una reducción del 10.8%, mientras que en la Zona V: Valle de Toluca esta disminución fue del 14.9%, lo que podría indicar un cambio en las prioridades económicas, alejándose del enfoque en la agricultura.</w:t>
      </w:r>
    </w:p>
    <w:p w14:paraId="7590D837" w14:textId="2B0B7912"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 xml:space="preserve">En 2022, la producción total agrícola de la entidad generó un valor de 33,699 millones de pesos, la Zona V: </w:t>
      </w:r>
      <w:r w:rsidRPr="00282B40">
        <w:rPr>
          <w:rFonts w:ascii="Century Gothic" w:hAnsi="Century Gothic"/>
          <w:sz w:val="22"/>
          <w:szCs w:val="22"/>
        </w:rPr>
        <w:lastRenderedPageBreak/>
        <w:t>Valle de Toluca aportó el 12% con 4,048 millones de pesos. El valor de la producción de la Zona estuvo impulsado por la siembra en la Región 14: Toluca (57.9%), destacando los municipios de Almoloya de Juárez y Toluca, con un valor superior a los 1,596 millones de pesos en su conjunto.</w:t>
      </w:r>
    </w:p>
    <w:p w14:paraId="7F987629" w14:textId="72307F6D" w:rsidR="00282B40" w:rsidRPr="00282B40" w:rsidRDefault="00282B40" w:rsidP="00282B40">
      <w:pPr>
        <w:spacing w:before="102" w:line="360" w:lineRule="auto"/>
        <w:jc w:val="both"/>
        <w:rPr>
          <w:rFonts w:ascii="Century Gothic" w:hAnsi="Century Gothic"/>
          <w:b/>
          <w:bCs/>
          <w:color w:val="025850"/>
          <w:sz w:val="22"/>
          <w:szCs w:val="22"/>
        </w:rPr>
      </w:pPr>
      <w:r w:rsidRPr="00282B40">
        <w:rPr>
          <w:rFonts w:ascii="Century Gothic" w:hAnsi="Century Gothic"/>
          <w:b/>
          <w:bCs/>
          <w:color w:val="025850"/>
          <w:sz w:val="22"/>
          <w:szCs w:val="22"/>
        </w:rPr>
        <w:t xml:space="preserve">Movilidad segura y de calidad Infraestructura vial </w:t>
      </w:r>
    </w:p>
    <w:p w14:paraId="16FA0EB7" w14:textId="77777777" w:rsidR="00282B40" w:rsidRPr="00282B40" w:rsidRDefault="00282B40" w:rsidP="00282B40">
      <w:pPr>
        <w:spacing w:before="102" w:line="360" w:lineRule="auto"/>
        <w:ind w:firstLine="708"/>
        <w:jc w:val="both"/>
        <w:rPr>
          <w:rFonts w:ascii="Century Gothic" w:hAnsi="Century Gothic"/>
          <w:color w:val="000000" w:themeColor="text1"/>
          <w:sz w:val="22"/>
          <w:szCs w:val="22"/>
        </w:rPr>
      </w:pPr>
      <w:r w:rsidRPr="00282B40">
        <w:rPr>
          <w:rFonts w:ascii="Century Gothic" w:hAnsi="Century Gothic"/>
          <w:color w:val="000000" w:themeColor="text1"/>
          <w:sz w:val="22"/>
          <w:szCs w:val="22"/>
        </w:rPr>
        <w:t xml:space="preserve">El Estado de México destaca como una de las entidades mejor comunicadas del país. En 2023, la entidad contaba con una extensión superior a los 15 mil kilómetros de carreteras; de los cuales, el Gobierno Estatal asume la responsabilidad directa de más de 4 mil kilómetros de carreteras y vialidades primarias sin peaje, incluyendo 311 caminos, alrededor del 28.5% del total. En 2022, en la Zona V: Valle de Toluca existían 951 kilómetros de red carretera, que representan el 17.31% del total estatal. Al interior de la zona, la distribución carretera entre ambas regiones es similar, el 27.23% está en la Región 10: Nicolás Romero, el 47.10% en la Región 14: Toluca y 25.65% en la Región 16: Lerma. Los municipios con mayor extensión de longitud carretera al interior de la Zona V: Valle de Toluca son: Toluca (120 km), Almoloya de Juárez (118 km) y Zinacantepec (103 km). Por su parte, </w:t>
      </w:r>
      <w:r w:rsidRPr="00282B40">
        <w:rPr>
          <w:rFonts w:ascii="Century Gothic" w:hAnsi="Century Gothic"/>
          <w:color w:val="000000" w:themeColor="text1"/>
          <w:sz w:val="22"/>
          <w:szCs w:val="22"/>
        </w:rPr>
        <w:t xml:space="preserve">los municipios con menor extensión son San Antonio la Isla (5 km) y Mexicaltzingo (4 km). </w:t>
      </w:r>
    </w:p>
    <w:p w14:paraId="05B94D4D" w14:textId="45D388B7" w:rsidR="00282B40" w:rsidRPr="00282B40" w:rsidRDefault="00282B40" w:rsidP="00F63DDB">
      <w:pPr>
        <w:spacing w:before="102" w:line="360" w:lineRule="auto"/>
        <w:ind w:firstLine="708"/>
        <w:jc w:val="both"/>
        <w:rPr>
          <w:rFonts w:ascii="Century Gothic" w:hAnsi="Century Gothic"/>
          <w:sz w:val="22"/>
          <w:szCs w:val="22"/>
        </w:rPr>
      </w:pPr>
      <w:r w:rsidRPr="00282B40">
        <w:rPr>
          <w:rFonts w:ascii="Century Gothic" w:hAnsi="Century Gothic"/>
          <w:color w:val="000000" w:themeColor="text1"/>
          <w:sz w:val="22"/>
          <w:szCs w:val="22"/>
        </w:rPr>
        <w:t>En cuanto a la movilidad, cabe destacar que, en el Estado de México, el uso de vehículos se multiplicó entre 2012 y 2023, al pasar de 3,281,852 unidades a 8,689,604, mientras que el uso de motocicletas aumentó de 140,655 a 1,298,505, en el mismo periodo, un incremento de 52.12%, lo que ocasiona mayor congestión en las vías y tiempos de traslado, así como contaminación atmosférica.</w:t>
      </w:r>
    </w:p>
    <w:p w14:paraId="4B4AEBB5" w14:textId="5F30BB21" w:rsidR="00282B40" w:rsidRPr="00F63DDB" w:rsidRDefault="00282B40" w:rsidP="00F63DDB">
      <w:pPr>
        <w:spacing w:before="102" w:line="360" w:lineRule="auto"/>
        <w:jc w:val="both"/>
        <w:rPr>
          <w:rFonts w:ascii="Century Gothic" w:hAnsi="Century Gothic"/>
          <w:b/>
          <w:bCs/>
          <w:color w:val="025850"/>
          <w:sz w:val="22"/>
          <w:szCs w:val="22"/>
        </w:rPr>
      </w:pPr>
      <w:r w:rsidRPr="00F63DDB">
        <w:rPr>
          <w:rFonts w:ascii="Century Gothic" w:hAnsi="Century Gothic"/>
          <w:b/>
          <w:bCs/>
          <w:color w:val="025850"/>
          <w:sz w:val="22"/>
          <w:szCs w:val="22"/>
        </w:rPr>
        <w:t xml:space="preserve">Infraestructura urbana y rural </w:t>
      </w:r>
    </w:p>
    <w:p w14:paraId="14416063" w14:textId="77777777"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 xml:space="preserve">De acuerdo con el Marco Geoestadístico del Censo de Población y Vivienda 2020 del INEGI, la Zona V: Valle de Toluca tiene una densidad poblacional de 993 personas por kilómetro cuadrado (km2). En el caso de la Región 10, la relación es de 909 personas por km2, la Región 14 es de 1,206 habitantes por cada km2 y para la Región 16 es de 653. San Mateo Atenco tiene la densidad más alta de la zona con 4,623 personas, Metepec tienen una densidad de 3,588 habitantes por km2. </w:t>
      </w:r>
    </w:p>
    <w:p w14:paraId="2B1B8371" w14:textId="77777777" w:rsidR="00282B40" w:rsidRP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lastRenderedPageBreak/>
        <w:t xml:space="preserve">La Zona V: Valle de Toluca agrupó a un total de 746 localidades; de las cuales, 550 son rurales4, y en ellas residen 435,860 personas, mientras que 196 de las localidades de la zona son urbanas, con 2,457,262 habitantes. Del total de las localidades, el 45.17% se encuentran en la Región 14: Toluca, el 27.47% en la Región 16: Lerma y el 27.33% en la Región 10: Nicolás Romero. En términos de población, el 59.72% habita en la Región 14, el 35.82% en la Región 16 y el 24.46% en la Región 10. </w:t>
      </w:r>
    </w:p>
    <w:p w14:paraId="44F34BA8" w14:textId="74F0C011" w:rsidR="00282B40" w:rsidRPr="00F63DDB" w:rsidRDefault="005F5483" w:rsidP="00F63DDB">
      <w:pPr>
        <w:spacing w:before="102" w:line="360" w:lineRule="auto"/>
        <w:ind w:firstLine="708"/>
        <w:jc w:val="both"/>
        <w:rPr>
          <w:rFonts w:ascii="Century Gothic" w:hAnsi="Century Gothic"/>
          <w:color w:val="000000" w:themeColor="text1"/>
          <w:sz w:val="22"/>
          <w:szCs w:val="22"/>
        </w:rPr>
      </w:pPr>
      <w:r>
        <w:rPr>
          <w:rFonts w:ascii="Century Gothic" w:hAnsi="Century Gothic"/>
          <w:noProof/>
          <w:sz w:val="22"/>
          <w:szCs w:val="22"/>
        </w:rPr>
        <w:drawing>
          <wp:anchor distT="0" distB="0" distL="114300" distR="114300" simplePos="0" relativeHeight="251701248" behindDoc="1" locked="0" layoutInCell="1" allowOverlap="1" wp14:anchorId="04EA87B6" wp14:editId="49007D9D">
            <wp:simplePos x="0" y="0"/>
            <wp:positionH relativeFrom="column">
              <wp:posOffset>4743944</wp:posOffset>
            </wp:positionH>
            <wp:positionV relativeFrom="paragraph">
              <wp:posOffset>990459</wp:posOffset>
            </wp:positionV>
            <wp:extent cx="3143250" cy="1944370"/>
            <wp:effectExtent l="0" t="0" r="0" b="0"/>
            <wp:wrapTight wrapText="bothSides">
              <wp:wrapPolygon edited="0">
                <wp:start x="0" y="0"/>
                <wp:lineTo x="0" y="21374"/>
                <wp:lineTo x="21469" y="21374"/>
                <wp:lineTo x="2146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43250" cy="1944370"/>
                    </a:xfrm>
                    <a:prstGeom prst="rect">
                      <a:avLst/>
                    </a:prstGeom>
                    <a:noFill/>
                  </pic:spPr>
                </pic:pic>
              </a:graphicData>
            </a:graphic>
            <wp14:sizeRelH relativeFrom="margin">
              <wp14:pctWidth>0</wp14:pctWidth>
            </wp14:sizeRelH>
            <wp14:sizeRelV relativeFrom="margin">
              <wp14:pctHeight>0</wp14:pctHeight>
            </wp14:sizeRelV>
          </wp:anchor>
        </w:drawing>
      </w:r>
      <w:r w:rsidR="00282B40" w:rsidRPr="00282B40">
        <w:rPr>
          <w:rFonts w:ascii="Century Gothic" w:hAnsi="Century Gothic"/>
          <w:sz w:val="22"/>
          <w:szCs w:val="22"/>
        </w:rPr>
        <w:t xml:space="preserve">En la Región 14, Toluca es el municipio con la mayor cantidad de localidades, sumando un total de 111 (58 rurales y 53 urbanas). Por su parte, San Mateo Atenco tiene la menor cifra, únicamente 3 localidades (1 rurales y 2 urbanas). En términos de población, Almoloya de Juárez agrupa a la mayor cantidad de personas que residen en localidades rurales, con 75,665, mientras que Texcalyacac es el municipio con el menor número de habitantes, 632. En la Región 10, Otzolotepec y Nicolás Romero tienen la misma cantidad de localidades, sumando un total de 40. En términos de población, Toluca agrupa a la mayor cantidad de habitantes que residen </w:t>
      </w:r>
      <w:r w:rsidR="00282B40" w:rsidRPr="00282B40">
        <w:rPr>
          <w:rFonts w:ascii="Century Gothic" w:hAnsi="Century Gothic"/>
          <w:sz w:val="22"/>
          <w:szCs w:val="22"/>
        </w:rPr>
        <w:t>en localidades urbanas (869,426) y Isidro Fabela concentra la menor cantidad de personas con 0.</w:t>
      </w:r>
    </w:p>
    <w:p w14:paraId="44AA492B" w14:textId="0A9EAEBD" w:rsidR="00282B40" w:rsidRPr="00F63DDB" w:rsidRDefault="00282B40" w:rsidP="00282B40">
      <w:pPr>
        <w:spacing w:before="102" w:line="360" w:lineRule="auto"/>
        <w:jc w:val="both"/>
        <w:rPr>
          <w:rFonts w:ascii="Century Gothic" w:hAnsi="Century Gothic"/>
          <w:b/>
          <w:bCs/>
          <w:color w:val="025850"/>
          <w:sz w:val="22"/>
          <w:szCs w:val="22"/>
        </w:rPr>
      </w:pPr>
      <w:r w:rsidRPr="00F63DDB">
        <w:rPr>
          <w:rFonts w:ascii="Century Gothic" w:hAnsi="Century Gothic"/>
          <w:b/>
          <w:bCs/>
          <w:color w:val="025850"/>
          <w:sz w:val="22"/>
          <w:szCs w:val="22"/>
        </w:rPr>
        <w:t xml:space="preserve">Eje 4. Bienestar </w:t>
      </w:r>
      <w:r w:rsidR="00F63DDB">
        <w:rPr>
          <w:rFonts w:ascii="Century Gothic" w:hAnsi="Century Gothic"/>
          <w:b/>
          <w:bCs/>
          <w:color w:val="025850"/>
          <w:sz w:val="22"/>
          <w:szCs w:val="22"/>
        </w:rPr>
        <w:t>S</w:t>
      </w:r>
      <w:r w:rsidRPr="00F63DDB">
        <w:rPr>
          <w:rFonts w:ascii="Century Gothic" w:hAnsi="Century Gothic"/>
          <w:b/>
          <w:bCs/>
          <w:color w:val="025850"/>
          <w:sz w:val="22"/>
          <w:szCs w:val="22"/>
        </w:rPr>
        <w:t xml:space="preserve">ocial. “Combate a la </w:t>
      </w:r>
      <w:r w:rsidR="00F63DDB">
        <w:rPr>
          <w:rFonts w:ascii="Century Gothic" w:hAnsi="Century Gothic"/>
          <w:b/>
          <w:bCs/>
          <w:color w:val="025850"/>
          <w:sz w:val="22"/>
          <w:szCs w:val="22"/>
        </w:rPr>
        <w:t>P</w:t>
      </w:r>
      <w:r w:rsidRPr="00F63DDB">
        <w:rPr>
          <w:rFonts w:ascii="Century Gothic" w:hAnsi="Century Gothic"/>
          <w:b/>
          <w:bCs/>
          <w:color w:val="025850"/>
          <w:sz w:val="22"/>
          <w:szCs w:val="22"/>
        </w:rPr>
        <w:t xml:space="preserve">obreza y </w:t>
      </w:r>
      <w:r w:rsidR="00F63DDB">
        <w:rPr>
          <w:rFonts w:ascii="Century Gothic" w:hAnsi="Century Gothic"/>
          <w:b/>
          <w:bCs/>
          <w:color w:val="025850"/>
          <w:sz w:val="22"/>
          <w:szCs w:val="22"/>
        </w:rPr>
        <w:t>A</w:t>
      </w:r>
      <w:r w:rsidRPr="00F63DDB">
        <w:rPr>
          <w:rFonts w:ascii="Century Gothic" w:hAnsi="Century Gothic"/>
          <w:b/>
          <w:bCs/>
          <w:color w:val="025850"/>
          <w:sz w:val="22"/>
          <w:szCs w:val="22"/>
        </w:rPr>
        <w:t xml:space="preserve">tención a </w:t>
      </w:r>
      <w:r w:rsidR="00F63DDB">
        <w:rPr>
          <w:rFonts w:ascii="Century Gothic" w:hAnsi="Century Gothic"/>
          <w:b/>
          <w:bCs/>
          <w:color w:val="025850"/>
          <w:sz w:val="22"/>
          <w:szCs w:val="22"/>
        </w:rPr>
        <w:t>G</w:t>
      </w:r>
      <w:r w:rsidRPr="00F63DDB">
        <w:rPr>
          <w:rFonts w:ascii="Century Gothic" w:hAnsi="Century Gothic"/>
          <w:b/>
          <w:bCs/>
          <w:color w:val="025850"/>
          <w:sz w:val="22"/>
          <w:szCs w:val="22"/>
        </w:rPr>
        <w:t xml:space="preserve">rupos en </w:t>
      </w:r>
      <w:r w:rsidR="00F63DDB">
        <w:rPr>
          <w:rFonts w:ascii="Century Gothic" w:hAnsi="Century Gothic"/>
          <w:b/>
          <w:bCs/>
          <w:color w:val="025850"/>
          <w:sz w:val="22"/>
          <w:szCs w:val="22"/>
        </w:rPr>
        <w:t>S</w:t>
      </w:r>
      <w:r w:rsidRPr="00F63DDB">
        <w:rPr>
          <w:rFonts w:ascii="Century Gothic" w:hAnsi="Century Gothic"/>
          <w:b/>
          <w:bCs/>
          <w:color w:val="025850"/>
          <w:sz w:val="22"/>
          <w:szCs w:val="22"/>
        </w:rPr>
        <w:t xml:space="preserve">ituación de </w:t>
      </w:r>
      <w:r w:rsidR="00F63DDB">
        <w:rPr>
          <w:rFonts w:ascii="Century Gothic" w:hAnsi="Century Gothic"/>
          <w:b/>
          <w:bCs/>
          <w:color w:val="025850"/>
          <w:sz w:val="22"/>
          <w:szCs w:val="22"/>
        </w:rPr>
        <w:t>V</w:t>
      </w:r>
      <w:r w:rsidRPr="00F63DDB">
        <w:rPr>
          <w:rFonts w:ascii="Century Gothic" w:hAnsi="Century Gothic"/>
          <w:b/>
          <w:bCs/>
          <w:color w:val="025850"/>
          <w:sz w:val="22"/>
          <w:szCs w:val="22"/>
        </w:rPr>
        <w:t xml:space="preserve">ulnerabilidad” </w:t>
      </w:r>
    </w:p>
    <w:p w14:paraId="500199E0" w14:textId="1E91F8A3" w:rsidR="00282B40" w:rsidRPr="00F63DDB" w:rsidRDefault="00282B40" w:rsidP="00282B40">
      <w:pPr>
        <w:spacing w:before="102" w:line="360" w:lineRule="auto"/>
        <w:jc w:val="both"/>
        <w:rPr>
          <w:rFonts w:ascii="Century Gothic" w:hAnsi="Century Gothic"/>
          <w:b/>
          <w:bCs/>
          <w:color w:val="025850"/>
          <w:sz w:val="22"/>
          <w:szCs w:val="22"/>
        </w:rPr>
      </w:pPr>
      <w:r w:rsidRPr="00F63DDB">
        <w:rPr>
          <w:rFonts w:ascii="Century Gothic" w:hAnsi="Century Gothic"/>
          <w:b/>
          <w:bCs/>
          <w:color w:val="025850"/>
          <w:sz w:val="22"/>
          <w:szCs w:val="22"/>
        </w:rPr>
        <w:t>Combate a la pobreza y reducción de carencias sociales</w:t>
      </w:r>
    </w:p>
    <w:p w14:paraId="687916FD" w14:textId="611AD861" w:rsidR="00282B40" w:rsidRDefault="00282B40" w:rsidP="00282B40">
      <w:pPr>
        <w:spacing w:before="102" w:line="360" w:lineRule="auto"/>
        <w:ind w:firstLine="708"/>
        <w:jc w:val="both"/>
        <w:rPr>
          <w:rFonts w:ascii="Century Gothic" w:hAnsi="Century Gothic"/>
          <w:sz w:val="22"/>
          <w:szCs w:val="22"/>
        </w:rPr>
      </w:pPr>
      <w:r w:rsidRPr="00282B40">
        <w:rPr>
          <w:rFonts w:ascii="Century Gothic" w:hAnsi="Century Gothic"/>
          <w:sz w:val="22"/>
          <w:szCs w:val="22"/>
        </w:rPr>
        <w:t xml:space="preserve">La pobreza en el Estado de México sigue siendo un problema. De acuerdo con el Consejo Nacional de Evaluación de la Política de Desarrollo Social (CONEVAL), esta situación no solo se trata de carencias económicas, sino también de la falta de acceso a servicios esenciales y derechos fundamentales. En 2022, más de 7 millones de personas, aproximadamente el 42.9% de la población, </w:t>
      </w:r>
      <w:r w:rsidRPr="00282B40">
        <w:rPr>
          <w:rFonts w:ascii="Century Gothic" w:hAnsi="Century Gothic"/>
          <w:sz w:val="22"/>
          <w:szCs w:val="22"/>
        </w:rPr>
        <w:lastRenderedPageBreak/>
        <w:t>vivían en pobreza, con más de un millón en esta condición.</w:t>
      </w:r>
    </w:p>
    <w:p w14:paraId="48ECEAFF" w14:textId="77777777" w:rsidR="005F5483" w:rsidRPr="005F5483" w:rsidRDefault="005F5483" w:rsidP="005F5483">
      <w:pPr>
        <w:spacing w:before="102" w:line="360" w:lineRule="auto"/>
        <w:ind w:firstLine="708"/>
        <w:jc w:val="both"/>
        <w:rPr>
          <w:rFonts w:ascii="Century Gothic" w:hAnsi="Century Gothic"/>
          <w:color w:val="000000" w:themeColor="text1"/>
          <w:sz w:val="22"/>
          <w:szCs w:val="22"/>
        </w:rPr>
      </w:pPr>
      <w:r w:rsidRPr="005F5483">
        <w:rPr>
          <w:rFonts w:ascii="Century Gothic" w:hAnsi="Century Gothic"/>
          <w:color w:val="000000" w:themeColor="text1"/>
          <w:sz w:val="22"/>
          <w:szCs w:val="22"/>
        </w:rPr>
        <w:t>En lo que respecta a las carencias sociales, se observó que en la Zona V: Valle de Toluca en promedio el 65.11% tiene carencia por acceso a la seguridad social, el 31.95% de la población carecía de acceso a servicios de salud, mientras que el 22.01% presenta carecía de acceso a una alimentación adecuada, el 11.38% presenta rezago educativo y el 12.43% de la población carecía de servicios básicos de la vivienda.</w:t>
      </w:r>
    </w:p>
    <w:tbl>
      <w:tblPr>
        <w:tblStyle w:val="Tablaconcuadrcula4-nfasis2"/>
        <w:tblW w:w="0" w:type="auto"/>
        <w:tblLook w:val="04A0" w:firstRow="1" w:lastRow="0" w:firstColumn="1" w:lastColumn="0" w:noHBand="0" w:noVBand="1"/>
      </w:tblPr>
      <w:tblGrid>
        <w:gridCol w:w="1198"/>
        <w:gridCol w:w="1514"/>
        <w:gridCol w:w="1710"/>
        <w:gridCol w:w="1694"/>
      </w:tblGrid>
      <w:tr w:rsidR="00A529EF" w14:paraId="79843061" w14:textId="77777777" w:rsidTr="00A529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3D213BC" w14:textId="77777777" w:rsidR="00A529EF" w:rsidRDefault="00A529EF" w:rsidP="00AD104F">
            <w:r w:rsidRPr="00BC68F5">
              <w:t>Región</w:t>
            </w:r>
          </w:p>
        </w:tc>
        <w:tc>
          <w:tcPr>
            <w:tcW w:w="0" w:type="auto"/>
          </w:tcPr>
          <w:p w14:paraId="1D4BDF80" w14:textId="77777777" w:rsidR="00A529EF" w:rsidRDefault="00A529EF" w:rsidP="00AD104F">
            <w:pPr>
              <w:cnfStyle w:val="100000000000" w:firstRow="1" w:lastRow="0" w:firstColumn="0" w:lastColumn="0" w:oddVBand="0" w:evenVBand="0" w:oddHBand="0" w:evenHBand="0" w:firstRowFirstColumn="0" w:firstRowLastColumn="0" w:lastRowFirstColumn="0" w:lastRowLastColumn="0"/>
            </w:pPr>
            <w:r w:rsidRPr="00BC68F5">
              <w:t>Municipio</w:t>
            </w:r>
          </w:p>
        </w:tc>
        <w:tc>
          <w:tcPr>
            <w:tcW w:w="0" w:type="auto"/>
          </w:tcPr>
          <w:p w14:paraId="02CA00EE" w14:textId="77777777" w:rsidR="00A529EF" w:rsidRDefault="00A529EF" w:rsidP="00AD104F">
            <w:pPr>
              <w:cnfStyle w:val="100000000000" w:firstRow="1" w:lastRow="0" w:firstColumn="0" w:lastColumn="0" w:oddVBand="0" w:evenVBand="0" w:oddHBand="0" w:evenHBand="0" w:firstRowFirstColumn="0" w:firstRowLastColumn="0" w:lastRowFirstColumn="0" w:lastRowLastColumn="0"/>
            </w:pPr>
            <w:r w:rsidRPr="00BC68F5">
              <w:t>Índice de marginación</w:t>
            </w:r>
          </w:p>
        </w:tc>
        <w:tc>
          <w:tcPr>
            <w:tcW w:w="0" w:type="auto"/>
          </w:tcPr>
          <w:p w14:paraId="1A924C42" w14:textId="77777777" w:rsidR="00A529EF" w:rsidRDefault="00A529EF" w:rsidP="00AD104F">
            <w:pPr>
              <w:cnfStyle w:val="100000000000" w:firstRow="1" w:lastRow="0" w:firstColumn="0" w:lastColumn="0" w:oddVBand="0" w:evenVBand="0" w:oddHBand="0" w:evenHBand="0" w:firstRowFirstColumn="0" w:firstRowLastColumn="0" w:lastRowFirstColumn="0" w:lastRowLastColumn="0"/>
            </w:pPr>
            <w:r w:rsidRPr="00BC68F5">
              <w:t>Grado de Marginación</w:t>
            </w:r>
          </w:p>
        </w:tc>
      </w:tr>
      <w:tr w:rsidR="00A529EF" w14:paraId="71D8920E" w14:textId="77777777" w:rsidTr="00A5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F40F71E" w14:textId="77777777" w:rsidR="00A529EF" w:rsidRDefault="00A529EF" w:rsidP="00AD104F">
            <w:pPr>
              <w:jc w:val="center"/>
            </w:pPr>
          </w:p>
          <w:p w14:paraId="5A5519BB" w14:textId="77777777" w:rsidR="00A529EF" w:rsidRDefault="00A529EF" w:rsidP="00AD104F">
            <w:pPr>
              <w:jc w:val="center"/>
            </w:pPr>
          </w:p>
          <w:p w14:paraId="0DC900FD" w14:textId="77777777" w:rsidR="00A529EF" w:rsidRDefault="00A529EF" w:rsidP="00AD104F">
            <w:pPr>
              <w:jc w:val="center"/>
            </w:pPr>
          </w:p>
          <w:p w14:paraId="7337AC85" w14:textId="77777777" w:rsidR="00A529EF" w:rsidRDefault="00A529EF" w:rsidP="00AD104F">
            <w:pPr>
              <w:jc w:val="center"/>
            </w:pPr>
            <w:r w:rsidRPr="00DD38B7">
              <w:t>Región 16 Lerma:</w:t>
            </w:r>
          </w:p>
        </w:tc>
        <w:tc>
          <w:tcPr>
            <w:tcW w:w="0" w:type="auto"/>
          </w:tcPr>
          <w:p w14:paraId="39E25683"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Atizapán</w:t>
            </w:r>
          </w:p>
        </w:tc>
        <w:tc>
          <w:tcPr>
            <w:tcW w:w="0" w:type="auto"/>
          </w:tcPr>
          <w:p w14:paraId="3B1DC485"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57.2</w:t>
            </w:r>
          </w:p>
        </w:tc>
        <w:tc>
          <w:tcPr>
            <w:tcW w:w="0" w:type="auto"/>
          </w:tcPr>
          <w:p w14:paraId="0008EF7F"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Muy bajo</w:t>
            </w:r>
          </w:p>
        </w:tc>
      </w:tr>
      <w:tr w:rsidR="00A529EF" w14:paraId="7882F35B" w14:textId="77777777" w:rsidTr="00A529EF">
        <w:tc>
          <w:tcPr>
            <w:cnfStyle w:val="001000000000" w:firstRow="0" w:lastRow="0" w:firstColumn="1" w:lastColumn="0" w:oddVBand="0" w:evenVBand="0" w:oddHBand="0" w:evenHBand="0" w:firstRowFirstColumn="0" w:firstRowLastColumn="0" w:lastRowFirstColumn="0" w:lastRowLastColumn="0"/>
            <w:tcW w:w="0" w:type="auto"/>
            <w:vMerge/>
          </w:tcPr>
          <w:p w14:paraId="1C6828C3" w14:textId="77777777" w:rsidR="00A529EF" w:rsidRDefault="00A529EF" w:rsidP="00AD104F"/>
        </w:tc>
        <w:tc>
          <w:tcPr>
            <w:tcW w:w="0" w:type="auto"/>
          </w:tcPr>
          <w:p w14:paraId="62F083E6"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Capulhuac</w:t>
            </w:r>
          </w:p>
        </w:tc>
        <w:tc>
          <w:tcPr>
            <w:tcW w:w="0" w:type="auto"/>
          </w:tcPr>
          <w:p w14:paraId="4000FE33"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58.8</w:t>
            </w:r>
          </w:p>
        </w:tc>
        <w:tc>
          <w:tcPr>
            <w:tcW w:w="0" w:type="auto"/>
          </w:tcPr>
          <w:p w14:paraId="0124B6BC"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Muy bajo</w:t>
            </w:r>
          </w:p>
        </w:tc>
      </w:tr>
      <w:tr w:rsidR="00A529EF" w14:paraId="134088BF" w14:textId="77777777" w:rsidTr="00A5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52BED894" w14:textId="77777777" w:rsidR="00A529EF" w:rsidRDefault="00A529EF" w:rsidP="00AD104F"/>
        </w:tc>
        <w:tc>
          <w:tcPr>
            <w:tcW w:w="0" w:type="auto"/>
          </w:tcPr>
          <w:p w14:paraId="7E878825"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6F52A7">
              <w:t>Almoloya del Río</w:t>
            </w:r>
          </w:p>
        </w:tc>
        <w:tc>
          <w:tcPr>
            <w:tcW w:w="0" w:type="auto"/>
          </w:tcPr>
          <w:p w14:paraId="307EE03D"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6F52A7">
              <w:t>58.0</w:t>
            </w:r>
          </w:p>
        </w:tc>
        <w:tc>
          <w:tcPr>
            <w:tcW w:w="0" w:type="auto"/>
          </w:tcPr>
          <w:p w14:paraId="0E6D541D"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6F52A7">
              <w:t>Muy bajo</w:t>
            </w:r>
          </w:p>
        </w:tc>
      </w:tr>
      <w:tr w:rsidR="00A529EF" w14:paraId="502E21DB" w14:textId="77777777" w:rsidTr="00A529EF">
        <w:tc>
          <w:tcPr>
            <w:cnfStyle w:val="001000000000" w:firstRow="0" w:lastRow="0" w:firstColumn="1" w:lastColumn="0" w:oddVBand="0" w:evenVBand="0" w:oddHBand="0" w:evenHBand="0" w:firstRowFirstColumn="0" w:firstRowLastColumn="0" w:lastRowFirstColumn="0" w:lastRowLastColumn="0"/>
            <w:tcW w:w="0" w:type="auto"/>
            <w:vMerge/>
          </w:tcPr>
          <w:p w14:paraId="2DCAC14F" w14:textId="77777777" w:rsidR="00A529EF" w:rsidRDefault="00A529EF" w:rsidP="00AD104F"/>
        </w:tc>
        <w:tc>
          <w:tcPr>
            <w:tcW w:w="0" w:type="auto"/>
          </w:tcPr>
          <w:p w14:paraId="5666B6D5"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Xalatlaco</w:t>
            </w:r>
          </w:p>
        </w:tc>
        <w:tc>
          <w:tcPr>
            <w:tcW w:w="0" w:type="auto"/>
          </w:tcPr>
          <w:p w14:paraId="3D80FFFE"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56.8</w:t>
            </w:r>
          </w:p>
        </w:tc>
        <w:tc>
          <w:tcPr>
            <w:tcW w:w="0" w:type="auto"/>
          </w:tcPr>
          <w:p w14:paraId="18E97B5B"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Muy bajo</w:t>
            </w:r>
          </w:p>
        </w:tc>
      </w:tr>
      <w:tr w:rsidR="00A529EF" w14:paraId="57247B78" w14:textId="77777777" w:rsidTr="00A5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14D5B98F" w14:textId="77777777" w:rsidR="00A529EF" w:rsidRDefault="00A529EF" w:rsidP="00AD104F"/>
        </w:tc>
        <w:tc>
          <w:tcPr>
            <w:tcW w:w="0" w:type="auto"/>
          </w:tcPr>
          <w:p w14:paraId="663C651C"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Lerma</w:t>
            </w:r>
          </w:p>
        </w:tc>
        <w:tc>
          <w:tcPr>
            <w:tcW w:w="0" w:type="auto"/>
          </w:tcPr>
          <w:p w14:paraId="35FFCBEC"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59.3</w:t>
            </w:r>
          </w:p>
        </w:tc>
        <w:tc>
          <w:tcPr>
            <w:tcW w:w="0" w:type="auto"/>
          </w:tcPr>
          <w:p w14:paraId="313EF407"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Muy bajo</w:t>
            </w:r>
          </w:p>
        </w:tc>
      </w:tr>
      <w:tr w:rsidR="00A529EF" w14:paraId="08EE075A" w14:textId="77777777" w:rsidTr="00A529EF">
        <w:tc>
          <w:tcPr>
            <w:cnfStyle w:val="001000000000" w:firstRow="0" w:lastRow="0" w:firstColumn="1" w:lastColumn="0" w:oddVBand="0" w:evenVBand="0" w:oddHBand="0" w:evenHBand="0" w:firstRowFirstColumn="0" w:firstRowLastColumn="0" w:lastRowFirstColumn="0" w:lastRowLastColumn="0"/>
            <w:tcW w:w="0" w:type="auto"/>
            <w:vMerge/>
          </w:tcPr>
          <w:p w14:paraId="2DA19D03" w14:textId="77777777" w:rsidR="00A529EF" w:rsidRDefault="00A529EF" w:rsidP="00AD104F"/>
        </w:tc>
        <w:tc>
          <w:tcPr>
            <w:tcW w:w="0" w:type="auto"/>
          </w:tcPr>
          <w:p w14:paraId="2C113D94"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Ocoyoacac</w:t>
            </w:r>
          </w:p>
        </w:tc>
        <w:tc>
          <w:tcPr>
            <w:tcW w:w="0" w:type="auto"/>
          </w:tcPr>
          <w:p w14:paraId="2C74272A"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58.9</w:t>
            </w:r>
          </w:p>
        </w:tc>
        <w:tc>
          <w:tcPr>
            <w:tcW w:w="0" w:type="auto"/>
          </w:tcPr>
          <w:p w14:paraId="7F0F4C46"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Muy bajo</w:t>
            </w:r>
          </w:p>
        </w:tc>
      </w:tr>
      <w:tr w:rsidR="00A529EF" w14:paraId="0FE1BA2F" w14:textId="77777777" w:rsidTr="00A529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2E9CCD28" w14:textId="77777777" w:rsidR="00A529EF" w:rsidRDefault="00A529EF" w:rsidP="00AD104F"/>
        </w:tc>
        <w:tc>
          <w:tcPr>
            <w:tcW w:w="0" w:type="auto"/>
          </w:tcPr>
          <w:p w14:paraId="5077399E"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San Antonio la Isla</w:t>
            </w:r>
          </w:p>
        </w:tc>
        <w:tc>
          <w:tcPr>
            <w:tcW w:w="0" w:type="auto"/>
          </w:tcPr>
          <w:p w14:paraId="08EA442F"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59.7</w:t>
            </w:r>
          </w:p>
        </w:tc>
        <w:tc>
          <w:tcPr>
            <w:tcW w:w="0" w:type="auto"/>
          </w:tcPr>
          <w:p w14:paraId="1E467420" w14:textId="77777777" w:rsidR="00A529EF" w:rsidRDefault="00A529EF" w:rsidP="00AD104F">
            <w:pPr>
              <w:cnfStyle w:val="000000100000" w:firstRow="0" w:lastRow="0" w:firstColumn="0" w:lastColumn="0" w:oddVBand="0" w:evenVBand="0" w:oddHBand="1" w:evenHBand="0" w:firstRowFirstColumn="0" w:firstRowLastColumn="0" w:lastRowFirstColumn="0" w:lastRowLastColumn="0"/>
            </w:pPr>
            <w:r w:rsidRPr="00094CAE">
              <w:t>Muy bajo</w:t>
            </w:r>
          </w:p>
        </w:tc>
      </w:tr>
      <w:tr w:rsidR="00A529EF" w14:paraId="55BB8B42" w14:textId="77777777" w:rsidTr="00A529EF">
        <w:tc>
          <w:tcPr>
            <w:cnfStyle w:val="001000000000" w:firstRow="0" w:lastRow="0" w:firstColumn="1" w:lastColumn="0" w:oddVBand="0" w:evenVBand="0" w:oddHBand="0" w:evenHBand="0" w:firstRowFirstColumn="0" w:firstRowLastColumn="0" w:lastRowFirstColumn="0" w:lastRowLastColumn="0"/>
            <w:tcW w:w="0" w:type="auto"/>
            <w:vMerge/>
          </w:tcPr>
          <w:p w14:paraId="61B04648" w14:textId="77777777" w:rsidR="00A529EF" w:rsidRDefault="00A529EF" w:rsidP="00AD104F"/>
        </w:tc>
        <w:tc>
          <w:tcPr>
            <w:tcW w:w="0" w:type="auto"/>
          </w:tcPr>
          <w:p w14:paraId="4285349D"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Texcalyacac</w:t>
            </w:r>
          </w:p>
        </w:tc>
        <w:tc>
          <w:tcPr>
            <w:tcW w:w="0" w:type="auto"/>
          </w:tcPr>
          <w:p w14:paraId="0B403990"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58.6</w:t>
            </w:r>
          </w:p>
        </w:tc>
        <w:tc>
          <w:tcPr>
            <w:tcW w:w="0" w:type="auto"/>
          </w:tcPr>
          <w:p w14:paraId="39ED0A93" w14:textId="77777777" w:rsidR="00A529EF" w:rsidRDefault="00A529EF" w:rsidP="00AD104F">
            <w:pPr>
              <w:cnfStyle w:val="000000000000" w:firstRow="0" w:lastRow="0" w:firstColumn="0" w:lastColumn="0" w:oddVBand="0" w:evenVBand="0" w:oddHBand="0" w:evenHBand="0" w:firstRowFirstColumn="0" w:firstRowLastColumn="0" w:lastRowFirstColumn="0" w:lastRowLastColumn="0"/>
            </w:pPr>
            <w:r w:rsidRPr="00094CAE">
              <w:t>Muy bajo</w:t>
            </w:r>
          </w:p>
        </w:tc>
      </w:tr>
    </w:tbl>
    <w:p w14:paraId="40664C3A" w14:textId="6EF95055" w:rsidR="00282B40" w:rsidRDefault="00A529EF" w:rsidP="00A529EF">
      <w:pPr>
        <w:spacing w:line="240" w:lineRule="auto"/>
        <w:jc w:val="both"/>
        <w:rPr>
          <w:rFonts w:ascii="Century Gothic" w:hAnsi="Century Gothic"/>
          <w:color w:val="000000" w:themeColor="text1"/>
          <w:sz w:val="22"/>
          <w:szCs w:val="22"/>
        </w:rPr>
      </w:pPr>
      <w:r>
        <w:rPr>
          <w:rFonts w:ascii="Century Gothic" w:hAnsi="Century Gothic"/>
          <w:color w:val="000000" w:themeColor="text1"/>
          <w:sz w:val="22"/>
          <w:szCs w:val="22"/>
        </w:rPr>
        <w:t>Fuente: COPLADEM 2024</w:t>
      </w:r>
    </w:p>
    <w:p w14:paraId="3B569E96" w14:textId="77777777" w:rsidR="00A529EF" w:rsidRDefault="00A529EF" w:rsidP="00A529EF">
      <w:pPr>
        <w:spacing w:before="102" w:line="360" w:lineRule="auto"/>
        <w:jc w:val="both"/>
        <w:rPr>
          <w:rFonts w:ascii="Corbel" w:hAnsi="Corbel"/>
          <w:b/>
          <w:bCs/>
          <w:color w:val="8DD873" w:themeColor="accent6" w:themeTint="99"/>
        </w:rPr>
      </w:pPr>
    </w:p>
    <w:p w14:paraId="1F547478" w14:textId="77777777" w:rsidR="00A529EF" w:rsidRDefault="00A529EF" w:rsidP="00A529EF">
      <w:pPr>
        <w:spacing w:before="102" w:line="360" w:lineRule="auto"/>
        <w:jc w:val="both"/>
        <w:rPr>
          <w:rFonts w:ascii="Corbel" w:hAnsi="Corbel"/>
          <w:b/>
          <w:bCs/>
          <w:color w:val="8DD873" w:themeColor="accent6" w:themeTint="99"/>
        </w:rPr>
      </w:pPr>
    </w:p>
    <w:p w14:paraId="0530080A" w14:textId="77777777" w:rsidR="00A529EF" w:rsidRDefault="00A529EF" w:rsidP="00A529EF">
      <w:pPr>
        <w:spacing w:before="102" w:line="360" w:lineRule="auto"/>
        <w:jc w:val="both"/>
        <w:rPr>
          <w:rFonts w:ascii="Corbel" w:hAnsi="Corbel"/>
          <w:b/>
          <w:bCs/>
          <w:color w:val="8DD873" w:themeColor="accent6" w:themeTint="99"/>
        </w:rPr>
      </w:pPr>
    </w:p>
    <w:p w14:paraId="517B24AB" w14:textId="0604E774" w:rsidR="00A529EF" w:rsidRPr="00A529EF" w:rsidRDefault="00A529EF" w:rsidP="00A529EF">
      <w:pPr>
        <w:spacing w:before="102" w:line="360" w:lineRule="auto"/>
        <w:jc w:val="both"/>
        <w:rPr>
          <w:rFonts w:ascii="Century Gothic" w:hAnsi="Century Gothic"/>
          <w:b/>
          <w:bCs/>
          <w:color w:val="025850"/>
          <w:sz w:val="22"/>
          <w:szCs w:val="22"/>
        </w:rPr>
      </w:pPr>
      <w:r w:rsidRPr="00A529EF">
        <w:rPr>
          <w:rFonts w:ascii="Century Gothic" w:hAnsi="Century Gothic"/>
          <w:b/>
          <w:bCs/>
          <w:color w:val="025850"/>
          <w:sz w:val="22"/>
          <w:szCs w:val="22"/>
        </w:rPr>
        <w:t xml:space="preserve">Atención a grupos vulnerables </w:t>
      </w:r>
    </w:p>
    <w:p w14:paraId="7C3AA123"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Existen grupos que, por su propia naturaleza o condición económica, de edad, sexo, género, en situación de discapacidad, origen étnico, preferencia sexual, o cualquier otra, son objeto de discriminaciones y desigualdades sistemáticas, que les dificultan o excluyen de ejercer plenamente sus derechos, incorporarse a la vida productiva o acceder a mejores oportunidades de desarrollo. Reconociendo las desventajas que sufren estos grupos, esta administración se ha propuesto reivindicar sus derechos por medio de la instrumentación de políticas públicas transversales e integrales que mitiguen las desigualdades que ocasionan la vulnerabilidad e incrementen el bienestar de estas personas.</w:t>
      </w:r>
    </w:p>
    <w:p w14:paraId="7044C6EE"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Entre los grupos vulnerables que son atendidos por el Plan de Desarrollo del Estado de México 2023–2029 y sus programas para que no se deje a nadie atrás, ni afuera, se encuentran: niñas, niños, adolescentes y jóvenes; mujeres; personas adultas mayores; población en situación de discapacidad; pueblos originarios; </w:t>
      </w:r>
      <w:r w:rsidRPr="00A529EF">
        <w:rPr>
          <w:rFonts w:ascii="Century Gothic" w:hAnsi="Century Gothic"/>
          <w:color w:val="000000" w:themeColor="text1"/>
          <w:sz w:val="22"/>
          <w:szCs w:val="22"/>
        </w:rPr>
        <w:lastRenderedPageBreak/>
        <w:t>migrantes, así como la población LGBTIQ+ y personas afrodescendientes.</w:t>
      </w:r>
    </w:p>
    <w:p w14:paraId="626740A6" w14:textId="1EB11245" w:rsidR="00A529EF" w:rsidRPr="00A529EF" w:rsidRDefault="00A529EF" w:rsidP="00A529EF">
      <w:pPr>
        <w:spacing w:before="102" w:line="360" w:lineRule="auto"/>
        <w:jc w:val="both"/>
        <w:rPr>
          <w:rFonts w:ascii="Century Gothic" w:hAnsi="Century Gothic"/>
          <w:b/>
          <w:bCs/>
          <w:color w:val="025850"/>
          <w:sz w:val="22"/>
          <w:szCs w:val="22"/>
        </w:rPr>
      </w:pPr>
      <w:r w:rsidRPr="00A529EF">
        <w:rPr>
          <w:rFonts w:ascii="Century Gothic" w:hAnsi="Century Gothic"/>
          <w:b/>
          <w:bCs/>
          <w:color w:val="025850"/>
          <w:sz w:val="22"/>
          <w:szCs w:val="22"/>
        </w:rPr>
        <w:t xml:space="preserve">Niñas y niños </w:t>
      </w:r>
    </w:p>
    <w:p w14:paraId="2E27FC18"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 2020, en la Zona del Valle de Toluca residían 469,397 niñas y niños, de 0 a 9 años, el 49.48% correspondió a niñas y 50.51% a niños. La Zona V: Valle de Toluca participó con un 17.66% del total estatal de niñas y niños. La Región 14: Toluca registró el mayor número con 272,730 niñas y niños, seguida de la Región 10: Nicolás Romero que registró un total de 118,680 niñas y niños, mientras que en la Región 16: Lerma se registraron solo 77,987 niñas y niños. En la Región 10, el municipio de Nicolás Romero registró un 14.37% de la población total de la zona. En cambio, Isidro Fabela registró la proporción más baja de la zona, 0.44%. </w:t>
      </w:r>
    </w:p>
    <w:p w14:paraId="24A70615" w14:textId="0A16A21C"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 la Región 14, Toluca registró un 29.95% de niñas y niños respecto de la población total de la zona, la cifra más alta. Mientras que Almoloya del Río y Mexicaltzingo registraron apenas un 0.49% del total de la población infantil en la zona. En la Región 16, Lerma registró un 6.01% de niñas y niños respecto de la población total de la zona </w:t>
      </w:r>
      <w:r w:rsidRPr="00A529EF">
        <w:rPr>
          <w:rFonts w:ascii="Century Gothic" w:hAnsi="Century Gothic"/>
          <w:color w:val="000000" w:themeColor="text1"/>
          <w:sz w:val="22"/>
          <w:szCs w:val="22"/>
        </w:rPr>
        <w:t>y Texcalyacac registró la proporción más baja, 0.21%. En cifras absolutas, en la Zona del Valle de Toluca la mayor cantidad de niñas se encuentra en Toluca con 69,258, mientras que la menor cantidad correspondió a Texcalyacac, con 473. Para el caso de los niños, igualmente el municipio de Toluca con la mayor cantidad, 71,326 y el que tuvo el menor número fue Texcalyacac, con 522.</w:t>
      </w:r>
    </w:p>
    <w:p w14:paraId="6012497F" w14:textId="2155B2C3" w:rsidR="00A529EF" w:rsidRPr="00A529EF" w:rsidRDefault="00A529EF" w:rsidP="00A529EF">
      <w:pPr>
        <w:spacing w:before="102" w:line="360" w:lineRule="auto"/>
        <w:jc w:val="both"/>
        <w:rPr>
          <w:rFonts w:ascii="Century Gothic" w:hAnsi="Century Gothic"/>
          <w:b/>
          <w:bCs/>
          <w:color w:val="025850"/>
          <w:sz w:val="22"/>
          <w:szCs w:val="22"/>
        </w:rPr>
      </w:pPr>
      <w:r w:rsidRPr="00A529EF">
        <w:rPr>
          <w:rFonts w:ascii="Century Gothic" w:hAnsi="Century Gothic"/>
          <w:b/>
          <w:bCs/>
          <w:color w:val="025850"/>
          <w:sz w:val="22"/>
          <w:szCs w:val="22"/>
        </w:rPr>
        <w:t xml:space="preserve">Adolescentes </w:t>
      </w:r>
    </w:p>
    <w:p w14:paraId="389A80D4"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 2020, en la Zona V: Valle de Toluca vivían 516,334 adolescentes de 10 a 19 años, el 49.56% correspondió a adolescentes mujeres y el 50.44% a hombres. La Zona V: Valle de Toluca participó con 17.55% del total estatal de adolescentes. La Región 10: Nicolás Romero registró un total de 132,049 adolescentes, mientras que en la Región 14: Toluca vivían 299,969 y en la Región 16: Lerma 84,316. En términos porcentuales, en la Región 10, el municipio de Temoaya tuvo un 20.76% de adolescentes respecto de su población total, la cifra más alta. En cambio, Nicolás Romero registró la más baja en la Región con 17.72%. </w:t>
      </w:r>
    </w:p>
    <w:p w14:paraId="1A4D09E1"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lastRenderedPageBreak/>
        <w:t>En cifras absolutas, la mayor cantidad de adolescentes mujeres vivía en Nicolás Romero, 37,781; en tanto que, la menor cantidad se ubicaba en Isidro Fabela con 1,115 adolescentes. Para el caso de los adolescentes hombres, el municipio con la mayor cantidad se posicionó Nicolás Romero, con 38,505, y con el menor número fue Isidro Fabela, alcanzando 1,153.</w:t>
      </w:r>
    </w:p>
    <w:p w14:paraId="1B8AA471" w14:textId="6FB7AB38" w:rsidR="00A529EF" w:rsidRPr="00A529EF" w:rsidRDefault="00A529EF" w:rsidP="00A529EF">
      <w:pPr>
        <w:spacing w:before="102" w:line="360" w:lineRule="auto"/>
        <w:jc w:val="both"/>
        <w:rPr>
          <w:rFonts w:ascii="Century Gothic" w:hAnsi="Century Gothic"/>
          <w:b/>
          <w:bCs/>
          <w:color w:val="025850"/>
          <w:sz w:val="22"/>
          <w:szCs w:val="22"/>
        </w:rPr>
      </w:pPr>
      <w:r w:rsidRPr="00A529EF">
        <w:rPr>
          <w:rFonts w:ascii="Century Gothic" w:hAnsi="Century Gothic"/>
          <w:b/>
          <w:bCs/>
          <w:color w:val="025850"/>
          <w:sz w:val="22"/>
          <w:szCs w:val="22"/>
        </w:rPr>
        <w:t xml:space="preserve">Adultos mayores </w:t>
      </w:r>
    </w:p>
    <w:p w14:paraId="30D3351B"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 2020, en la Zona V: Valle de Toluca vivían 288,746 adultos mayores de 60 años o más, el 54.41% correspondió a mujeres y el 45.59% a hombres. La Zona V: Valle de México participó con un 15.043% del total estatal de adultos mayores. La Región 10: Nicolás Romero registró un total de 65,151 adultos mayores, mientras que en la Región 14: Toluca hubo 180,792 y en la Región 16: Lerma 42,803. En términos porcentuales, en la Región 10, Jilotzingo tuvo un 10.46% de adultos mayores respecto de su población total, la cifra más alta. En cambio, Temoaya registró la más baja, 7.55%. En cifras absolutas, la mayor cantidad de adultos mayores mujeres radica en Nicolás Romero, alcanzando un total 22,289, mientras que la menor cantidad habita en isidro Fabela, 603. En cuanto a </w:t>
      </w:r>
      <w:r w:rsidRPr="00A529EF">
        <w:rPr>
          <w:rFonts w:ascii="Century Gothic" w:hAnsi="Century Gothic"/>
          <w:color w:val="000000" w:themeColor="text1"/>
          <w:sz w:val="22"/>
          <w:szCs w:val="22"/>
        </w:rPr>
        <w:t xml:space="preserve">los adultos mayores hombres, el municipio con la mayor cantidad es Nicolás Romero, con 19,443, y con el menor número fue Isidro Fabela con 542. </w:t>
      </w:r>
    </w:p>
    <w:p w14:paraId="31A90D2C"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En la Región 14: el Municipio de Metepec tuvo un 14.20% de adultos mayores respecto de su población total, la cifra más alta a nivel regional En cambio, Almoloya de Juárez registró la más baja, 7.83%. En términos absolutos, la mayor cantidad de adultos mayores mujeres se encuentra en Toluca, con 54,705; por otro lado, en Mexicaltzingo residen solo 718. Para el caso de los adultos mayores hombres, los mismos municipios registraron el mayor y menor número con 43,432 y 605 respectivamente. En la Región 16, el Municipio de Texcalyacac alcanzó el 10.60% de adultos mayores respecto de su población total, la cifra más alta a nivel regional. Mientras que San Antonio la Isla registró la menor cifra con 6.86%. En términos absolutos, la mayor cantidad de adultos mayores mujeres se encuentra en Lerma con 8,129, mientras que en Texcalyacac residen solo 314. Para el caso de los adultos mayores hombres, los mismos municipios registraron la mayor y menor cantidad con 7,566 y 294 respectivamente.</w:t>
      </w:r>
    </w:p>
    <w:p w14:paraId="3D6B2BF3" w14:textId="77777777" w:rsidR="00A529EF" w:rsidRPr="00A529EF" w:rsidRDefault="00A529EF" w:rsidP="00A529EF">
      <w:pPr>
        <w:spacing w:before="102" w:line="360" w:lineRule="auto"/>
        <w:jc w:val="both"/>
        <w:rPr>
          <w:rFonts w:ascii="Century Gothic" w:hAnsi="Century Gothic"/>
          <w:color w:val="000000" w:themeColor="text1"/>
          <w:sz w:val="22"/>
          <w:szCs w:val="22"/>
        </w:rPr>
      </w:pPr>
    </w:p>
    <w:p w14:paraId="362427E7" w14:textId="74306F03" w:rsidR="00A529EF" w:rsidRPr="00E331C8" w:rsidRDefault="00A529EF" w:rsidP="00E331C8">
      <w:pPr>
        <w:spacing w:before="102" w:line="360" w:lineRule="auto"/>
        <w:jc w:val="both"/>
        <w:rPr>
          <w:rFonts w:ascii="Century Gothic" w:hAnsi="Century Gothic"/>
          <w:b/>
          <w:bCs/>
          <w:color w:val="025850"/>
          <w:sz w:val="22"/>
          <w:szCs w:val="22"/>
        </w:rPr>
      </w:pPr>
      <w:r w:rsidRPr="00E331C8">
        <w:rPr>
          <w:rFonts w:ascii="Century Gothic" w:hAnsi="Century Gothic"/>
          <w:b/>
          <w:bCs/>
          <w:color w:val="025850"/>
          <w:sz w:val="22"/>
          <w:szCs w:val="22"/>
        </w:rPr>
        <w:t xml:space="preserve">En situación de discapacidad </w:t>
      </w:r>
    </w:p>
    <w:p w14:paraId="241B9CC4"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 2020, en la Zona V: Valle de Toluca residían 412,214 personas con algún tipo de discapacidad, limitación o condición mental, el 52.67% correspondió a mujeres y el 47.33% a hombres. La Zona V: Valle de Toluca participó con un 14.79% del total estatal de personas con discapacidad, limitación o condición mental. La discapacidad, limitación o condición mental más común en la Zona V: Valle de Toluca estuvo relacionada con problemas de la vista, 243,196 personas; seguida de las dificultades para caminar, subir o bajar escalones, 129,030; complicación para oír, 86,753; problemas de memoria o concentración, 71,219; complicación para comer, vestir o bañar, 33,557; dificultad para hablar, 33,023; y problemas o condiciones mentales, 30,092 personas. </w:t>
      </w:r>
    </w:p>
    <w:p w14:paraId="5259C87E"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En los municipios pertenecientes a la Región 10, la mayor cantidad de personas discapacitadas, con limitaciones o condiciones mentales se ubicó en Nicolás Romero, con 75,382. Por otra parte, la menor cantidad </w:t>
      </w:r>
      <w:r w:rsidRPr="00A529EF">
        <w:rPr>
          <w:rFonts w:ascii="Century Gothic" w:hAnsi="Century Gothic"/>
          <w:color w:val="000000" w:themeColor="text1"/>
          <w:sz w:val="22"/>
          <w:szCs w:val="22"/>
        </w:rPr>
        <w:t>correspondió a Isidro Fabela, con 1,479 personas. En la Región 14, el Municipio de Toluca presentó la mayor cantidad de personas discapacitadas, con limitaciones o condiciones mentales con 130,306 mientras que el menor porcentaje de la zona lo registró Mexicaltzingo con 1,279 personas. En la Región 16, destacó el municipio de Lerma con 22,424 personas discapacitadas, con limitaciones o condiciones mentales, en tanto que el que menor porcentaje registró a nivel regional fue Texcalyacac con 603 personas.</w:t>
      </w:r>
    </w:p>
    <w:p w14:paraId="105CEF90" w14:textId="1239E50A" w:rsidR="00A529EF" w:rsidRPr="00E331C8" w:rsidRDefault="00A529EF" w:rsidP="00A529EF">
      <w:pPr>
        <w:spacing w:before="102" w:line="360" w:lineRule="auto"/>
        <w:jc w:val="both"/>
        <w:rPr>
          <w:rFonts w:ascii="Century Gothic" w:hAnsi="Century Gothic"/>
          <w:b/>
          <w:bCs/>
          <w:color w:val="025850"/>
          <w:sz w:val="22"/>
          <w:szCs w:val="22"/>
        </w:rPr>
      </w:pPr>
      <w:r w:rsidRPr="00E331C8">
        <w:rPr>
          <w:rFonts w:ascii="Century Gothic" w:hAnsi="Century Gothic"/>
          <w:b/>
          <w:bCs/>
          <w:color w:val="025850"/>
          <w:sz w:val="22"/>
          <w:szCs w:val="22"/>
        </w:rPr>
        <w:t xml:space="preserve">Educación de excelencia y humanista para el bienestar </w:t>
      </w:r>
    </w:p>
    <w:p w14:paraId="585F3217" w14:textId="77777777" w:rsidR="00A529EF" w:rsidRP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 xml:space="preserve">El Estado de México cuenta con el sistema educativo más grande de México, en 2022, estaba compuesto por 4,524,261 alumnos, 85.3% en escuelas públicas y 14.7% en privadas. Además, contaba con 253,668 docentes y 25,039 planteles educativos. En la Zona V: Valle de Toluca, del total de 897,706 alumnos inscritos en los diferentes niveles educativos, el 19.84% del total de la matrícula estatal. Para atender las necesidades educativas de los estudiantes, la zona contaba con 52,287 docentes distribuidos en 4,261 escuelas. La mayoría de los estudiantes, el 87.45% asistían </w:t>
      </w:r>
      <w:r w:rsidRPr="00A529EF">
        <w:rPr>
          <w:rFonts w:ascii="Century Gothic" w:hAnsi="Century Gothic"/>
          <w:color w:val="000000" w:themeColor="text1"/>
          <w:sz w:val="22"/>
          <w:szCs w:val="22"/>
        </w:rPr>
        <w:lastRenderedPageBreak/>
        <w:t>a clases de forma presencial, mientras que el 12.55% optó por la modalidad no escolarizada. En cuanto a la distribución de la población estudiantil escolarizada, destacan la educación primaria que en la Región 10: Nicolás Romero concentró el 46.44%, de alumnos; la Región 14: Toluca 38.77%; y la Región 16: Lerma 39.45%, seguido con la matrícula de los alumnos de la educación secundaria con 23.13%, para la Región 10: Nicolás Romero, 19.80% para la Región 14: Toluca y 19.37% para la Región 16: Lerma.</w:t>
      </w:r>
    </w:p>
    <w:p w14:paraId="571180D5" w14:textId="5D46A0CE" w:rsidR="00A529EF" w:rsidRDefault="00A529EF" w:rsidP="00A529EF">
      <w:pPr>
        <w:spacing w:before="102" w:line="360" w:lineRule="auto"/>
        <w:ind w:firstLine="708"/>
        <w:jc w:val="both"/>
        <w:rPr>
          <w:rFonts w:ascii="Century Gothic" w:hAnsi="Century Gothic"/>
          <w:color w:val="000000" w:themeColor="text1"/>
          <w:sz w:val="22"/>
          <w:szCs w:val="22"/>
        </w:rPr>
      </w:pPr>
      <w:r w:rsidRPr="00A529EF">
        <w:rPr>
          <w:rFonts w:ascii="Century Gothic" w:hAnsi="Century Gothic"/>
          <w:color w:val="000000" w:themeColor="text1"/>
          <w:sz w:val="22"/>
          <w:szCs w:val="22"/>
        </w:rPr>
        <w:t>La Zona V: Valle de Toluca se encuentra por arriba del promedio estatal, registrando una relación de 20 alumnos por maestro en preescolar, 26 en primaria, 18 en secundaria, 15 en media superior y 10 en superior. En cuanto a la relación de alumnos por escuela, se registraron 76 alumnos en preescolar, 267 en primaria, 241 en secundaria, 315 en media superior y 593 en educación superior.</w:t>
      </w:r>
    </w:p>
    <w:p w14:paraId="7993F931" w14:textId="3CCBBE65" w:rsidR="00E331C8" w:rsidRDefault="00E331C8" w:rsidP="00A529EF">
      <w:pPr>
        <w:spacing w:before="102" w:line="360" w:lineRule="auto"/>
        <w:ind w:firstLine="708"/>
        <w:jc w:val="both"/>
        <w:rPr>
          <w:rFonts w:ascii="Century Gothic" w:hAnsi="Century Gothic"/>
          <w:color w:val="000000" w:themeColor="text1"/>
          <w:sz w:val="22"/>
          <w:szCs w:val="22"/>
        </w:rPr>
      </w:pPr>
    </w:p>
    <w:p w14:paraId="6F53EA40" w14:textId="014E96FC" w:rsidR="00E331C8" w:rsidRDefault="00E331C8" w:rsidP="00A529EF">
      <w:pPr>
        <w:spacing w:before="102" w:line="360" w:lineRule="auto"/>
        <w:ind w:firstLine="708"/>
        <w:jc w:val="both"/>
        <w:rPr>
          <w:rFonts w:ascii="Century Gothic" w:hAnsi="Century Gothic"/>
          <w:color w:val="000000" w:themeColor="text1"/>
          <w:sz w:val="22"/>
          <w:szCs w:val="22"/>
        </w:rPr>
      </w:pPr>
    </w:p>
    <w:p w14:paraId="2CD74D3C" w14:textId="5ABAC818" w:rsidR="00E331C8" w:rsidRDefault="00E331C8" w:rsidP="007C27F6">
      <w:pPr>
        <w:spacing w:before="102" w:line="360" w:lineRule="auto"/>
        <w:jc w:val="both"/>
        <w:rPr>
          <w:rFonts w:ascii="Century Gothic" w:hAnsi="Century Gothic"/>
          <w:color w:val="000000" w:themeColor="text1"/>
          <w:sz w:val="22"/>
          <w:szCs w:val="22"/>
        </w:rPr>
      </w:pPr>
    </w:p>
    <w:p w14:paraId="4A9B1DA1" w14:textId="2C7A24D8" w:rsidR="00E331C8" w:rsidRPr="00E331C8" w:rsidRDefault="00E331C8" w:rsidP="00E331C8">
      <w:pPr>
        <w:tabs>
          <w:tab w:val="left" w:pos="2622"/>
        </w:tabs>
        <w:spacing w:after="0"/>
        <w:jc w:val="center"/>
        <w:rPr>
          <w:b/>
          <w:bCs/>
          <w:color w:val="025850"/>
          <w:sz w:val="22"/>
          <w:szCs w:val="22"/>
        </w:rPr>
      </w:pPr>
      <w:r w:rsidRPr="00E331C8">
        <w:rPr>
          <w:b/>
          <w:bCs/>
          <w:color w:val="025850"/>
          <w:sz w:val="22"/>
          <w:szCs w:val="22"/>
        </w:rPr>
        <w:t>Alumnos promedio por docente y alumnos promedio por escuela, 2022.</w:t>
      </w:r>
      <w:r>
        <w:rPr>
          <w:b/>
          <w:bCs/>
          <w:color w:val="025850"/>
          <w:sz w:val="22"/>
          <w:szCs w:val="22"/>
        </w:rPr>
        <w:t xml:space="preserve"> </w:t>
      </w:r>
      <w:r w:rsidRPr="00E331C8">
        <w:rPr>
          <w:b/>
          <w:bCs/>
          <w:color w:val="025850"/>
          <w:sz w:val="22"/>
          <w:szCs w:val="22"/>
        </w:rPr>
        <w:t>Zona V: Valle de Toluca</w:t>
      </w:r>
    </w:p>
    <w:tbl>
      <w:tblPr>
        <w:tblStyle w:val="Tablaconcuadrcula4-nfasis2"/>
        <w:tblW w:w="0" w:type="auto"/>
        <w:tblLook w:val="04A0" w:firstRow="1" w:lastRow="0" w:firstColumn="1" w:lastColumn="0" w:noHBand="0" w:noVBand="1"/>
      </w:tblPr>
      <w:tblGrid>
        <w:gridCol w:w="2106"/>
        <w:gridCol w:w="2005"/>
        <w:gridCol w:w="2005"/>
      </w:tblGrid>
      <w:tr w:rsidR="00E331C8" w:rsidRPr="00E331C8" w14:paraId="1E03F948" w14:textId="77777777" w:rsidTr="00E331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2AF4BD79" w14:textId="77777777" w:rsidR="00E331C8" w:rsidRPr="00E331C8" w:rsidRDefault="00E331C8" w:rsidP="00AD104F">
            <w:pPr>
              <w:tabs>
                <w:tab w:val="left" w:pos="2622"/>
              </w:tabs>
              <w:rPr>
                <w:rFonts w:ascii="Century Gothic" w:hAnsi="Century Gothic"/>
              </w:rPr>
            </w:pPr>
            <w:r w:rsidRPr="00E331C8">
              <w:rPr>
                <w:rFonts w:ascii="Century Gothic" w:hAnsi="Century Gothic"/>
              </w:rPr>
              <w:t>Territorio</w:t>
            </w:r>
          </w:p>
        </w:tc>
        <w:tc>
          <w:tcPr>
            <w:tcW w:w="2005" w:type="dxa"/>
          </w:tcPr>
          <w:p w14:paraId="0A15A087" w14:textId="77777777" w:rsidR="00E331C8" w:rsidRPr="00E331C8" w:rsidRDefault="00E331C8" w:rsidP="00AD104F">
            <w:pPr>
              <w:tabs>
                <w:tab w:val="left" w:pos="2622"/>
              </w:tabs>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31C8">
              <w:rPr>
                <w:rFonts w:ascii="Century Gothic" w:hAnsi="Century Gothic"/>
              </w:rPr>
              <w:t>Alumnos promedio por docente</w:t>
            </w:r>
          </w:p>
        </w:tc>
        <w:tc>
          <w:tcPr>
            <w:tcW w:w="2005" w:type="dxa"/>
          </w:tcPr>
          <w:p w14:paraId="7ABC1F26" w14:textId="77777777" w:rsidR="00E331C8" w:rsidRPr="00E331C8" w:rsidRDefault="00E331C8" w:rsidP="00AD104F">
            <w:pPr>
              <w:tabs>
                <w:tab w:val="left" w:pos="2622"/>
              </w:tabs>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E331C8">
              <w:rPr>
                <w:rFonts w:ascii="Century Gothic" w:hAnsi="Century Gothic"/>
              </w:rPr>
              <w:t>Alumnos promedio por escuela</w:t>
            </w:r>
          </w:p>
        </w:tc>
      </w:tr>
      <w:tr w:rsidR="00E331C8" w:rsidRPr="00E331C8" w14:paraId="0433175E" w14:textId="77777777" w:rsidTr="00E33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197EF808" w14:textId="77777777" w:rsidR="00E331C8" w:rsidRPr="00E331C8" w:rsidRDefault="00E331C8" w:rsidP="00AD104F">
            <w:pPr>
              <w:tabs>
                <w:tab w:val="left" w:pos="2622"/>
              </w:tabs>
              <w:rPr>
                <w:rFonts w:ascii="Century Gothic" w:hAnsi="Century Gothic"/>
              </w:rPr>
            </w:pPr>
            <w:r w:rsidRPr="00E331C8">
              <w:rPr>
                <w:rFonts w:ascii="Century Gothic" w:hAnsi="Century Gothic"/>
              </w:rPr>
              <w:t>Educación preescolar</w:t>
            </w:r>
          </w:p>
        </w:tc>
        <w:tc>
          <w:tcPr>
            <w:tcW w:w="2005" w:type="dxa"/>
          </w:tcPr>
          <w:p w14:paraId="36FDF936" w14:textId="77777777" w:rsidR="00E331C8" w:rsidRPr="00E331C8" w:rsidRDefault="00E331C8" w:rsidP="00AD104F">
            <w:pPr>
              <w:tabs>
                <w:tab w:val="left" w:pos="2622"/>
              </w:tabs>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31C8">
              <w:rPr>
                <w:rFonts w:ascii="Century Gothic" w:hAnsi="Century Gothic"/>
              </w:rPr>
              <w:t>20</w:t>
            </w:r>
          </w:p>
        </w:tc>
        <w:tc>
          <w:tcPr>
            <w:tcW w:w="2005" w:type="dxa"/>
          </w:tcPr>
          <w:p w14:paraId="484E7032" w14:textId="77777777" w:rsidR="00E331C8" w:rsidRPr="00E331C8" w:rsidRDefault="00E331C8" w:rsidP="00AD104F">
            <w:pPr>
              <w:tabs>
                <w:tab w:val="left" w:pos="2622"/>
              </w:tabs>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31C8">
              <w:rPr>
                <w:rFonts w:ascii="Century Gothic" w:hAnsi="Century Gothic"/>
              </w:rPr>
              <w:t>76</w:t>
            </w:r>
          </w:p>
        </w:tc>
      </w:tr>
      <w:tr w:rsidR="00E331C8" w:rsidRPr="00E331C8" w14:paraId="7DA2B528" w14:textId="77777777" w:rsidTr="00E331C8">
        <w:tc>
          <w:tcPr>
            <w:cnfStyle w:val="001000000000" w:firstRow="0" w:lastRow="0" w:firstColumn="1" w:lastColumn="0" w:oddVBand="0" w:evenVBand="0" w:oddHBand="0" w:evenHBand="0" w:firstRowFirstColumn="0" w:firstRowLastColumn="0" w:lastRowFirstColumn="0" w:lastRowLastColumn="0"/>
            <w:tcW w:w="2106" w:type="dxa"/>
          </w:tcPr>
          <w:p w14:paraId="37142586" w14:textId="77777777" w:rsidR="00E331C8" w:rsidRPr="00E331C8" w:rsidRDefault="00E331C8" w:rsidP="00AD104F">
            <w:pPr>
              <w:tabs>
                <w:tab w:val="left" w:pos="2622"/>
              </w:tabs>
              <w:rPr>
                <w:rFonts w:ascii="Century Gothic" w:hAnsi="Century Gothic"/>
              </w:rPr>
            </w:pPr>
            <w:r w:rsidRPr="00E331C8">
              <w:rPr>
                <w:rFonts w:ascii="Century Gothic" w:hAnsi="Century Gothic"/>
              </w:rPr>
              <w:t>Educación primaria</w:t>
            </w:r>
          </w:p>
        </w:tc>
        <w:tc>
          <w:tcPr>
            <w:tcW w:w="2005" w:type="dxa"/>
          </w:tcPr>
          <w:p w14:paraId="1AF05E3F" w14:textId="77777777" w:rsidR="00E331C8" w:rsidRPr="00E331C8" w:rsidRDefault="00E331C8" w:rsidP="00AD104F">
            <w:pPr>
              <w:tabs>
                <w:tab w:val="left" w:pos="2622"/>
              </w:tabs>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31C8">
              <w:rPr>
                <w:rFonts w:ascii="Century Gothic" w:hAnsi="Century Gothic"/>
              </w:rPr>
              <w:t>26</w:t>
            </w:r>
          </w:p>
        </w:tc>
        <w:tc>
          <w:tcPr>
            <w:tcW w:w="2005" w:type="dxa"/>
          </w:tcPr>
          <w:p w14:paraId="125C6531" w14:textId="77777777" w:rsidR="00E331C8" w:rsidRPr="00E331C8" w:rsidRDefault="00E331C8" w:rsidP="00AD104F">
            <w:pPr>
              <w:tabs>
                <w:tab w:val="left" w:pos="2622"/>
              </w:tabs>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31C8">
              <w:rPr>
                <w:rFonts w:ascii="Century Gothic" w:hAnsi="Century Gothic"/>
              </w:rPr>
              <w:t>267</w:t>
            </w:r>
          </w:p>
        </w:tc>
      </w:tr>
      <w:tr w:rsidR="00E331C8" w:rsidRPr="00E331C8" w14:paraId="78E7137F" w14:textId="77777777" w:rsidTr="00E33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660CADC0" w14:textId="77777777" w:rsidR="00E331C8" w:rsidRPr="00E331C8" w:rsidRDefault="00E331C8" w:rsidP="00AD104F">
            <w:pPr>
              <w:tabs>
                <w:tab w:val="left" w:pos="2622"/>
              </w:tabs>
              <w:rPr>
                <w:rFonts w:ascii="Century Gothic" w:hAnsi="Century Gothic"/>
              </w:rPr>
            </w:pPr>
            <w:r w:rsidRPr="00E331C8">
              <w:rPr>
                <w:rFonts w:ascii="Century Gothic" w:hAnsi="Century Gothic"/>
              </w:rPr>
              <w:t>Educación secundaria</w:t>
            </w:r>
          </w:p>
        </w:tc>
        <w:tc>
          <w:tcPr>
            <w:tcW w:w="2005" w:type="dxa"/>
          </w:tcPr>
          <w:p w14:paraId="0F728016" w14:textId="77777777" w:rsidR="00E331C8" w:rsidRPr="00E331C8" w:rsidRDefault="00E331C8" w:rsidP="00AD104F">
            <w:pPr>
              <w:tabs>
                <w:tab w:val="left" w:pos="2622"/>
              </w:tabs>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31C8">
              <w:rPr>
                <w:rFonts w:ascii="Century Gothic" w:hAnsi="Century Gothic"/>
              </w:rPr>
              <w:t>18</w:t>
            </w:r>
          </w:p>
        </w:tc>
        <w:tc>
          <w:tcPr>
            <w:tcW w:w="2005" w:type="dxa"/>
          </w:tcPr>
          <w:p w14:paraId="36A87D98" w14:textId="77777777" w:rsidR="00E331C8" w:rsidRPr="00E331C8" w:rsidRDefault="00E331C8" w:rsidP="00AD104F">
            <w:pPr>
              <w:tabs>
                <w:tab w:val="left" w:pos="2622"/>
              </w:tabs>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31C8">
              <w:rPr>
                <w:rFonts w:ascii="Century Gothic" w:hAnsi="Century Gothic"/>
              </w:rPr>
              <w:t>241</w:t>
            </w:r>
          </w:p>
        </w:tc>
      </w:tr>
      <w:tr w:rsidR="00E331C8" w:rsidRPr="00E331C8" w14:paraId="3E898E70" w14:textId="77777777" w:rsidTr="00E331C8">
        <w:tc>
          <w:tcPr>
            <w:cnfStyle w:val="001000000000" w:firstRow="0" w:lastRow="0" w:firstColumn="1" w:lastColumn="0" w:oddVBand="0" w:evenVBand="0" w:oddHBand="0" w:evenHBand="0" w:firstRowFirstColumn="0" w:firstRowLastColumn="0" w:lastRowFirstColumn="0" w:lastRowLastColumn="0"/>
            <w:tcW w:w="2106" w:type="dxa"/>
          </w:tcPr>
          <w:p w14:paraId="53E3E2D3" w14:textId="77777777" w:rsidR="00E331C8" w:rsidRPr="00E331C8" w:rsidRDefault="00E331C8" w:rsidP="00AD104F">
            <w:pPr>
              <w:tabs>
                <w:tab w:val="left" w:pos="2622"/>
              </w:tabs>
              <w:rPr>
                <w:rFonts w:ascii="Century Gothic" w:hAnsi="Century Gothic"/>
              </w:rPr>
            </w:pPr>
            <w:r w:rsidRPr="00E331C8">
              <w:rPr>
                <w:rFonts w:ascii="Century Gothic" w:hAnsi="Century Gothic"/>
              </w:rPr>
              <w:t>Educación media superior</w:t>
            </w:r>
          </w:p>
        </w:tc>
        <w:tc>
          <w:tcPr>
            <w:tcW w:w="2005" w:type="dxa"/>
          </w:tcPr>
          <w:p w14:paraId="6881A3DF" w14:textId="77777777" w:rsidR="00E331C8" w:rsidRPr="00E331C8" w:rsidRDefault="00E331C8" w:rsidP="00AD104F">
            <w:pPr>
              <w:tabs>
                <w:tab w:val="left" w:pos="2622"/>
              </w:tabs>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31C8">
              <w:rPr>
                <w:rFonts w:ascii="Century Gothic" w:hAnsi="Century Gothic"/>
              </w:rPr>
              <w:t>15</w:t>
            </w:r>
          </w:p>
        </w:tc>
        <w:tc>
          <w:tcPr>
            <w:tcW w:w="2005" w:type="dxa"/>
          </w:tcPr>
          <w:p w14:paraId="50789F71" w14:textId="77777777" w:rsidR="00E331C8" w:rsidRPr="00E331C8" w:rsidRDefault="00E331C8" w:rsidP="00AD104F">
            <w:pPr>
              <w:tabs>
                <w:tab w:val="left" w:pos="2622"/>
              </w:tabs>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E331C8">
              <w:rPr>
                <w:rFonts w:ascii="Century Gothic" w:hAnsi="Century Gothic"/>
              </w:rPr>
              <w:t>315</w:t>
            </w:r>
          </w:p>
        </w:tc>
      </w:tr>
      <w:tr w:rsidR="00E331C8" w:rsidRPr="00E331C8" w14:paraId="35C4DA89" w14:textId="77777777" w:rsidTr="00E331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6" w:type="dxa"/>
          </w:tcPr>
          <w:p w14:paraId="3E2A371A" w14:textId="77777777" w:rsidR="00E331C8" w:rsidRPr="00E331C8" w:rsidRDefault="00E331C8" w:rsidP="00AD104F">
            <w:pPr>
              <w:tabs>
                <w:tab w:val="left" w:pos="2622"/>
              </w:tabs>
              <w:rPr>
                <w:rFonts w:ascii="Century Gothic" w:hAnsi="Century Gothic"/>
              </w:rPr>
            </w:pPr>
            <w:r w:rsidRPr="00E331C8">
              <w:rPr>
                <w:rFonts w:ascii="Century Gothic" w:hAnsi="Century Gothic"/>
              </w:rPr>
              <w:t>Educación superior</w:t>
            </w:r>
          </w:p>
        </w:tc>
        <w:tc>
          <w:tcPr>
            <w:tcW w:w="2005" w:type="dxa"/>
          </w:tcPr>
          <w:p w14:paraId="7490C72B" w14:textId="77777777" w:rsidR="00E331C8" w:rsidRPr="00E331C8" w:rsidRDefault="00E331C8" w:rsidP="00AD104F">
            <w:pPr>
              <w:tabs>
                <w:tab w:val="left" w:pos="2622"/>
              </w:tabs>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31C8">
              <w:rPr>
                <w:rFonts w:ascii="Century Gothic" w:hAnsi="Century Gothic"/>
              </w:rPr>
              <w:t>10</w:t>
            </w:r>
          </w:p>
        </w:tc>
        <w:tc>
          <w:tcPr>
            <w:tcW w:w="2005" w:type="dxa"/>
          </w:tcPr>
          <w:p w14:paraId="7135BDF2" w14:textId="77777777" w:rsidR="00E331C8" w:rsidRPr="00E331C8" w:rsidRDefault="00E331C8" w:rsidP="00AD104F">
            <w:pPr>
              <w:tabs>
                <w:tab w:val="left" w:pos="2622"/>
              </w:tabs>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E331C8">
              <w:rPr>
                <w:rFonts w:ascii="Century Gothic" w:hAnsi="Century Gothic"/>
              </w:rPr>
              <w:t>593</w:t>
            </w:r>
          </w:p>
        </w:tc>
      </w:tr>
    </w:tbl>
    <w:p w14:paraId="0026A171" w14:textId="53C4221F" w:rsidR="00E331C8" w:rsidRDefault="00E331C8" w:rsidP="00E331C8">
      <w:pPr>
        <w:spacing w:before="102"/>
        <w:jc w:val="both"/>
        <w:rPr>
          <w:rFonts w:ascii="Century Gothic" w:hAnsi="Century Gothic"/>
          <w:b/>
          <w:bCs/>
          <w:color w:val="000000" w:themeColor="text1"/>
          <w:sz w:val="14"/>
          <w:szCs w:val="14"/>
        </w:rPr>
      </w:pPr>
      <w:r w:rsidRPr="00E331C8">
        <w:rPr>
          <w:rFonts w:ascii="Century Gothic" w:hAnsi="Century Gothic"/>
          <w:b/>
          <w:bCs/>
          <w:color w:val="000000" w:themeColor="text1"/>
          <w:sz w:val="14"/>
          <w:szCs w:val="14"/>
        </w:rPr>
        <w:t xml:space="preserve">Fuente: </w:t>
      </w:r>
      <w:r w:rsidRPr="00E331C8">
        <w:rPr>
          <w:rFonts w:ascii="Century Gothic" w:hAnsi="Century Gothic"/>
          <w:color w:val="000000" w:themeColor="text1"/>
          <w:sz w:val="14"/>
          <w:szCs w:val="14"/>
        </w:rPr>
        <w:t>COPLADEM (2024). Con información de la Dirección de Información y Planeación, Secretaría de Educación</w:t>
      </w:r>
      <w:r w:rsidRPr="00E331C8">
        <w:rPr>
          <w:rFonts w:ascii="Century Gothic" w:hAnsi="Century Gothic"/>
          <w:b/>
          <w:bCs/>
          <w:color w:val="000000" w:themeColor="text1"/>
          <w:sz w:val="14"/>
          <w:szCs w:val="14"/>
        </w:rPr>
        <w:t>.</w:t>
      </w:r>
    </w:p>
    <w:p w14:paraId="4EE1E00B" w14:textId="77777777" w:rsidR="00E331C8" w:rsidRDefault="00E331C8" w:rsidP="00E331C8">
      <w:pPr>
        <w:spacing w:before="102" w:line="360" w:lineRule="auto"/>
        <w:jc w:val="both"/>
        <w:rPr>
          <w:rFonts w:ascii="Corbel" w:hAnsi="Corbel"/>
          <w:b/>
          <w:bCs/>
          <w:color w:val="8DD873" w:themeColor="accent6" w:themeTint="99"/>
        </w:rPr>
      </w:pPr>
    </w:p>
    <w:p w14:paraId="69F13FE3" w14:textId="4A5CEE25" w:rsidR="00E331C8" w:rsidRPr="00E331C8" w:rsidRDefault="00E331C8" w:rsidP="00E331C8">
      <w:pPr>
        <w:spacing w:before="102" w:line="360" w:lineRule="auto"/>
        <w:jc w:val="both"/>
        <w:rPr>
          <w:rFonts w:ascii="Century Gothic" w:hAnsi="Century Gothic"/>
          <w:b/>
          <w:bCs/>
          <w:color w:val="025850"/>
          <w:sz w:val="22"/>
          <w:szCs w:val="22"/>
        </w:rPr>
      </w:pPr>
      <w:r w:rsidRPr="00E331C8">
        <w:rPr>
          <w:rFonts w:ascii="Century Gothic" w:hAnsi="Century Gothic"/>
          <w:b/>
          <w:bCs/>
          <w:color w:val="025850"/>
          <w:sz w:val="22"/>
          <w:szCs w:val="22"/>
        </w:rPr>
        <w:t xml:space="preserve">Acceso a la salud integral </w:t>
      </w:r>
    </w:p>
    <w:p w14:paraId="672CDED3"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En 2020, en la Zona V: Valle de Toluca se contabilizaron 981,312 personas sin afiliación a servicios de salud, lo que representa 17.30% de la población total de la entidad. Es importante considerar que la mayoría de las personas sin afiliación son las que desempeñan en el sector informal, lo cual dificulta que puedan costear los gastos de atención médica, como consultas, medicamentos y estudios clínicos. La Región 10: Nicolás </w:t>
      </w:r>
      <w:r w:rsidRPr="00E331C8">
        <w:rPr>
          <w:rFonts w:ascii="Century Gothic" w:hAnsi="Century Gothic"/>
          <w:sz w:val="22"/>
          <w:szCs w:val="22"/>
        </w:rPr>
        <w:lastRenderedPageBreak/>
        <w:t>Romero registró un total de 258,930 personas sin afiliación a servicios de salud, mientras que en la Región 14: Toluca hubo 574,157 y en la Región 16: Lerma 148,225.</w:t>
      </w:r>
    </w:p>
    <w:p w14:paraId="3F6D2C0E"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La Zona V: Valle de Toluca participó con 16.80% del total de las unidades de salud estatal. La Región 10: Nicolás Romero concentró el 29.63% de unidades de salud, la Región 14: Toluca tuvo 50% y la Región 16: Lerma 21.76%.</w:t>
      </w:r>
    </w:p>
    <w:p w14:paraId="5A3FE209"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En 2023, el ISSEMYM otorgó el acceso a los servicios de salud, educación y recreación a su población derechohabiente a través de la infraestructura desplegada en la Zona, la cual está compuesta por 22 Unidades de consulta externa (Primer Nivel), 2 unidades de hospitalización general (Segundo Nivel) y 3 unidades de hospitalización especializada (Tercer Nivel). </w:t>
      </w:r>
    </w:p>
    <w:p w14:paraId="5FCF6203"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Aunado a lo anterior, existen 273 consultorios médicos distribuidos en las unidades de atención ofreciendo servicios como consulta general, odontológica, psiquiatría, pediatría, traumatología, medicina interna, ginecobstetricia, cirugía, entre otros, desplegados en las tres regiones que conforman la zona. </w:t>
      </w:r>
    </w:p>
    <w:p w14:paraId="1FB705B9" w14:textId="67784140" w:rsidR="00E331C8" w:rsidRPr="00E331C8" w:rsidRDefault="00E331C8" w:rsidP="00E331C8">
      <w:pPr>
        <w:spacing w:before="102" w:line="360" w:lineRule="auto"/>
        <w:jc w:val="both"/>
        <w:rPr>
          <w:rFonts w:ascii="Century Gothic" w:hAnsi="Century Gothic"/>
          <w:b/>
          <w:bCs/>
          <w:color w:val="025850"/>
          <w:sz w:val="22"/>
          <w:szCs w:val="22"/>
        </w:rPr>
      </w:pPr>
      <w:r w:rsidRPr="00E331C8">
        <w:rPr>
          <w:rFonts w:ascii="Century Gothic" w:hAnsi="Century Gothic"/>
          <w:b/>
          <w:bCs/>
          <w:color w:val="025850"/>
          <w:sz w:val="22"/>
          <w:szCs w:val="22"/>
        </w:rPr>
        <w:t xml:space="preserve">Vivienda y servicios públicos </w:t>
      </w:r>
    </w:p>
    <w:p w14:paraId="4B633E82"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De acuerdo con el Censo de Población y Vivienda 2020, en la Zona V: Valle de Toluca se contabilizaron 736,452 viviendas, lo que representaba el 16.14% del total registrado en la entidad. Las viviendas particulares habitadas en la Zona V: Valle de Toluca se distribuyen de manera que en la Región 10: Nicolás Romero hay 180,159, la Región 14: Toluca 444,995 y en la Región 16: Lerma 11,298. </w:t>
      </w:r>
    </w:p>
    <w:p w14:paraId="78E1BB12" w14:textId="0B6C21A6" w:rsidR="00E331C8" w:rsidRPr="00E331C8" w:rsidRDefault="00E331C8" w:rsidP="00E331C8">
      <w:pPr>
        <w:spacing w:before="102" w:line="360" w:lineRule="auto"/>
        <w:ind w:firstLine="708"/>
        <w:jc w:val="both"/>
        <w:rPr>
          <w:rFonts w:ascii="Century Gothic" w:hAnsi="Century Gothic"/>
          <w:b/>
          <w:bCs/>
          <w:color w:val="000000" w:themeColor="text1"/>
          <w:sz w:val="12"/>
          <w:szCs w:val="12"/>
        </w:rPr>
      </w:pPr>
      <w:r w:rsidRPr="00E331C8">
        <w:rPr>
          <w:rFonts w:ascii="Century Gothic" w:hAnsi="Century Gothic"/>
          <w:sz w:val="22"/>
          <w:szCs w:val="22"/>
        </w:rPr>
        <w:t xml:space="preserve">En términos porcentuales 24.46%, 60.42% y 15.11% respectivamente. Carencia por acceso a los servicios básicos en la vivienda En 2020, en la Zona V: Valle de Toluca 488,461 personas presentaron carencia por el acceso a los servicios básicos en la vivienda. De este modo la Zona Valle de Toluca participó con un 27.26% del total estatal de las personas con esta carencia. En la Región 10: Nicolás Romero, 22.1% de las personas registraron carencia por el acceso a los servicios básicos en la vivienda, mientras que en la Región 14: Toluca fue el 10.9 y en la Región 16: Lerma 7.36%. En la Región 10 destaca el Municipio de Temoaya como el de mayor porcentaje de población con esta carencia al registrar </w:t>
      </w:r>
      <w:r w:rsidRPr="00E331C8">
        <w:rPr>
          <w:rFonts w:ascii="Century Gothic" w:hAnsi="Century Gothic"/>
          <w:sz w:val="22"/>
          <w:szCs w:val="22"/>
        </w:rPr>
        <w:lastRenderedPageBreak/>
        <w:t>43.5% mientras que el Municipio Jilotzingo registró el menor porcentaje de la Región con 9.6% de población es esta condición.</w:t>
      </w:r>
    </w:p>
    <w:p w14:paraId="01E253DD" w14:textId="4E539846" w:rsidR="00E331C8" w:rsidRPr="00E331C8" w:rsidRDefault="00E331C8" w:rsidP="00E331C8">
      <w:pPr>
        <w:spacing w:before="102" w:line="360" w:lineRule="auto"/>
        <w:ind w:firstLine="708"/>
        <w:jc w:val="both"/>
        <w:rPr>
          <w:rFonts w:ascii="Century Gothic" w:hAnsi="Century Gothic"/>
          <w:b/>
          <w:bCs/>
          <w:color w:val="000000" w:themeColor="text1"/>
          <w:sz w:val="12"/>
          <w:szCs w:val="12"/>
        </w:rPr>
      </w:pPr>
      <w:r w:rsidRPr="00E331C8">
        <w:rPr>
          <w:rFonts w:ascii="Century Gothic" w:hAnsi="Century Gothic"/>
          <w:sz w:val="22"/>
          <w:szCs w:val="22"/>
        </w:rPr>
        <w:t>A pesar de que en el Estado de México se ha trabajado para asegurar el acceso a servicios públicos en las viviendas, aún existen hogares en la Zona V: Valle de Toluca que tienen piso de tierra con el 1.99%, 0.35% sin energía eléctrica, 2.24% sin agua entubada y el 2.03% no disponen de drenaje, siendo estos elementos fundamentales para el desarrollo humano y bienestar social.</w:t>
      </w:r>
    </w:p>
    <w:p w14:paraId="4495FC1F" w14:textId="2592A3DC" w:rsidR="00E331C8" w:rsidRPr="00E331C8" w:rsidRDefault="00E331C8" w:rsidP="00E331C8">
      <w:pPr>
        <w:spacing w:before="102" w:line="360" w:lineRule="auto"/>
        <w:jc w:val="both"/>
        <w:rPr>
          <w:rFonts w:ascii="Century Gothic" w:hAnsi="Century Gothic"/>
          <w:b/>
          <w:bCs/>
          <w:color w:val="025850"/>
          <w:sz w:val="22"/>
          <w:szCs w:val="22"/>
        </w:rPr>
      </w:pPr>
      <w:r w:rsidRPr="00E331C8">
        <w:rPr>
          <w:rFonts w:ascii="Century Gothic" w:hAnsi="Century Gothic"/>
          <w:b/>
          <w:bCs/>
          <w:color w:val="025850"/>
          <w:sz w:val="22"/>
          <w:szCs w:val="22"/>
        </w:rPr>
        <w:t xml:space="preserve">Eje Transversal 1. Igualdad de Género </w:t>
      </w:r>
    </w:p>
    <w:p w14:paraId="2142DF8F" w14:textId="05A4FAC1" w:rsidR="00E331C8" w:rsidRPr="00E331C8" w:rsidRDefault="00E331C8" w:rsidP="00E331C8">
      <w:pPr>
        <w:spacing w:before="102" w:line="360" w:lineRule="auto"/>
        <w:jc w:val="both"/>
        <w:rPr>
          <w:rFonts w:ascii="Century Gothic" w:hAnsi="Century Gothic"/>
          <w:b/>
          <w:bCs/>
          <w:color w:val="025850"/>
          <w:sz w:val="22"/>
          <w:szCs w:val="22"/>
        </w:rPr>
      </w:pPr>
      <w:r w:rsidRPr="00E331C8">
        <w:rPr>
          <w:rFonts w:ascii="Century Gothic" w:hAnsi="Century Gothic"/>
          <w:b/>
          <w:bCs/>
          <w:color w:val="025850"/>
          <w:sz w:val="22"/>
          <w:szCs w:val="22"/>
        </w:rPr>
        <w:t xml:space="preserve">Erradicación de la violencia contra las mujeres y acceso a la justicia </w:t>
      </w:r>
    </w:p>
    <w:p w14:paraId="1D874446"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La Convención para la Eliminación de todas las formas de Discriminación contra las Mujeres (CEDAW, por sus siglas en inglés), adoptada en 1979 por la Asamblea General de las Naciones Unidas, define la violencia contra la mujer por motivos de género como: “la violencia dirigida contra la mujer, porque es mujer, o que la afecta en forma desproporcionada. Incluye actos que </w:t>
      </w:r>
      <w:r w:rsidRPr="00E331C8">
        <w:rPr>
          <w:rFonts w:ascii="Century Gothic" w:hAnsi="Century Gothic"/>
          <w:sz w:val="22"/>
          <w:szCs w:val="22"/>
        </w:rPr>
        <w:t>infligen daños o sufrimientos de índole física, mental o sexual, amenazas de cometer esos actos, coacción y otras formas de privación de la libertad”</w:t>
      </w:r>
    </w:p>
    <w:p w14:paraId="6952E44E"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Así pues, la violencia de género es un problema complejo que afecta profundamente a la sociedad, impidiendo el desarrollo pleno y equitativo de las mujeres y limitando sus oportunidades de vida. Erradicar la violencia contra las mujeres es uno de los principales desafíos que enfrenta el Estado de México. Para atenderlo, es necesario implementar políticas gubernamentales transversales con enfoque multidimensional que incluyan la prevención, protección, sanción y reparación del daño. </w:t>
      </w:r>
    </w:p>
    <w:p w14:paraId="2C0D6AFD"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t xml:space="preserve">En este sentido, la instrumentación de normas efectivas, la capacitación de los cuerpos de seguridad y justicia, y la creación de espacios seguros son esenciales para combatir esta problemática. Además, debe garantizarse que las víctimas accedan a la justicia de manera eficiente y con perspectiva de género. Asimismo, es fundamental impulsar el empoderamiento y la autonomía de las mujeres, niñas y adolescentes para romper los ciclos de violencia y discriminación. </w:t>
      </w:r>
    </w:p>
    <w:p w14:paraId="19CE3FE8" w14:textId="77777777" w:rsidR="00E331C8" w:rsidRPr="00E331C8" w:rsidRDefault="00E331C8" w:rsidP="00E331C8">
      <w:pPr>
        <w:spacing w:before="102" w:line="360" w:lineRule="auto"/>
        <w:ind w:firstLine="708"/>
        <w:jc w:val="both"/>
        <w:rPr>
          <w:rFonts w:ascii="Century Gothic" w:hAnsi="Century Gothic"/>
          <w:sz w:val="22"/>
          <w:szCs w:val="22"/>
        </w:rPr>
      </w:pPr>
      <w:r w:rsidRPr="00E331C8">
        <w:rPr>
          <w:rFonts w:ascii="Century Gothic" w:hAnsi="Century Gothic"/>
          <w:sz w:val="22"/>
          <w:szCs w:val="22"/>
        </w:rPr>
        <w:lastRenderedPageBreak/>
        <w:t xml:space="preserve">Para ello, es necesario </w:t>
      </w:r>
      <w:bookmarkStart w:id="2" w:name="_Hlk188535095"/>
      <w:r w:rsidRPr="00E331C8">
        <w:rPr>
          <w:rFonts w:ascii="Century Gothic" w:hAnsi="Century Gothic"/>
          <w:sz w:val="22"/>
          <w:szCs w:val="22"/>
        </w:rPr>
        <w:t xml:space="preserve">impulsar la igualdad de condiciones en materia laboral, educativa, de participación social y política, así como garantizar el acceso a servicios integrales de salud; en suma, favorecer la igualdad sustantiva entre hombres y mujeres con la finalidad de asegurar que las mujeres puedan ejercer plenamente sus derechos y alcanzar su máximo potencial. </w:t>
      </w:r>
      <w:bookmarkEnd w:id="2"/>
    </w:p>
    <w:p w14:paraId="18767283" w14:textId="08E5AE95" w:rsidR="00E331C8" w:rsidRDefault="00E331C8" w:rsidP="00E331C8">
      <w:pPr>
        <w:spacing w:before="102" w:line="360" w:lineRule="auto"/>
        <w:ind w:firstLine="360"/>
        <w:jc w:val="both"/>
        <w:rPr>
          <w:rFonts w:ascii="Century Gothic" w:hAnsi="Century Gothic"/>
          <w:sz w:val="22"/>
          <w:szCs w:val="22"/>
        </w:rPr>
      </w:pPr>
      <w:r w:rsidRPr="00E331C8">
        <w:rPr>
          <w:rFonts w:ascii="Century Gothic" w:hAnsi="Century Gothic"/>
          <w:sz w:val="22"/>
          <w:szCs w:val="22"/>
        </w:rPr>
        <w:t>De acuerdo con los datos del Secretariado Ejecutivo del Sistema Nacional de Seguridad Pública (SESNSP), en el Estado de México, en los últimos cuatro años la incidencia delictiva de violencia de género se incrementó 195.3%, al pasar de 13 mil 671 delitos en 2019 a 40 mil 369 en 2023; es decir, 26 mil 698 delitos más.</w:t>
      </w:r>
    </w:p>
    <w:p w14:paraId="65DE4A9C" w14:textId="77777777" w:rsidR="00F75EBA" w:rsidRPr="00F75EBA" w:rsidRDefault="00F75EBA" w:rsidP="00F75EBA">
      <w:pPr>
        <w:spacing w:after="0" w:line="240" w:lineRule="auto"/>
        <w:ind w:firstLine="708"/>
        <w:jc w:val="center"/>
        <w:rPr>
          <w:rFonts w:ascii="Century Gothic" w:hAnsi="Century Gothic"/>
          <w:sz w:val="22"/>
          <w:szCs w:val="22"/>
        </w:rPr>
      </w:pPr>
      <w:r w:rsidRPr="00F75EBA">
        <w:rPr>
          <w:rStyle w:val="Textoennegrita"/>
          <w:rFonts w:ascii="Century Gothic" w:hAnsi="Century Gothic"/>
          <w:sz w:val="22"/>
          <w:szCs w:val="22"/>
        </w:rPr>
        <w:t>Incidencia Delictiva de Género 2019 - 2023</w:t>
      </w:r>
    </w:p>
    <w:p w14:paraId="6E673ECD" w14:textId="7C492EE8" w:rsidR="00F75EBA" w:rsidRDefault="00F75EBA" w:rsidP="00F75EBA">
      <w:pPr>
        <w:pStyle w:val="NormalWeb"/>
        <w:spacing w:before="0" w:beforeAutospacing="0" w:after="0" w:afterAutospacing="0"/>
        <w:jc w:val="center"/>
        <w:rPr>
          <w:rStyle w:val="Textoennegrita"/>
          <w:rFonts w:ascii="Century Gothic" w:eastAsiaTheme="majorEastAsia" w:hAnsi="Century Gothic"/>
          <w:sz w:val="20"/>
          <w:szCs w:val="20"/>
        </w:rPr>
      </w:pPr>
      <w:r w:rsidRPr="00F75EBA">
        <w:rPr>
          <w:rStyle w:val="Textoennegrita"/>
          <w:rFonts w:ascii="Century Gothic" w:eastAsiaTheme="majorEastAsia" w:hAnsi="Century Gothic"/>
          <w:sz w:val="20"/>
          <w:szCs w:val="20"/>
        </w:rPr>
        <w:t>Cifras Absolutas</w:t>
      </w:r>
      <w:r>
        <w:rPr>
          <w:rFonts w:ascii="Century Gothic" w:hAnsi="Century Gothic"/>
          <w:sz w:val="20"/>
          <w:szCs w:val="20"/>
        </w:rPr>
        <w:t xml:space="preserve"> </w:t>
      </w:r>
      <w:r w:rsidRPr="00F75EBA">
        <w:rPr>
          <w:rStyle w:val="Textoennegrita"/>
          <w:rFonts w:ascii="Century Gothic" w:eastAsiaTheme="majorEastAsia" w:hAnsi="Century Gothic"/>
          <w:sz w:val="20"/>
          <w:szCs w:val="20"/>
        </w:rPr>
        <w:t>Zona V: Valle de Toluca</w:t>
      </w:r>
    </w:p>
    <w:p w14:paraId="1E9986D9" w14:textId="77777777" w:rsidR="00F75EBA" w:rsidRPr="00F75EBA" w:rsidRDefault="00F75EBA" w:rsidP="00F75EBA">
      <w:pPr>
        <w:pStyle w:val="NormalWeb"/>
        <w:spacing w:before="0" w:beforeAutospacing="0" w:after="0" w:afterAutospacing="0"/>
        <w:jc w:val="center"/>
        <w:rPr>
          <w:rFonts w:eastAsiaTheme="majorEastAsia"/>
          <w:b/>
          <w:bCs/>
          <w:sz w:val="22"/>
          <w:szCs w:val="22"/>
        </w:rPr>
      </w:pPr>
    </w:p>
    <w:tbl>
      <w:tblPr>
        <w:tblStyle w:val="Tablaconcuadrcula4-nfasis2"/>
        <w:tblW w:w="0" w:type="auto"/>
        <w:tblLook w:val="04A0" w:firstRow="1" w:lastRow="0" w:firstColumn="1" w:lastColumn="0" w:noHBand="0" w:noVBand="1"/>
      </w:tblPr>
      <w:tblGrid>
        <w:gridCol w:w="1271"/>
        <w:gridCol w:w="1369"/>
        <w:gridCol w:w="1775"/>
        <w:gridCol w:w="1701"/>
      </w:tblGrid>
      <w:tr w:rsidR="00F75EBA" w:rsidRPr="00F75EBA" w14:paraId="50BFA894" w14:textId="77777777" w:rsidTr="00F75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38A0439F" w14:textId="77777777" w:rsidR="00F75EBA" w:rsidRPr="00F75EBA" w:rsidRDefault="00F75EBA" w:rsidP="00AD104F">
            <w:pPr>
              <w:jc w:val="center"/>
              <w:rPr>
                <w:rFonts w:ascii="Century Gothic" w:eastAsia="Times New Roman" w:hAnsi="Century Gothic" w:cs="Times New Roman"/>
                <w:i/>
                <w:iCs/>
                <w:color w:val="auto"/>
                <w:sz w:val="22"/>
                <w:szCs w:val="22"/>
                <w:lang w:eastAsia="es-MX"/>
              </w:rPr>
            </w:pPr>
            <w:r w:rsidRPr="00F75EBA">
              <w:rPr>
                <w:rFonts w:ascii="Century Gothic" w:eastAsia="Times New Roman" w:hAnsi="Century Gothic" w:cs="Times New Roman"/>
                <w:i/>
                <w:iCs/>
                <w:color w:val="auto"/>
                <w:sz w:val="22"/>
                <w:szCs w:val="22"/>
                <w:lang w:eastAsia="es-MX"/>
              </w:rPr>
              <w:t>Territorio</w:t>
            </w:r>
          </w:p>
        </w:tc>
        <w:tc>
          <w:tcPr>
            <w:tcW w:w="1369" w:type="dxa"/>
            <w:hideMark/>
          </w:tcPr>
          <w:p w14:paraId="774F0CC4" w14:textId="77777777" w:rsidR="00F75EBA" w:rsidRPr="00F75EBA" w:rsidRDefault="00F75EBA" w:rsidP="00AD104F">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i/>
                <w:iCs/>
                <w:color w:val="auto"/>
                <w:sz w:val="22"/>
                <w:szCs w:val="22"/>
                <w:lang w:eastAsia="es-MX"/>
              </w:rPr>
            </w:pPr>
            <w:r w:rsidRPr="00F75EBA">
              <w:rPr>
                <w:rFonts w:ascii="Century Gothic" w:eastAsia="Times New Roman" w:hAnsi="Century Gothic" w:cs="Times New Roman"/>
                <w:i/>
                <w:iCs/>
                <w:color w:val="auto"/>
                <w:sz w:val="22"/>
                <w:szCs w:val="22"/>
                <w:lang w:eastAsia="es-MX"/>
              </w:rPr>
              <w:t>Total 2019 - 2023</w:t>
            </w:r>
          </w:p>
        </w:tc>
        <w:tc>
          <w:tcPr>
            <w:tcW w:w="0" w:type="auto"/>
            <w:hideMark/>
          </w:tcPr>
          <w:p w14:paraId="2EA9AB86" w14:textId="77777777" w:rsidR="00F75EBA" w:rsidRPr="00F75EBA" w:rsidRDefault="00F75EBA" w:rsidP="00AD104F">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i/>
                <w:iCs/>
                <w:color w:val="auto"/>
                <w:sz w:val="22"/>
                <w:szCs w:val="22"/>
                <w:lang w:eastAsia="es-MX"/>
              </w:rPr>
            </w:pPr>
            <w:r w:rsidRPr="00F75EBA">
              <w:rPr>
                <w:rFonts w:ascii="Century Gothic" w:eastAsia="Times New Roman" w:hAnsi="Century Gothic" w:cs="Times New Roman"/>
                <w:i/>
                <w:iCs/>
                <w:color w:val="auto"/>
                <w:sz w:val="22"/>
                <w:szCs w:val="22"/>
                <w:lang w:eastAsia="es-MX"/>
              </w:rPr>
              <w:t>Variación 2019 - 2023 (ABS.)</w:t>
            </w:r>
          </w:p>
        </w:tc>
        <w:tc>
          <w:tcPr>
            <w:tcW w:w="0" w:type="auto"/>
            <w:hideMark/>
          </w:tcPr>
          <w:p w14:paraId="3E25F1F2" w14:textId="77777777" w:rsidR="00F75EBA" w:rsidRPr="00F75EBA" w:rsidRDefault="00F75EBA" w:rsidP="00AD104F">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i/>
                <w:iCs/>
                <w:color w:val="auto"/>
                <w:sz w:val="22"/>
                <w:szCs w:val="22"/>
                <w:lang w:eastAsia="es-MX"/>
              </w:rPr>
            </w:pPr>
            <w:r w:rsidRPr="00F75EBA">
              <w:rPr>
                <w:rFonts w:ascii="Century Gothic" w:eastAsia="Times New Roman" w:hAnsi="Century Gothic" w:cs="Times New Roman"/>
                <w:i/>
                <w:iCs/>
                <w:color w:val="auto"/>
                <w:sz w:val="22"/>
                <w:szCs w:val="22"/>
                <w:lang w:eastAsia="es-MX"/>
              </w:rPr>
              <w:t>Variación 2019 - 2023 (%)</w:t>
            </w:r>
          </w:p>
        </w:tc>
      </w:tr>
      <w:tr w:rsidR="00F75EBA" w:rsidRPr="00F75EBA" w14:paraId="3CCB3165" w14:textId="77777777" w:rsidTr="00F75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hideMark/>
          </w:tcPr>
          <w:p w14:paraId="63B32389" w14:textId="77777777" w:rsidR="00F75EBA" w:rsidRPr="00F75EBA" w:rsidRDefault="00F75EBA" w:rsidP="00AD104F">
            <w:pPr>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Estado de México</w:t>
            </w:r>
          </w:p>
        </w:tc>
        <w:tc>
          <w:tcPr>
            <w:tcW w:w="1369" w:type="dxa"/>
            <w:hideMark/>
          </w:tcPr>
          <w:p w14:paraId="6A671C94" w14:textId="77777777" w:rsidR="00F75EBA" w:rsidRPr="00F75EBA" w:rsidRDefault="00F75EBA" w:rsidP="00AD104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143,210</w:t>
            </w:r>
          </w:p>
        </w:tc>
        <w:tc>
          <w:tcPr>
            <w:tcW w:w="0" w:type="auto"/>
            <w:hideMark/>
          </w:tcPr>
          <w:p w14:paraId="10C0437E" w14:textId="77777777" w:rsidR="00F75EBA" w:rsidRPr="00F75EBA" w:rsidRDefault="00F75EBA" w:rsidP="00AD104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26,698</w:t>
            </w:r>
          </w:p>
        </w:tc>
        <w:tc>
          <w:tcPr>
            <w:tcW w:w="0" w:type="auto"/>
            <w:hideMark/>
          </w:tcPr>
          <w:p w14:paraId="3AE9F790" w14:textId="77777777" w:rsidR="00F75EBA" w:rsidRPr="00F75EBA" w:rsidRDefault="00F75EBA" w:rsidP="00AD104F">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195.29</w:t>
            </w:r>
          </w:p>
        </w:tc>
      </w:tr>
      <w:tr w:rsidR="00F75EBA" w:rsidRPr="00F75EBA" w14:paraId="531C71D1" w14:textId="77777777" w:rsidTr="00F75EBA">
        <w:tc>
          <w:tcPr>
            <w:cnfStyle w:val="001000000000" w:firstRow="0" w:lastRow="0" w:firstColumn="1" w:lastColumn="0" w:oddVBand="0" w:evenVBand="0" w:oddHBand="0" w:evenHBand="0" w:firstRowFirstColumn="0" w:firstRowLastColumn="0" w:lastRowFirstColumn="0" w:lastRowLastColumn="0"/>
            <w:tcW w:w="1271" w:type="dxa"/>
            <w:hideMark/>
          </w:tcPr>
          <w:p w14:paraId="5A32C09D" w14:textId="77777777" w:rsidR="00F75EBA" w:rsidRPr="00F75EBA" w:rsidRDefault="00F75EBA" w:rsidP="00AD104F">
            <w:pPr>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Zona V: Valle de Toluca</w:t>
            </w:r>
          </w:p>
        </w:tc>
        <w:tc>
          <w:tcPr>
            <w:tcW w:w="1369" w:type="dxa"/>
            <w:hideMark/>
          </w:tcPr>
          <w:p w14:paraId="68142777" w14:textId="77777777" w:rsidR="00F75EBA" w:rsidRPr="00F75EBA" w:rsidRDefault="00F75EBA" w:rsidP="00AD104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31,149</w:t>
            </w:r>
          </w:p>
        </w:tc>
        <w:tc>
          <w:tcPr>
            <w:tcW w:w="0" w:type="auto"/>
            <w:hideMark/>
          </w:tcPr>
          <w:p w14:paraId="683AF7AA" w14:textId="77777777" w:rsidR="00F75EBA" w:rsidRPr="00F75EBA" w:rsidRDefault="00F75EBA" w:rsidP="00AD104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5,970</w:t>
            </w:r>
          </w:p>
        </w:tc>
        <w:tc>
          <w:tcPr>
            <w:tcW w:w="0" w:type="auto"/>
            <w:hideMark/>
          </w:tcPr>
          <w:p w14:paraId="393C2321" w14:textId="77777777" w:rsidR="00F75EBA" w:rsidRPr="00F75EBA" w:rsidRDefault="00F75EBA" w:rsidP="00AD104F">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2"/>
                <w:szCs w:val="22"/>
                <w:lang w:eastAsia="es-MX"/>
              </w:rPr>
            </w:pPr>
            <w:r w:rsidRPr="00F75EBA">
              <w:rPr>
                <w:rFonts w:ascii="Century Gothic" w:eastAsia="Times New Roman" w:hAnsi="Century Gothic" w:cs="Times New Roman"/>
                <w:sz w:val="22"/>
                <w:szCs w:val="22"/>
                <w:lang w:eastAsia="es-MX"/>
              </w:rPr>
              <w:t>225.54</w:t>
            </w:r>
          </w:p>
        </w:tc>
      </w:tr>
    </w:tbl>
    <w:p w14:paraId="28F1C3D5" w14:textId="77777777" w:rsidR="00F75EBA" w:rsidRPr="00F75EBA" w:rsidRDefault="00F75EBA" w:rsidP="00F75EBA">
      <w:pPr>
        <w:spacing w:before="102" w:line="360" w:lineRule="auto"/>
        <w:ind w:firstLine="708"/>
        <w:jc w:val="both"/>
        <w:rPr>
          <w:rFonts w:ascii="Century Gothic" w:hAnsi="Century Gothic"/>
          <w:b/>
          <w:bCs/>
          <w:color w:val="000000" w:themeColor="text1"/>
          <w:sz w:val="12"/>
          <w:szCs w:val="12"/>
        </w:rPr>
      </w:pPr>
      <w:r w:rsidRPr="00F75EBA">
        <w:rPr>
          <w:rFonts w:ascii="Century Gothic" w:hAnsi="Century Gothic"/>
          <w:sz w:val="22"/>
          <w:szCs w:val="22"/>
        </w:rPr>
        <w:t>En la Región 14: Toluca, de 2019 a 2023 sucedieron 20,586 delitos de violencia de género contra las mujeres, que representan el 60.0% de la incidencia delictiva total y el que más delitos registra de la Zona V: Valle de Toluca. En esta Región, la incidencia delictiva de violencia de género pasó de 1,716 delitos en 2019 a 6,141 en 2023; es decir, 4,425 delitos más, un incremento de 257.8%.</w:t>
      </w:r>
    </w:p>
    <w:p w14:paraId="3B3F9C02" w14:textId="786F3912" w:rsidR="00F75EBA" w:rsidRPr="00F75EBA" w:rsidRDefault="00F75EBA" w:rsidP="00F75EBA">
      <w:pPr>
        <w:spacing w:before="102" w:line="360" w:lineRule="auto"/>
        <w:jc w:val="both"/>
        <w:rPr>
          <w:rFonts w:ascii="Century Gothic" w:hAnsi="Century Gothic"/>
          <w:b/>
          <w:bCs/>
          <w:color w:val="025850"/>
          <w:sz w:val="22"/>
          <w:szCs w:val="22"/>
        </w:rPr>
      </w:pPr>
      <w:r w:rsidRPr="00F75EBA">
        <w:rPr>
          <w:rFonts w:ascii="Century Gothic" w:hAnsi="Century Gothic"/>
          <w:b/>
          <w:bCs/>
          <w:color w:val="025850"/>
          <w:sz w:val="22"/>
          <w:szCs w:val="22"/>
        </w:rPr>
        <w:t xml:space="preserve">Empoderamiento y la autonomía en mujeres, niñas y adolescentes </w:t>
      </w:r>
    </w:p>
    <w:p w14:paraId="1250D8DD" w14:textId="77777777" w:rsidR="00F75EBA" w:rsidRPr="00F75EBA" w:rsidRDefault="00F75EBA" w:rsidP="00F75EBA">
      <w:pPr>
        <w:spacing w:before="102" w:line="360" w:lineRule="auto"/>
        <w:ind w:firstLine="708"/>
        <w:jc w:val="both"/>
        <w:rPr>
          <w:rFonts w:ascii="Century Gothic" w:hAnsi="Century Gothic"/>
          <w:sz w:val="22"/>
          <w:szCs w:val="22"/>
        </w:rPr>
      </w:pPr>
      <w:r w:rsidRPr="00F75EBA">
        <w:rPr>
          <w:rFonts w:ascii="Century Gothic" w:hAnsi="Century Gothic"/>
          <w:sz w:val="22"/>
          <w:szCs w:val="22"/>
        </w:rPr>
        <w:t xml:space="preserve">De acuerdo con la Comisión Económica para América Latina y el Caribe (CEPAL, 2024), el empoderamiento y la autonomía de las mujeres, niñas y adolescentes es fundamental para lograr la igualdad de género y garantizar su pleno desarrollo en todas las esferas de su vida. Para asegurar su cumplimiento, los gobiernos deben crear las condiciones necesarias, proporcionando recursos, generando oportunidades y brindando en todo tiempo el apoyo necesario para que puedan tomar el control de sus vidas, optando por decisiones informadas y participando activamente en la sociedad. A pesar de los avances en la promoción del empoderamiento y la autonomía en mujeres, niñas y </w:t>
      </w:r>
      <w:r w:rsidRPr="00F75EBA">
        <w:rPr>
          <w:rFonts w:ascii="Century Gothic" w:hAnsi="Century Gothic"/>
          <w:sz w:val="22"/>
          <w:szCs w:val="22"/>
        </w:rPr>
        <w:lastRenderedPageBreak/>
        <w:t>adolescentes, persisten numerosos desafíos y barreras que dificultan su plena realización. Estos pueden incluir desigualdades estructurales, normas sociales y culturales, falta de acceso a recursos y servicios, así como la violencia de género y la discriminación en todas sus formas.</w:t>
      </w:r>
    </w:p>
    <w:p w14:paraId="1A8B4B03" w14:textId="10704768" w:rsidR="00484D4F" w:rsidRDefault="00F75EBA" w:rsidP="00484D4F">
      <w:pPr>
        <w:spacing w:before="102" w:line="360" w:lineRule="auto"/>
        <w:ind w:firstLine="708"/>
        <w:jc w:val="both"/>
        <w:rPr>
          <w:rFonts w:ascii="Century Gothic" w:hAnsi="Century Gothic"/>
          <w:sz w:val="22"/>
          <w:szCs w:val="22"/>
        </w:rPr>
      </w:pPr>
      <w:r w:rsidRPr="00F75EBA">
        <w:rPr>
          <w:rFonts w:ascii="Century Gothic" w:hAnsi="Century Gothic"/>
          <w:sz w:val="22"/>
          <w:szCs w:val="22"/>
        </w:rPr>
        <w:t>En la Región 14: Toluca, se pueden identificar 129,861 hogares censales en los que las mujeres asumen el papel como jefas de familia, dando una cobertura a 445,462 miembros de familia. Toluca es el municipio que más jefas de familia tiene con 73,359 hogares censales. Asimismo, es el municipio de la región que más habitantes registra, con 910,608. Almoloya del Río es el municipio que registra menos jefas de familia.</w:t>
      </w:r>
    </w:p>
    <w:p w14:paraId="2E79FD22" w14:textId="77777777" w:rsidR="00484D4F" w:rsidRPr="00484D4F" w:rsidRDefault="00484D4F" w:rsidP="00484D4F">
      <w:pPr>
        <w:tabs>
          <w:tab w:val="left" w:pos="2622"/>
        </w:tabs>
        <w:spacing w:after="0"/>
        <w:jc w:val="center"/>
        <w:rPr>
          <w:rFonts w:ascii="Century Gothic" w:hAnsi="Century Gothic"/>
          <w:b/>
          <w:bCs/>
          <w:color w:val="025850"/>
          <w:sz w:val="22"/>
          <w:szCs w:val="22"/>
        </w:rPr>
      </w:pPr>
      <w:r w:rsidRPr="00484D4F">
        <w:rPr>
          <w:rFonts w:ascii="Century Gothic" w:hAnsi="Century Gothic"/>
          <w:b/>
          <w:bCs/>
          <w:color w:val="025850"/>
          <w:sz w:val="22"/>
          <w:szCs w:val="22"/>
        </w:rPr>
        <w:t>Hogares Censales por personas de referencia femenina.</w:t>
      </w:r>
    </w:p>
    <w:p w14:paraId="3E7018C1" w14:textId="60AF9393" w:rsidR="00484D4F" w:rsidRPr="00484D4F" w:rsidRDefault="00484D4F" w:rsidP="00484D4F">
      <w:pPr>
        <w:tabs>
          <w:tab w:val="left" w:pos="2622"/>
        </w:tabs>
        <w:spacing w:after="0"/>
        <w:jc w:val="center"/>
        <w:rPr>
          <w:rFonts w:ascii="Century Gothic" w:hAnsi="Century Gothic"/>
          <w:b/>
          <w:bCs/>
          <w:color w:val="025850"/>
          <w:sz w:val="22"/>
          <w:szCs w:val="22"/>
        </w:rPr>
      </w:pPr>
      <w:r w:rsidRPr="00484D4F">
        <w:rPr>
          <w:rFonts w:ascii="Century Gothic" w:hAnsi="Century Gothic"/>
          <w:b/>
          <w:bCs/>
          <w:color w:val="025850"/>
          <w:sz w:val="22"/>
          <w:szCs w:val="22"/>
        </w:rPr>
        <w:t>Región 16: Lerma</w:t>
      </w:r>
    </w:p>
    <w:tbl>
      <w:tblPr>
        <w:tblStyle w:val="Tablaconcuadrcula4-nfasis2"/>
        <w:tblW w:w="0" w:type="auto"/>
        <w:tblLook w:val="04A0" w:firstRow="1" w:lastRow="0" w:firstColumn="1" w:lastColumn="0" w:noHBand="0" w:noVBand="1"/>
      </w:tblPr>
      <w:tblGrid>
        <w:gridCol w:w="1696"/>
        <w:gridCol w:w="2127"/>
        <w:gridCol w:w="2293"/>
      </w:tblGrid>
      <w:tr w:rsidR="00484D4F" w:rsidRPr="00484D4F" w14:paraId="7278AF8C" w14:textId="77777777" w:rsidTr="00484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AA24190"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Municipio</w:t>
            </w:r>
          </w:p>
        </w:tc>
        <w:tc>
          <w:tcPr>
            <w:tcW w:w="2127" w:type="dxa"/>
          </w:tcPr>
          <w:p w14:paraId="1DBA1B90" w14:textId="77777777" w:rsidR="00484D4F" w:rsidRPr="00484D4F" w:rsidRDefault="00484D4F" w:rsidP="00AD104F">
            <w:pPr>
              <w:tabs>
                <w:tab w:val="left" w:pos="2622"/>
              </w:tabs>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Hogares censales con personas de referencia mujer</w:t>
            </w:r>
          </w:p>
        </w:tc>
        <w:tc>
          <w:tcPr>
            <w:tcW w:w="2293" w:type="dxa"/>
          </w:tcPr>
          <w:p w14:paraId="07C02C85" w14:textId="77777777" w:rsidR="00484D4F" w:rsidRPr="00484D4F" w:rsidRDefault="00484D4F" w:rsidP="00AD104F">
            <w:pPr>
              <w:tabs>
                <w:tab w:val="left" w:pos="2622"/>
              </w:tabs>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Población en hogares censales con personas de referencia mujer</w:t>
            </w:r>
          </w:p>
        </w:tc>
      </w:tr>
      <w:tr w:rsidR="00484D4F" w:rsidRPr="00484D4F" w14:paraId="54579AC5"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F387C5"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Región 16: Lerma</w:t>
            </w:r>
          </w:p>
        </w:tc>
        <w:tc>
          <w:tcPr>
            <w:tcW w:w="2127" w:type="dxa"/>
          </w:tcPr>
          <w:p w14:paraId="0BAC586D"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29,790</w:t>
            </w:r>
          </w:p>
        </w:tc>
        <w:tc>
          <w:tcPr>
            <w:tcW w:w="2293" w:type="dxa"/>
          </w:tcPr>
          <w:p w14:paraId="6DC9087D"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109,802</w:t>
            </w:r>
          </w:p>
        </w:tc>
      </w:tr>
      <w:tr w:rsidR="00484D4F" w:rsidRPr="00484D4F" w14:paraId="2DFE1789" w14:textId="77777777" w:rsidTr="00484D4F">
        <w:tc>
          <w:tcPr>
            <w:cnfStyle w:val="001000000000" w:firstRow="0" w:lastRow="0" w:firstColumn="1" w:lastColumn="0" w:oddVBand="0" w:evenVBand="0" w:oddHBand="0" w:evenHBand="0" w:firstRowFirstColumn="0" w:firstRowLastColumn="0" w:lastRowFirstColumn="0" w:lastRowLastColumn="0"/>
            <w:tcW w:w="1696" w:type="dxa"/>
          </w:tcPr>
          <w:p w14:paraId="3FD95F0B"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Atizapán</w:t>
            </w:r>
          </w:p>
        </w:tc>
        <w:tc>
          <w:tcPr>
            <w:tcW w:w="2127" w:type="dxa"/>
          </w:tcPr>
          <w:p w14:paraId="111FFCEB"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788</w:t>
            </w:r>
          </w:p>
        </w:tc>
        <w:tc>
          <w:tcPr>
            <w:tcW w:w="2293" w:type="dxa"/>
          </w:tcPr>
          <w:p w14:paraId="133687A2"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3,393</w:t>
            </w:r>
          </w:p>
        </w:tc>
      </w:tr>
      <w:tr w:rsidR="00484D4F" w:rsidRPr="00484D4F" w14:paraId="6007E2F1"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7D9B9C4"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Capulhuac</w:t>
            </w:r>
          </w:p>
        </w:tc>
        <w:tc>
          <w:tcPr>
            <w:tcW w:w="2127" w:type="dxa"/>
          </w:tcPr>
          <w:p w14:paraId="46B84342"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2,423</w:t>
            </w:r>
          </w:p>
        </w:tc>
        <w:tc>
          <w:tcPr>
            <w:tcW w:w="2293" w:type="dxa"/>
          </w:tcPr>
          <w:p w14:paraId="25F91784"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9,988</w:t>
            </w:r>
          </w:p>
        </w:tc>
      </w:tr>
      <w:tr w:rsidR="00484D4F" w:rsidRPr="00484D4F" w14:paraId="55AD1F20" w14:textId="77777777" w:rsidTr="00484D4F">
        <w:tc>
          <w:tcPr>
            <w:cnfStyle w:val="001000000000" w:firstRow="0" w:lastRow="0" w:firstColumn="1" w:lastColumn="0" w:oddVBand="0" w:evenVBand="0" w:oddHBand="0" w:evenHBand="0" w:firstRowFirstColumn="0" w:firstRowLastColumn="0" w:lastRowFirstColumn="0" w:lastRowLastColumn="0"/>
            <w:tcW w:w="1696" w:type="dxa"/>
          </w:tcPr>
          <w:p w14:paraId="299A1609"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Almoloya del Río</w:t>
            </w:r>
          </w:p>
        </w:tc>
        <w:tc>
          <w:tcPr>
            <w:tcW w:w="2127" w:type="dxa"/>
          </w:tcPr>
          <w:p w14:paraId="174C32FC"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834</w:t>
            </w:r>
          </w:p>
        </w:tc>
        <w:tc>
          <w:tcPr>
            <w:tcW w:w="2293" w:type="dxa"/>
          </w:tcPr>
          <w:p w14:paraId="614CAD9C"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3,292</w:t>
            </w:r>
          </w:p>
        </w:tc>
      </w:tr>
      <w:tr w:rsidR="00484D4F" w:rsidRPr="00484D4F" w14:paraId="32BD57D8"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8FE637"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Lerma</w:t>
            </w:r>
          </w:p>
        </w:tc>
        <w:tc>
          <w:tcPr>
            <w:tcW w:w="2127" w:type="dxa"/>
          </w:tcPr>
          <w:p w14:paraId="447FB2C8"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10,563</w:t>
            </w:r>
          </w:p>
        </w:tc>
        <w:tc>
          <w:tcPr>
            <w:tcW w:w="2293" w:type="dxa"/>
          </w:tcPr>
          <w:p w14:paraId="71FA8496"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37,215</w:t>
            </w:r>
          </w:p>
        </w:tc>
      </w:tr>
      <w:tr w:rsidR="00484D4F" w:rsidRPr="00484D4F" w14:paraId="44BD54E1" w14:textId="77777777" w:rsidTr="00484D4F">
        <w:tc>
          <w:tcPr>
            <w:cnfStyle w:val="001000000000" w:firstRow="0" w:lastRow="0" w:firstColumn="1" w:lastColumn="0" w:oddVBand="0" w:evenVBand="0" w:oddHBand="0" w:evenHBand="0" w:firstRowFirstColumn="0" w:firstRowLastColumn="0" w:lastRowFirstColumn="0" w:lastRowLastColumn="0"/>
            <w:tcW w:w="1696" w:type="dxa"/>
          </w:tcPr>
          <w:p w14:paraId="24DFBBEF"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Ocoyoacac</w:t>
            </w:r>
          </w:p>
        </w:tc>
        <w:tc>
          <w:tcPr>
            <w:tcW w:w="2127" w:type="dxa"/>
          </w:tcPr>
          <w:p w14:paraId="363977B9"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4,626</w:t>
            </w:r>
          </w:p>
        </w:tc>
        <w:tc>
          <w:tcPr>
            <w:tcW w:w="2293" w:type="dxa"/>
          </w:tcPr>
          <w:p w14:paraId="55B2BB03"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17,053</w:t>
            </w:r>
          </w:p>
        </w:tc>
      </w:tr>
      <w:tr w:rsidR="00484D4F" w:rsidRPr="00484D4F" w14:paraId="45E723E1"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E6E2012"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San Antonio la Isla</w:t>
            </w:r>
          </w:p>
        </w:tc>
        <w:tc>
          <w:tcPr>
            <w:tcW w:w="2127" w:type="dxa"/>
          </w:tcPr>
          <w:p w14:paraId="51D10E55"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2,449</w:t>
            </w:r>
          </w:p>
        </w:tc>
        <w:tc>
          <w:tcPr>
            <w:tcW w:w="2293" w:type="dxa"/>
          </w:tcPr>
          <w:p w14:paraId="5C1FAAC5"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8,113</w:t>
            </w:r>
          </w:p>
        </w:tc>
      </w:tr>
      <w:tr w:rsidR="00484D4F" w:rsidRPr="00484D4F" w14:paraId="2C332FC8" w14:textId="77777777" w:rsidTr="00484D4F">
        <w:tc>
          <w:tcPr>
            <w:cnfStyle w:val="001000000000" w:firstRow="0" w:lastRow="0" w:firstColumn="1" w:lastColumn="0" w:oddVBand="0" w:evenVBand="0" w:oddHBand="0" w:evenHBand="0" w:firstRowFirstColumn="0" w:firstRowLastColumn="0" w:lastRowFirstColumn="0" w:lastRowLastColumn="0"/>
            <w:tcW w:w="1696" w:type="dxa"/>
          </w:tcPr>
          <w:p w14:paraId="4F58402F"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Texcalyacac</w:t>
            </w:r>
          </w:p>
        </w:tc>
        <w:tc>
          <w:tcPr>
            <w:tcW w:w="2127" w:type="dxa"/>
          </w:tcPr>
          <w:p w14:paraId="07A335ED"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412</w:t>
            </w:r>
          </w:p>
        </w:tc>
        <w:tc>
          <w:tcPr>
            <w:tcW w:w="2293" w:type="dxa"/>
          </w:tcPr>
          <w:p w14:paraId="1B587953"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1,450</w:t>
            </w:r>
          </w:p>
        </w:tc>
      </w:tr>
      <w:tr w:rsidR="00484D4F" w:rsidRPr="00484D4F" w14:paraId="41B82629"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BCE233"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Tianguistenco</w:t>
            </w:r>
          </w:p>
        </w:tc>
        <w:tc>
          <w:tcPr>
            <w:tcW w:w="2127" w:type="dxa"/>
          </w:tcPr>
          <w:p w14:paraId="633E907F"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5,725</w:t>
            </w:r>
          </w:p>
        </w:tc>
        <w:tc>
          <w:tcPr>
            <w:tcW w:w="2293" w:type="dxa"/>
          </w:tcPr>
          <w:p w14:paraId="723A4D66"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21,886</w:t>
            </w:r>
          </w:p>
        </w:tc>
      </w:tr>
      <w:tr w:rsidR="00484D4F" w:rsidRPr="00484D4F" w14:paraId="4E0F7935" w14:textId="77777777" w:rsidTr="00484D4F">
        <w:tc>
          <w:tcPr>
            <w:cnfStyle w:val="001000000000" w:firstRow="0" w:lastRow="0" w:firstColumn="1" w:lastColumn="0" w:oddVBand="0" w:evenVBand="0" w:oddHBand="0" w:evenHBand="0" w:firstRowFirstColumn="0" w:firstRowLastColumn="0" w:lastRowFirstColumn="0" w:lastRowLastColumn="0"/>
            <w:tcW w:w="1696" w:type="dxa"/>
          </w:tcPr>
          <w:p w14:paraId="509CC025"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Xalatlaco</w:t>
            </w:r>
          </w:p>
        </w:tc>
        <w:tc>
          <w:tcPr>
            <w:tcW w:w="2127" w:type="dxa"/>
          </w:tcPr>
          <w:p w14:paraId="28842FB2"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1,919</w:t>
            </w:r>
          </w:p>
        </w:tc>
        <w:tc>
          <w:tcPr>
            <w:tcW w:w="2293" w:type="dxa"/>
          </w:tcPr>
          <w:p w14:paraId="72269AD9"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7,750</w:t>
            </w:r>
          </w:p>
        </w:tc>
      </w:tr>
    </w:tbl>
    <w:p w14:paraId="52FD9903" w14:textId="43B04BE8" w:rsidR="00484D4F" w:rsidRPr="00484D4F" w:rsidRDefault="00484D4F" w:rsidP="00484D4F">
      <w:pPr>
        <w:jc w:val="both"/>
        <w:rPr>
          <w:rFonts w:ascii="Century Gothic" w:hAnsi="Century Gothic"/>
          <w:sz w:val="14"/>
          <w:szCs w:val="14"/>
        </w:rPr>
      </w:pPr>
      <w:r w:rsidRPr="00484D4F">
        <w:rPr>
          <w:rFonts w:ascii="Century Gothic" w:hAnsi="Century Gothic"/>
          <w:b/>
          <w:bCs/>
          <w:sz w:val="14"/>
          <w:szCs w:val="14"/>
        </w:rPr>
        <w:t>Fuente</w:t>
      </w:r>
      <w:r w:rsidRPr="00484D4F">
        <w:rPr>
          <w:rFonts w:ascii="Century Gothic" w:hAnsi="Century Gothic"/>
          <w:sz w:val="14"/>
          <w:szCs w:val="14"/>
        </w:rPr>
        <w:t>: COPLADEM (2024). Con información del Instituto Nacional de Estadística y Geografía (INEGI). Censo de Población y Vivienda, 2020. Tabulados del Cuestionario Básico.</w:t>
      </w:r>
    </w:p>
    <w:p w14:paraId="4D013744" w14:textId="77777777" w:rsidR="00484D4F" w:rsidRDefault="00484D4F" w:rsidP="00484D4F">
      <w:pPr>
        <w:spacing w:before="102" w:line="360" w:lineRule="auto"/>
        <w:jc w:val="both"/>
        <w:rPr>
          <w:rFonts w:ascii="Corbel" w:hAnsi="Corbel"/>
          <w:b/>
          <w:bCs/>
          <w:color w:val="8DD873" w:themeColor="accent6" w:themeTint="99"/>
        </w:rPr>
      </w:pPr>
    </w:p>
    <w:p w14:paraId="5D76F41B" w14:textId="42B2102F" w:rsidR="00484D4F" w:rsidRPr="00484D4F" w:rsidRDefault="00484D4F" w:rsidP="00484D4F">
      <w:pPr>
        <w:spacing w:before="102" w:line="360" w:lineRule="auto"/>
        <w:jc w:val="both"/>
        <w:rPr>
          <w:rFonts w:ascii="Century Gothic" w:hAnsi="Century Gothic"/>
          <w:b/>
          <w:bCs/>
          <w:color w:val="025850"/>
          <w:sz w:val="22"/>
          <w:szCs w:val="22"/>
        </w:rPr>
      </w:pPr>
      <w:r w:rsidRPr="00484D4F">
        <w:rPr>
          <w:rFonts w:ascii="Century Gothic" w:hAnsi="Century Gothic"/>
          <w:b/>
          <w:bCs/>
          <w:color w:val="025850"/>
          <w:sz w:val="22"/>
          <w:szCs w:val="22"/>
        </w:rPr>
        <w:t xml:space="preserve">Educación y salud con perspectiva de género </w:t>
      </w:r>
    </w:p>
    <w:p w14:paraId="377F981C" w14:textId="77777777" w:rsidR="00484D4F" w:rsidRPr="00484D4F" w:rsidRDefault="00484D4F" w:rsidP="00484D4F">
      <w:pPr>
        <w:spacing w:before="102" w:line="360" w:lineRule="auto"/>
        <w:ind w:firstLine="708"/>
        <w:jc w:val="both"/>
        <w:rPr>
          <w:rFonts w:ascii="Century Gothic" w:hAnsi="Century Gothic"/>
          <w:sz w:val="22"/>
          <w:szCs w:val="22"/>
        </w:rPr>
      </w:pPr>
      <w:r w:rsidRPr="00484D4F">
        <w:rPr>
          <w:rFonts w:ascii="Century Gothic" w:hAnsi="Century Gothic"/>
          <w:sz w:val="22"/>
          <w:szCs w:val="22"/>
        </w:rPr>
        <w:t xml:space="preserve">En el Estado de México, cuya población femenina y masculina es una de las más representativas, en términos de análisis sociodemográfico a nivel nacional, la educación con perspectiva de género está pendiente y tiene un rezago considerable, que tiene su origen en la discriminación de género, en ocasiones causada por tradiciones, cultura, estereotipos, prejuicios, entre otros factores. </w:t>
      </w:r>
    </w:p>
    <w:p w14:paraId="5BCE1595" w14:textId="2050AFA0" w:rsidR="00484D4F" w:rsidRPr="00484D4F" w:rsidRDefault="00484D4F" w:rsidP="00484D4F">
      <w:pPr>
        <w:spacing w:before="102" w:line="360" w:lineRule="auto"/>
        <w:ind w:firstLine="708"/>
        <w:jc w:val="both"/>
        <w:rPr>
          <w:rFonts w:ascii="Century Gothic" w:hAnsi="Century Gothic"/>
          <w:sz w:val="22"/>
          <w:szCs w:val="22"/>
        </w:rPr>
      </w:pPr>
      <w:r w:rsidRPr="00484D4F">
        <w:rPr>
          <w:rFonts w:ascii="Century Gothic" w:hAnsi="Century Gothic"/>
          <w:sz w:val="22"/>
          <w:szCs w:val="22"/>
        </w:rPr>
        <w:t xml:space="preserve">La Zona V: Valle de Toluca es una de las zonas con los indicadores de educación con mayor rezago en mujeres. Esto se ve reflejado en la existencia de 65,301 </w:t>
      </w:r>
      <w:r w:rsidRPr="00484D4F">
        <w:rPr>
          <w:rFonts w:ascii="Century Gothic" w:hAnsi="Century Gothic"/>
          <w:sz w:val="22"/>
          <w:szCs w:val="22"/>
        </w:rPr>
        <w:lastRenderedPageBreak/>
        <w:t>mexiquenses analfabetas, de los cuales el 68.85% son mujeres y el 31.15% son hombres.</w:t>
      </w:r>
    </w:p>
    <w:p w14:paraId="5CECE6D4" w14:textId="77777777" w:rsidR="00484D4F" w:rsidRPr="00484D4F" w:rsidRDefault="00484D4F" w:rsidP="00484D4F">
      <w:pPr>
        <w:tabs>
          <w:tab w:val="left" w:pos="2622"/>
        </w:tabs>
        <w:spacing w:after="0"/>
        <w:jc w:val="center"/>
        <w:rPr>
          <w:rFonts w:ascii="Century Gothic" w:hAnsi="Century Gothic"/>
          <w:b/>
          <w:bCs/>
          <w:color w:val="025850"/>
        </w:rPr>
      </w:pPr>
      <w:r w:rsidRPr="00484D4F">
        <w:rPr>
          <w:rFonts w:ascii="Century Gothic" w:hAnsi="Century Gothic"/>
          <w:b/>
          <w:bCs/>
          <w:color w:val="025850"/>
        </w:rPr>
        <w:t xml:space="preserve">Población Analfabeta Zona V: Valle de Toluca. </w:t>
      </w:r>
    </w:p>
    <w:tbl>
      <w:tblPr>
        <w:tblStyle w:val="Tablaconcuadrcula4-nfasis2"/>
        <w:tblW w:w="0" w:type="auto"/>
        <w:tblLook w:val="04A0" w:firstRow="1" w:lastRow="0" w:firstColumn="1" w:lastColumn="0" w:noHBand="0" w:noVBand="1"/>
      </w:tblPr>
      <w:tblGrid>
        <w:gridCol w:w="2008"/>
        <w:gridCol w:w="2054"/>
        <w:gridCol w:w="2054"/>
      </w:tblGrid>
      <w:tr w:rsidR="00484D4F" w:rsidRPr="00484D4F" w14:paraId="3764B491" w14:textId="77777777" w:rsidTr="00484D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731D4D83"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Municipio</w:t>
            </w:r>
          </w:p>
        </w:tc>
        <w:tc>
          <w:tcPr>
            <w:tcW w:w="2943" w:type="dxa"/>
          </w:tcPr>
          <w:p w14:paraId="463395B2" w14:textId="77777777" w:rsidR="00484D4F" w:rsidRPr="00484D4F" w:rsidRDefault="00484D4F" w:rsidP="00AD104F">
            <w:pPr>
              <w:tabs>
                <w:tab w:val="left" w:pos="2622"/>
              </w:tabs>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Mujeres en condición de analfabetismo</w:t>
            </w:r>
          </w:p>
        </w:tc>
        <w:tc>
          <w:tcPr>
            <w:tcW w:w="2943" w:type="dxa"/>
          </w:tcPr>
          <w:p w14:paraId="4402B849" w14:textId="77777777" w:rsidR="00484D4F" w:rsidRPr="00484D4F" w:rsidRDefault="00484D4F" w:rsidP="00AD104F">
            <w:pPr>
              <w:tabs>
                <w:tab w:val="left" w:pos="2622"/>
              </w:tabs>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Hombres en condición de analfabetismo</w:t>
            </w:r>
          </w:p>
        </w:tc>
      </w:tr>
      <w:tr w:rsidR="00484D4F" w:rsidRPr="00484D4F" w14:paraId="3AFC4E79"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2D6FF5AB"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Atizapán</w:t>
            </w:r>
          </w:p>
        </w:tc>
        <w:tc>
          <w:tcPr>
            <w:tcW w:w="2943" w:type="dxa"/>
          </w:tcPr>
          <w:p w14:paraId="3B30768A"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191</w:t>
            </w:r>
          </w:p>
        </w:tc>
        <w:tc>
          <w:tcPr>
            <w:tcW w:w="2943" w:type="dxa"/>
          </w:tcPr>
          <w:p w14:paraId="4D4068AB"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116</w:t>
            </w:r>
          </w:p>
        </w:tc>
      </w:tr>
      <w:tr w:rsidR="00484D4F" w:rsidRPr="00484D4F" w14:paraId="637CA127" w14:textId="77777777" w:rsidTr="00484D4F">
        <w:tc>
          <w:tcPr>
            <w:cnfStyle w:val="001000000000" w:firstRow="0" w:lastRow="0" w:firstColumn="1" w:lastColumn="0" w:oddVBand="0" w:evenVBand="0" w:oddHBand="0" w:evenHBand="0" w:firstRowFirstColumn="0" w:firstRowLastColumn="0" w:lastRowFirstColumn="0" w:lastRowLastColumn="0"/>
            <w:tcW w:w="2942" w:type="dxa"/>
          </w:tcPr>
          <w:p w14:paraId="7C5B5670"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Capulhuac</w:t>
            </w:r>
          </w:p>
        </w:tc>
        <w:tc>
          <w:tcPr>
            <w:tcW w:w="2943" w:type="dxa"/>
          </w:tcPr>
          <w:p w14:paraId="571008C3"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428</w:t>
            </w:r>
          </w:p>
        </w:tc>
        <w:tc>
          <w:tcPr>
            <w:tcW w:w="2943" w:type="dxa"/>
          </w:tcPr>
          <w:p w14:paraId="1D2D0745"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224</w:t>
            </w:r>
          </w:p>
        </w:tc>
      </w:tr>
      <w:tr w:rsidR="00484D4F" w:rsidRPr="00484D4F" w14:paraId="7B77B872"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F3F531F"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Almoloya del Río</w:t>
            </w:r>
          </w:p>
        </w:tc>
        <w:tc>
          <w:tcPr>
            <w:tcW w:w="2943" w:type="dxa"/>
          </w:tcPr>
          <w:p w14:paraId="7B64B30F"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191</w:t>
            </w:r>
          </w:p>
        </w:tc>
        <w:tc>
          <w:tcPr>
            <w:tcW w:w="2943" w:type="dxa"/>
          </w:tcPr>
          <w:p w14:paraId="61364EBE"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109</w:t>
            </w:r>
          </w:p>
        </w:tc>
      </w:tr>
      <w:tr w:rsidR="00484D4F" w:rsidRPr="00484D4F" w14:paraId="1351E6A9" w14:textId="77777777" w:rsidTr="00484D4F">
        <w:tc>
          <w:tcPr>
            <w:cnfStyle w:val="001000000000" w:firstRow="0" w:lastRow="0" w:firstColumn="1" w:lastColumn="0" w:oddVBand="0" w:evenVBand="0" w:oddHBand="0" w:evenHBand="0" w:firstRowFirstColumn="0" w:firstRowLastColumn="0" w:lastRowFirstColumn="0" w:lastRowLastColumn="0"/>
            <w:tcW w:w="2942" w:type="dxa"/>
          </w:tcPr>
          <w:p w14:paraId="3AEBDD0F"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Lerma</w:t>
            </w:r>
          </w:p>
        </w:tc>
        <w:tc>
          <w:tcPr>
            <w:tcW w:w="2943" w:type="dxa"/>
          </w:tcPr>
          <w:p w14:paraId="058C54CE"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2,346</w:t>
            </w:r>
          </w:p>
        </w:tc>
        <w:tc>
          <w:tcPr>
            <w:tcW w:w="2943" w:type="dxa"/>
          </w:tcPr>
          <w:p w14:paraId="739E19D5"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1,107</w:t>
            </w:r>
          </w:p>
        </w:tc>
      </w:tr>
      <w:tr w:rsidR="00484D4F" w:rsidRPr="00484D4F" w14:paraId="478BF5DF"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480A929F"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Ocoyoacac</w:t>
            </w:r>
          </w:p>
        </w:tc>
        <w:tc>
          <w:tcPr>
            <w:tcW w:w="2943" w:type="dxa"/>
          </w:tcPr>
          <w:p w14:paraId="58A7C490"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974</w:t>
            </w:r>
          </w:p>
        </w:tc>
        <w:tc>
          <w:tcPr>
            <w:tcW w:w="2943" w:type="dxa"/>
          </w:tcPr>
          <w:p w14:paraId="372CAA3F"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372</w:t>
            </w:r>
          </w:p>
        </w:tc>
      </w:tr>
      <w:tr w:rsidR="00484D4F" w:rsidRPr="00484D4F" w14:paraId="6168F101" w14:textId="77777777" w:rsidTr="00484D4F">
        <w:tc>
          <w:tcPr>
            <w:cnfStyle w:val="001000000000" w:firstRow="0" w:lastRow="0" w:firstColumn="1" w:lastColumn="0" w:oddVBand="0" w:evenVBand="0" w:oddHBand="0" w:evenHBand="0" w:firstRowFirstColumn="0" w:firstRowLastColumn="0" w:lastRowFirstColumn="0" w:lastRowLastColumn="0"/>
            <w:tcW w:w="2942" w:type="dxa"/>
          </w:tcPr>
          <w:p w14:paraId="5F6454AF"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San Antonio la Isla</w:t>
            </w:r>
          </w:p>
        </w:tc>
        <w:tc>
          <w:tcPr>
            <w:tcW w:w="2943" w:type="dxa"/>
          </w:tcPr>
          <w:p w14:paraId="2711B443"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258</w:t>
            </w:r>
          </w:p>
        </w:tc>
        <w:tc>
          <w:tcPr>
            <w:tcW w:w="2943" w:type="dxa"/>
          </w:tcPr>
          <w:p w14:paraId="6D3D3D63"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148</w:t>
            </w:r>
          </w:p>
        </w:tc>
      </w:tr>
      <w:tr w:rsidR="00484D4F" w:rsidRPr="00484D4F" w14:paraId="0A708D79"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11F29EE3"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Texcalyacac</w:t>
            </w:r>
          </w:p>
        </w:tc>
        <w:tc>
          <w:tcPr>
            <w:tcW w:w="2943" w:type="dxa"/>
          </w:tcPr>
          <w:p w14:paraId="23C6370B"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43</w:t>
            </w:r>
          </w:p>
        </w:tc>
        <w:tc>
          <w:tcPr>
            <w:tcW w:w="2943" w:type="dxa"/>
          </w:tcPr>
          <w:p w14:paraId="063A6CE7"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24</w:t>
            </w:r>
          </w:p>
        </w:tc>
      </w:tr>
      <w:tr w:rsidR="00484D4F" w:rsidRPr="00484D4F" w14:paraId="4CDC3886" w14:textId="77777777" w:rsidTr="00484D4F">
        <w:tc>
          <w:tcPr>
            <w:cnfStyle w:val="001000000000" w:firstRow="0" w:lastRow="0" w:firstColumn="1" w:lastColumn="0" w:oddVBand="0" w:evenVBand="0" w:oddHBand="0" w:evenHBand="0" w:firstRowFirstColumn="0" w:firstRowLastColumn="0" w:lastRowFirstColumn="0" w:lastRowLastColumn="0"/>
            <w:tcW w:w="2942" w:type="dxa"/>
          </w:tcPr>
          <w:p w14:paraId="1AF00D3D"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Tianguistenco</w:t>
            </w:r>
          </w:p>
        </w:tc>
        <w:tc>
          <w:tcPr>
            <w:tcW w:w="2943" w:type="dxa"/>
          </w:tcPr>
          <w:p w14:paraId="06388C12"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1,230</w:t>
            </w:r>
          </w:p>
        </w:tc>
        <w:tc>
          <w:tcPr>
            <w:tcW w:w="2943" w:type="dxa"/>
          </w:tcPr>
          <w:p w14:paraId="426236C7" w14:textId="77777777" w:rsidR="00484D4F" w:rsidRPr="00484D4F" w:rsidRDefault="00484D4F" w:rsidP="00AD104F">
            <w:pPr>
              <w:tabs>
                <w:tab w:val="left" w:pos="2622"/>
              </w:tabs>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630</w:t>
            </w:r>
          </w:p>
        </w:tc>
      </w:tr>
      <w:tr w:rsidR="00484D4F" w:rsidRPr="00484D4F" w14:paraId="719ACEBD" w14:textId="77777777" w:rsidTr="00484D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2" w:type="dxa"/>
          </w:tcPr>
          <w:p w14:paraId="37714A6A" w14:textId="77777777" w:rsidR="00484D4F" w:rsidRPr="00484D4F" w:rsidRDefault="00484D4F" w:rsidP="00AD104F">
            <w:pPr>
              <w:tabs>
                <w:tab w:val="left" w:pos="2622"/>
              </w:tabs>
              <w:jc w:val="center"/>
              <w:rPr>
                <w:rFonts w:ascii="Century Gothic" w:hAnsi="Century Gothic"/>
                <w:sz w:val="22"/>
                <w:szCs w:val="22"/>
              </w:rPr>
            </w:pPr>
            <w:r w:rsidRPr="00484D4F">
              <w:rPr>
                <w:rFonts w:ascii="Century Gothic" w:hAnsi="Century Gothic"/>
                <w:sz w:val="22"/>
                <w:szCs w:val="22"/>
              </w:rPr>
              <w:t>Xalatlaco</w:t>
            </w:r>
          </w:p>
        </w:tc>
        <w:tc>
          <w:tcPr>
            <w:tcW w:w="2943" w:type="dxa"/>
          </w:tcPr>
          <w:p w14:paraId="1040A744"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428</w:t>
            </w:r>
          </w:p>
        </w:tc>
        <w:tc>
          <w:tcPr>
            <w:tcW w:w="2943" w:type="dxa"/>
          </w:tcPr>
          <w:p w14:paraId="1B5D9E9E" w14:textId="77777777" w:rsidR="00484D4F" w:rsidRPr="00484D4F" w:rsidRDefault="00484D4F" w:rsidP="00AD104F">
            <w:pPr>
              <w:tabs>
                <w:tab w:val="left" w:pos="2622"/>
              </w:tabs>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484D4F">
              <w:rPr>
                <w:rFonts w:ascii="Century Gothic" w:hAnsi="Century Gothic"/>
                <w:sz w:val="22"/>
                <w:szCs w:val="22"/>
              </w:rPr>
              <w:t>228</w:t>
            </w:r>
          </w:p>
        </w:tc>
      </w:tr>
    </w:tbl>
    <w:p w14:paraId="14197BBA" w14:textId="10B4CB99" w:rsidR="00484D4F" w:rsidRDefault="00484D4F" w:rsidP="00484D4F">
      <w:pPr>
        <w:spacing w:before="102" w:line="360" w:lineRule="auto"/>
        <w:jc w:val="both"/>
        <w:rPr>
          <w:rFonts w:ascii="Century Gothic" w:hAnsi="Century Gothic"/>
          <w:sz w:val="22"/>
          <w:szCs w:val="22"/>
        </w:rPr>
      </w:pPr>
    </w:p>
    <w:p w14:paraId="4533425B" w14:textId="72CD7BD4" w:rsidR="00484D4F" w:rsidRPr="00484D4F" w:rsidRDefault="00484D4F" w:rsidP="00484D4F">
      <w:pPr>
        <w:spacing w:before="102"/>
        <w:jc w:val="both"/>
        <w:rPr>
          <w:rFonts w:ascii="Century Gothic" w:hAnsi="Century Gothic"/>
          <w:b/>
          <w:bCs/>
          <w:color w:val="025850"/>
          <w:sz w:val="22"/>
          <w:szCs w:val="22"/>
        </w:rPr>
      </w:pPr>
      <w:r w:rsidRPr="00484D4F">
        <w:rPr>
          <w:rFonts w:ascii="Century Gothic" w:hAnsi="Century Gothic"/>
          <w:b/>
          <w:bCs/>
          <w:color w:val="025850"/>
          <w:sz w:val="22"/>
          <w:szCs w:val="22"/>
        </w:rPr>
        <w:t>Eje Transversal 2. Construcción de la Paz y Seguridad</w:t>
      </w:r>
    </w:p>
    <w:p w14:paraId="4C7A0F60" w14:textId="3A4BB36C" w:rsidR="00484D4F" w:rsidRPr="00484D4F" w:rsidRDefault="00484D4F" w:rsidP="00484D4F">
      <w:pPr>
        <w:spacing w:before="102"/>
        <w:jc w:val="both"/>
        <w:rPr>
          <w:rFonts w:ascii="Century Gothic" w:hAnsi="Century Gothic"/>
          <w:b/>
          <w:bCs/>
          <w:color w:val="025850"/>
          <w:sz w:val="12"/>
          <w:szCs w:val="12"/>
        </w:rPr>
      </w:pPr>
      <w:r w:rsidRPr="00484D4F">
        <w:rPr>
          <w:rFonts w:ascii="Century Gothic" w:hAnsi="Century Gothic"/>
          <w:b/>
          <w:bCs/>
          <w:color w:val="025850"/>
          <w:sz w:val="22"/>
          <w:szCs w:val="22"/>
        </w:rPr>
        <w:t>Atender las causas del delito</w:t>
      </w:r>
    </w:p>
    <w:p w14:paraId="01ACA65A" w14:textId="77777777" w:rsidR="00484D4F" w:rsidRPr="00484D4F" w:rsidRDefault="00484D4F" w:rsidP="00484D4F">
      <w:pPr>
        <w:spacing w:before="102"/>
        <w:ind w:firstLine="360"/>
        <w:jc w:val="both"/>
        <w:rPr>
          <w:rFonts w:ascii="Century Gothic" w:hAnsi="Century Gothic"/>
          <w:b/>
          <w:bCs/>
          <w:color w:val="000000" w:themeColor="text1"/>
          <w:sz w:val="12"/>
          <w:szCs w:val="12"/>
        </w:rPr>
      </w:pPr>
    </w:p>
    <w:p w14:paraId="57768151" w14:textId="77777777" w:rsidR="00484D4F" w:rsidRPr="00484D4F" w:rsidRDefault="00484D4F" w:rsidP="00484D4F">
      <w:pPr>
        <w:spacing w:before="102" w:line="360" w:lineRule="auto"/>
        <w:ind w:firstLine="360"/>
        <w:jc w:val="both"/>
        <w:rPr>
          <w:rFonts w:ascii="Century Gothic" w:hAnsi="Century Gothic"/>
          <w:sz w:val="22"/>
          <w:szCs w:val="22"/>
        </w:rPr>
      </w:pPr>
      <w:r w:rsidRPr="00484D4F">
        <w:rPr>
          <w:rFonts w:ascii="Century Gothic" w:hAnsi="Century Gothic"/>
          <w:sz w:val="22"/>
          <w:szCs w:val="22"/>
        </w:rPr>
        <w:t xml:space="preserve">En la Zona V: Valle de Toluca, integrada por 23 municipios entre ellos la capital Estatal, durante el periodo 2019-2023 se registraron 348,636 delitos, que representan el 20% del total de delitos ocurridos en el Estado de México, en esta zona la incidencia delictiva incremento, </w:t>
      </w:r>
      <w:r w:rsidRPr="00484D4F">
        <w:rPr>
          <w:rFonts w:ascii="Century Gothic" w:hAnsi="Century Gothic"/>
          <w:sz w:val="22"/>
          <w:szCs w:val="22"/>
        </w:rPr>
        <w:t>al pasar de 62, 853 delitos en 2019 a 76,137 en 2023; es decir, 13,284 delitos más. La tasa delictiva también mostró un incremento.</w:t>
      </w:r>
    </w:p>
    <w:p w14:paraId="1D3A26A6" w14:textId="1443F4A3"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En la Zona V: Valle de Toluca, de los 23 municipios que la integran, el principal delito cometido fue el de robo con un 30%, seguido de otros delitos del fuero común con 19.4%.</w:t>
      </w:r>
    </w:p>
    <w:p w14:paraId="491387E7" w14:textId="0E0CCE82" w:rsidR="00F707BF" w:rsidRPr="00F707BF" w:rsidRDefault="00F707BF" w:rsidP="00F707BF">
      <w:pPr>
        <w:spacing w:before="102" w:line="360" w:lineRule="auto"/>
        <w:jc w:val="both"/>
        <w:rPr>
          <w:rFonts w:ascii="Century Gothic" w:hAnsi="Century Gothic"/>
          <w:b/>
          <w:bCs/>
          <w:color w:val="025850"/>
          <w:sz w:val="22"/>
          <w:szCs w:val="22"/>
        </w:rPr>
      </w:pPr>
      <w:r w:rsidRPr="00F707BF">
        <w:rPr>
          <w:rFonts w:ascii="Century Gothic" w:hAnsi="Century Gothic"/>
          <w:b/>
          <w:bCs/>
          <w:color w:val="025850"/>
          <w:sz w:val="22"/>
          <w:szCs w:val="22"/>
        </w:rPr>
        <w:t xml:space="preserve">Accesos a la justicia y coordinación interinstitucional </w:t>
      </w:r>
    </w:p>
    <w:p w14:paraId="0D517E57"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En el país y en las entidades federativas coexisten altos niveles de inseguridad con altos niveles de impunidad; lo que imposibilita garantizar a la población su derecho de acceso efectivo a una justicia pronta, expedita, imparcial y transparente. En el Estado de México, de acuerdo con la Encuesta Nacional de Victimización y Percepción sobre Inseguridad Pública (ENVIPE) 2023, se estima que en 2022 se denunció solo el 11.1% de los delitos; y de este porcentaje, se inició carpeta de investigación en el 7.1% de los casos. Asimismo, de las carpetas iniciadas por el Ministerio Público, en el 46.1% de los casos no pasó nada o no se continuó con la investigación15. Esto refleja la ineficacia </w:t>
      </w:r>
      <w:r w:rsidRPr="00F707BF">
        <w:rPr>
          <w:rFonts w:ascii="Century Gothic" w:hAnsi="Century Gothic"/>
          <w:sz w:val="22"/>
          <w:szCs w:val="22"/>
        </w:rPr>
        <w:lastRenderedPageBreak/>
        <w:t>en la investigación y persecución del delito, la falta de acceso a la justicia, así como un alto nivel de impunidad.</w:t>
      </w:r>
    </w:p>
    <w:p w14:paraId="0A6885C8"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Las instituciones de impartición de justicia en el Estado de México tienen la obligación de garantizar el ejercicio pleno y sin discriminación de los derechos y libertades fundamentales y hacer efectivo el principio de igualdad. En este sentido, de acuerdo con el IGECEM, según información proporcionada por la Fiscalía General de Justicia de la entidad, en 2022, esta institución contaba con 132 Agencias del Ministerio Público, 45 Centros de Justicia y 13 Fiscalías Regionales, una tasa de 1.07 espacios por cada 100 mil habitantes16. De estos totales, en la Zona V: Valle de Toluca existían 35 espacios: 25 Agencias del Ministerio Público, una Fiscalía Regional y nueve Centros de Justicia, con una tasa de 3.03 espacios por cada 100 mil habitantes. </w:t>
      </w:r>
    </w:p>
    <w:p w14:paraId="66E109A5"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En la Región 14: Toluca, se ubican 26 espacios de procuración de justicia con una tasa de 0.15 por cada 10 mil habitantes, siendo Toluca el municipio que concentra la mayor cantidad de espacios con un total de 20 y una tasa por cada 10 mil habitantes de 0.21.</w:t>
      </w:r>
    </w:p>
    <w:p w14:paraId="623BDD6D" w14:textId="77777777" w:rsidR="00F707BF" w:rsidRPr="00F707BF" w:rsidRDefault="00F707BF" w:rsidP="00F707BF">
      <w:pPr>
        <w:spacing w:before="102" w:line="360" w:lineRule="auto"/>
        <w:ind w:firstLine="708"/>
        <w:jc w:val="both"/>
        <w:rPr>
          <w:rFonts w:ascii="Century Gothic" w:hAnsi="Century Gothic"/>
          <w:sz w:val="22"/>
          <w:szCs w:val="22"/>
        </w:rPr>
      </w:pPr>
    </w:p>
    <w:p w14:paraId="00230F21" w14:textId="1C5B1B09" w:rsidR="00F707BF" w:rsidRPr="00F707BF" w:rsidRDefault="00F707BF" w:rsidP="00F707BF">
      <w:pPr>
        <w:spacing w:before="102" w:line="360" w:lineRule="auto"/>
        <w:jc w:val="both"/>
        <w:rPr>
          <w:rFonts w:ascii="Century Gothic" w:hAnsi="Century Gothic"/>
          <w:b/>
          <w:bCs/>
          <w:color w:val="025850"/>
          <w:sz w:val="22"/>
          <w:szCs w:val="22"/>
        </w:rPr>
      </w:pPr>
      <w:r w:rsidRPr="00F707BF">
        <w:rPr>
          <w:rFonts w:ascii="Century Gothic" w:hAnsi="Century Gothic"/>
          <w:b/>
          <w:bCs/>
          <w:color w:val="025850"/>
          <w:sz w:val="22"/>
          <w:szCs w:val="22"/>
        </w:rPr>
        <w:t xml:space="preserve">Derechos Humanos </w:t>
      </w:r>
    </w:p>
    <w:p w14:paraId="3F5CEADC" w14:textId="6E28D885"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Las autoridades de seguridad, procuración e impartición de justicia y de ejecución de sanciones deben hacer valer, respetar y proteger los derechos humanos y garantías individuales de las personas en todas las etapas del proceso penal, apegando su desempeño a los protocolos de actuación y a la demás normatividad en la materia. Los cuerpos policiales deben realizar sus actividades siguiendo los protocolos de primer respondiente y de uso de la fuerza, entre otros, garantizando los derechos tanto de las víctimas y ofendidos del delito, como de los posibles responsables del delito. Por su parte, las autoridades de procuración de justicia deben garantizar el debido proceso acatando lo establecido en la Constitución Federal y en el Código Nacional de Procedimientos Penales. Asimismo, deben asegurar que las víctimas cuenten con un asesor jurídico y una atención apropiada, apoyándose en la Comisión de Atención a Víctimas, y que los posibles imputados tengan una defensa adecuada, lo cual pueden solicitar a la Defensoría Pública. Además, deben juzgar con </w:t>
      </w:r>
      <w:r w:rsidRPr="00F707BF">
        <w:rPr>
          <w:rFonts w:ascii="Century Gothic" w:hAnsi="Century Gothic"/>
          <w:sz w:val="22"/>
          <w:szCs w:val="22"/>
        </w:rPr>
        <w:lastRenderedPageBreak/>
        <w:t xml:space="preserve">perspectiva de género, procurando la reparación del daño a las víctimas u ofendidos y una sanción justa a los responsables del delito. </w:t>
      </w:r>
    </w:p>
    <w:p w14:paraId="6AAAC8BF"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Por otra parte, las autoridades penitenciarias deben garantizar a las personas privadas de su libertad una estancia digna en los centros de reclusión, así como instrumentar los ejes para la efectiva reinserción social. Según datos de la Encuesta Nacional de Victimización y Percepción sobre Seguridad Pública 2023 (ENVIPE), publicada por el INEGI en el mes de septiembre de 2023, cuyo objetivo es la medición de la victimización personal y en el hogar; durante 2022, el 39.8% de los hogares del Estado de México tuvo, al menos, una víctima de delitos diversos durante este mismo periodo, que fue desde el robo de vehículos, el robo a casa habitación, asalto en la calle o el transporte público, amenazas, lesiones, hasta hechos como el secuestro, homicidio y los delitos de carácter sexual; por lo que durante ese año, el Estado de México ocupó el primer lugar de prevalencia delictiva, con 31 mil 182 víctimas por cada 100 mil habitantes de la Entidad, es decir, el 31.18% de cada 100 mil habitantes mayores de 18 años han sido víctimas de algún delito, </w:t>
      </w:r>
      <w:r w:rsidRPr="00F707BF">
        <w:rPr>
          <w:rFonts w:ascii="Century Gothic" w:hAnsi="Century Gothic"/>
          <w:sz w:val="22"/>
          <w:szCs w:val="22"/>
        </w:rPr>
        <w:t>siendo la ciudad de Toluca la que contó con una mayor tasa de prevalencia delictiva (36%).</w:t>
      </w:r>
    </w:p>
    <w:p w14:paraId="34E42486"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 De acuerdo con el Informe de Incidencia Delictiva del Secretariado Ejecutivo del Sistema Nacional de Seguridad Pública (SESNSP), al corte de marzo de 2023, el Estado de México ocupó nuevamente el primer lugar en incidencia delictiva a nivel Nacional. El número de víctimas atendidas desde la creación de la Comisión Ejecutiva de Atención a Víctimas del Estado de México en 2015 se ha incrementado año con año de manera significativa, tal como se observa hasta el último corte de 2023.</w:t>
      </w:r>
    </w:p>
    <w:p w14:paraId="2F59FA0E"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Con base a los datos del Atlas de Seguridad del Estado de México del año 2022, en la Zona V: Valle de Toluca el municipio con mayor número de recomendaciones emitidas por la Comisión Estatal de los Derechos Humanos hacia instituciones de Seguridad en el Estado de México, es Toluca con un total de 121 recomendaciones de 2016 a 2021, el segundo lugar, Nicolás Romero con 47 en el año 2017, el tercer lugar, Mexicaltzingo con 34 recomendaciones en 2017, en cuarto lugar, Metepec con 29 en 2015, en quinto lugar, </w:t>
      </w:r>
      <w:r w:rsidRPr="00F707BF">
        <w:rPr>
          <w:rFonts w:ascii="Century Gothic" w:hAnsi="Century Gothic"/>
          <w:sz w:val="22"/>
          <w:szCs w:val="22"/>
        </w:rPr>
        <w:lastRenderedPageBreak/>
        <w:t xml:space="preserve">Almoloya de Juárez con 20 en 2017, en sexto lugar Tianguistenco con 16 en 2015 y en el séptimo lugar Jilotzingo con 1 en 2015. </w:t>
      </w:r>
    </w:p>
    <w:p w14:paraId="6FD6C948" w14:textId="3007659F" w:rsidR="00F707BF" w:rsidRPr="00F707BF" w:rsidRDefault="00F707BF" w:rsidP="00F707BF">
      <w:pPr>
        <w:spacing w:before="102" w:line="360" w:lineRule="auto"/>
        <w:jc w:val="both"/>
        <w:rPr>
          <w:rFonts w:ascii="Century Gothic" w:hAnsi="Century Gothic"/>
          <w:b/>
          <w:bCs/>
          <w:color w:val="025850"/>
          <w:sz w:val="22"/>
          <w:szCs w:val="22"/>
        </w:rPr>
      </w:pPr>
      <w:r w:rsidRPr="00F707BF">
        <w:rPr>
          <w:rFonts w:ascii="Century Gothic" w:hAnsi="Century Gothic"/>
          <w:b/>
          <w:bCs/>
          <w:color w:val="025850"/>
          <w:sz w:val="22"/>
          <w:szCs w:val="22"/>
        </w:rPr>
        <w:t xml:space="preserve">Gestión integral de riesgos </w:t>
      </w:r>
    </w:p>
    <w:p w14:paraId="1DF4CF96"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El Estado de México, por su ubicación geográfica, cantidad de habitantes y su diversidad climática y topográfica, es susceptible a la presencia de distintos fenómenos perturbadores de origen natural o antropogénico, que representan diferentes niveles de riesgo para la vida, la salud y el patrimonio de la población, así como para el equipamiento y la infraestructura urbana.</w:t>
      </w:r>
    </w:p>
    <w:p w14:paraId="53CC6DDB" w14:textId="77777777" w:rsidR="00F707BF" w:rsidRPr="00F707BF" w:rsidRDefault="00F707BF" w:rsidP="00F707BF">
      <w:pPr>
        <w:spacing w:before="102" w:line="360" w:lineRule="auto"/>
        <w:ind w:firstLine="708"/>
        <w:jc w:val="both"/>
        <w:rPr>
          <w:rFonts w:ascii="Century Gothic" w:hAnsi="Century Gothic"/>
          <w:sz w:val="22"/>
          <w:szCs w:val="22"/>
        </w:rPr>
      </w:pPr>
      <w:r w:rsidRPr="00F707BF">
        <w:rPr>
          <w:rFonts w:ascii="Century Gothic" w:hAnsi="Century Gothic"/>
          <w:sz w:val="22"/>
          <w:szCs w:val="22"/>
        </w:rPr>
        <w:t xml:space="preserve"> Para hacer frente a los fenómenos, brindar atención oportuna a las emergencias y salvaguardar la integridad y patrimonio de los mexiquenses, proteger la infraestructura básica, el equipamiento urbano y el medio ambiente, la presente Administración cuenta con el Sistema Estatal de Protección Civil, que es el responsable de efectuar acciones coordinadas entre las autoridades federales, estatales y municipales, así como con las </w:t>
      </w:r>
      <w:r w:rsidRPr="00F707BF">
        <w:rPr>
          <w:rFonts w:ascii="Century Gothic" w:hAnsi="Century Gothic"/>
          <w:sz w:val="22"/>
          <w:szCs w:val="22"/>
        </w:rPr>
        <w:t xml:space="preserve">dependencias y entidades de los sectores público y social. </w:t>
      </w:r>
    </w:p>
    <w:p w14:paraId="0E7D5CF4" w14:textId="2186EE9E" w:rsidR="00BD10A4" w:rsidRDefault="00F707BF" w:rsidP="00F707BF">
      <w:pPr>
        <w:spacing w:before="102" w:line="360" w:lineRule="auto"/>
        <w:ind w:firstLine="708"/>
        <w:jc w:val="both"/>
        <w:rPr>
          <w:rFonts w:ascii="Corbel" w:hAnsi="Corbel"/>
        </w:rPr>
      </w:pPr>
      <w:r w:rsidRPr="00F707BF">
        <w:rPr>
          <w:rFonts w:ascii="Century Gothic" w:hAnsi="Century Gothic"/>
          <w:sz w:val="22"/>
          <w:szCs w:val="22"/>
        </w:rPr>
        <w:t>Para desarrollar sus funciones, este Sistema Estatal implementa la perspectiva de Gestión Integral de Riesgos (GIR), que es el conjunto de acciones que se llevan a cabo para solucionar los problemas de atención prioritaria para la protección civil. Debido a la amplia extensión geográfica y poblacional del Estado de México, su diversidad climática y topográfica, las estrategias de Protección Civil y Gestión Integral de Riesgos se han de enfocar en ejecutar actividades destinadas a preservar la vida, la integridad física y el patrimonio de las y los mexiquenses, así como el entorno y la infraestructura en la entidad, fomentando una cultura de protección en la cual todas las personas cuenten con las herramientas necesarias para actuar ante un desastre natural u originado por causas antropogénicas. El Estado de México cuenta con avances limitados en la materia, pues la falta de coordinación con los órdenes de gobierno y las diversas instituciones involucradas disminuye la eficacia y eficiencia de</w:t>
      </w:r>
      <w:r w:rsidRPr="00F707BF">
        <w:rPr>
          <w:rFonts w:ascii="Corbel" w:hAnsi="Corbel"/>
          <w:sz w:val="22"/>
          <w:szCs w:val="22"/>
        </w:rPr>
        <w:t xml:space="preserve"> </w:t>
      </w:r>
      <w:r w:rsidRPr="005F43FC">
        <w:rPr>
          <w:rFonts w:ascii="Corbel" w:hAnsi="Corbel"/>
        </w:rPr>
        <w:t>las acciones de prevención y respuesta implementadas.</w:t>
      </w:r>
    </w:p>
    <w:p w14:paraId="4279BA5E" w14:textId="0A26E38E" w:rsidR="00BD10A4" w:rsidRPr="00BD10A4" w:rsidRDefault="00BD10A4" w:rsidP="00BD10A4">
      <w:pPr>
        <w:spacing w:before="102" w:line="360" w:lineRule="auto"/>
        <w:jc w:val="both"/>
        <w:rPr>
          <w:rFonts w:ascii="Century Gothic" w:hAnsi="Century Gothic"/>
          <w:b/>
          <w:bCs/>
          <w:color w:val="025850"/>
        </w:rPr>
      </w:pPr>
      <w:r w:rsidRPr="00BD10A4">
        <w:rPr>
          <w:rFonts w:ascii="Century Gothic" w:hAnsi="Century Gothic"/>
          <w:b/>
          <w:bCs/>
          <w:color w:val="025850"/>
        </w:rPr>
        <w:lastRenderedPageBreak/>
        <w:t>Diagnóstico del Territorio Municipal</w:t>
      </w:r>
    </w:p>
    <w:p w14:paraId="3213F4EE" w14:textId="52EF7D32" w:rsidR="00BD10A4" w:rsidRPr="00BD10A4" w:rsidRDefault="00BD10A4" w:rsidP="00BD10A4">
      <w:pPr>
        <w:spacing w:before="102" w:line="360" w:lineRule="auto"/>
        <w:jc w:val="both"/>
        <w:rPr>
          <w:rFonts w:ascii="Century Gothic" w:hAnsi="Century Gothic"/>
          <w:b/>
          <w:bCs/>
          <w:color w:val="025850"/>
          <w:spacing w:val="-2"/>
          <w:w w:val="90"/>
          <w:sz w:val="22"/>
          <w:szCs w:val="22"/>
        </w:rPr>
      </w:pPr>
      <w:r w:rsidRPr="00BD10A4">
        <w:rPr>
          <w:rFonts w:ascii="Century Gothic" w:hAnsi="Century Gothic"/>
          <w:b/>
          <w:bCs/>
          <w:color w:val="025850"/>
          <w:sz w:val="22"/>
          <w:szCs w:val="22"/>
        </w:rPr>
        <w:t>Perfil sociodemográfico e integración territorial</w:t>
      </w:r>
    </w:p>
    <w:p w14:paraId="475B6C70" w14:textId="61C2D309" w:rsidR="00BD10A4" w:rsidRPr="00BD10A4" w:rsidRDefault="00BD10A4" w:rsidP="00BD10A4">
      <w:pPr>
        <w:spacing w:line="360" w:lineRule="auto"/>
        <w:ind w:firstLine="708"/>
        <w:jc w:val="both"/>
        <w:rPr>
          <w:rFonts w:ascii="Century Gothic" w:hAnsi="Century Gothic"/>
          <w:iCs/>
          <w:spacing w:val="-2"/>
          <w:sz w:val="22"/>
          <w:szCs w:val="22"/>
        </w:rPr>
      </w:pPr>
      <w:r w:rsidRPr="00BD10A4">
        <w:rPr>
          <w:rFonts w:ascii="Century Gothic" w:hAnsi="Century Gothic"/>
          <w:iCs/>
          <w:spacing w:val="-2"/>
          <w:sz w:val="22"/>
          <w:szCs w:val="22"/>
        </w:rPr>
        <w:t>La dinámica demográfica municipal juega un papel fundamental en la sociedad y en la toma de decisiones por las siguientes consideraciones:</w:t>
      </w:r>
    </w:p>
    <w:p w14:paraId="195BE9C5" w14:textId="77777777" w:rsidR="00BD10A4" w:rsidRPr="00BD10A4" w:rsidRDefault="00BD10A4" w:rsidP="005A1ADF">
      <w:pPr>
        <w:pStyle w:val="Prrafodelista"/>
        <w:widowControl w:val="0"/>
        <w:numPr>
          <w:ilvl w:val="0"/>
          <w:numId w:val="14"/>
        </w:numPr>
        <w:autoSpaceDE w:val="0"/>
        <w:autoSpaceDN w:val="0"/>
        <w:spacing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Una población en crecimiento puede proporcionar una fuerza laboral más grande y diversificada, lo que puede impulsar el crecimiento económico.</w:t>
      </w:r>
    </w:p>
    <w:p w14:paraId="7623DF50" w14:textId="77777777" w:rsidR="00BD10A4" w:rsidRPr="00BD10A4" w:rsidRDefault="00BD10A4" w:rsidP="005A1ADF">
      <w:pPr>
        <w:pStyle w:val="Prrafodelista"/>
        <w:widowControl w:val="0"/>
        <w:numPr>
          <w:ilvl w:val="0"/>
          <w:numId w:val="14"/>
        </w:numPr>
        <w:autoSpaceDE w:val="0"/>
        <w:autoSpaceDN w:val="0"/>
        <w:spacing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Los cambios en la población pueden influir en la demanda de vivienda, infraestructura y servicios públicos.</w:t>
      </w:r>
    </w:p>
    <w:p w14:paraId="593AFB78" w14:textId="77777777" w:rsidR="00BD10A4" w:rsidRPr="00BD10A4" w:rsidRDefault="00BD10A4" w:rsidP="005A1ADF">
      <w:pPr>
        <w:pStyle w:val="Prrafodelista"/>
        <w:widowControl w:val="0"/>
        <w:numPr>
          <w:ilvl w:val="0"/>
          <w:numId w:val="14"/>
        </w:numPr>
        <w:autoSpaceDE w:val="0"/>
        <w:autoSpaceDN w:val="0"/>
        <w:spacing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dinámica demográfica puede influir en la formulación de políticas públicas en áreas como la educación, salud, seguridad social y vivienda.</w:t>
      </w:r>
    </w:p>
    <w:p w14:paraId="46CE0ABA" w14:textId="77777777" w:rsidR="00BD10A4" w:rsidRPr="00BD10A4" w:rsidRDefault="00BD10A4" w:rsidP="005A1ADF">
      <w:pPr>
        <w:pStyle w:val="Prrafodelista"/>
        <w:widowControl w:val="0"/>
        <w:numPr>
          <w:ilvl w:val="0"/>
          <w:numId w:val="14"/>
        </w:numPr>
        <w:autoSpaceDE w:val="0"/>
        <w:autoSpaceDN w:val="0"/>
        <w:spacing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dinámica demográfica puede influir en el mercado laboral, ya que los cambios en la población pueden afectar la oferta y la demanda de mano de obra.</w:t>
      </w:r>
    </w:p>
    <w:p w14:paraId="697E5D21" w14:textId="77777777" w:rsidR="00BD10A4" w:rsidRPr="00BD10A4" w:rsidRDefault="00BD10A4" w:rsidP="005A1ADF">
      <w:pPr>
        <w:pStyle w:val="Prrafodelista"/>
        <w:widowControl w:val="0"/>
        <w:numPr>
          <w:ilvl w:val="0"/>
          <w:numId w:val="14"/>
        </w:numPr>
        <w:autoSpaceDE w:val="0"/>
        <w:autoSpaceDN w:val="0"/>
        <w:spacing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dinámica demográfica puede influir en el medio ambiente, ya que los cambios en la población pueden afectar la demanda de recursos naturales y la generación de residuos.</w:t>
      </w:r>
    </w:p>
    <w:p w14:paraId="3BA4F9C7" w14:textId="59C91533" w:rsidR="00BD10A4" w:rsidRPr="00BD10A4" w:rsidRDefault="00BD10A4" w:rsidP="005A1ADF">
      <w:pPr>
        <w:pStyle w:val="Prrafodelista"/>
        <w:widowControl w:val="0"/>
        <w:numPr>
          <w:ilvl w:val="0"/>
          <w:numId w:val="14"/>
        </w:numPr>
        <w:autoSpaceDE w:val="0"/>
        <w:autoSpaceDN w:val="0"/>
        <w:spacing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dinámica demográfica puede influir en la cultura y la sociedad, ya que los cambios en la población pueden afectar la diversidad cultural y la cohesión social.</w:t>
      </w:r>
    </w:p>
    <w:p w14:paraId="295787E9" w14:textId="1DC8CE74" w:rsidR="00BD10A4" w:rsidRPr="00BD10A4" w:rsidRDefault="00BD10A4" w:rsidP="00BD10A4">
      <w:pPr>
        <w:widowControl w:val="0"/>
        <w:autoSpaceDE w:val="0"/>
        <w:autoSpaceDN w:val="0"/>
        <w:spacing w:after="0" w:line="360" w:lineRule="auto"/>
        <w:jc w:val="both"/>
        <w:rPr>
          <w:rFonts w:ascii="Century Gothic" w:hAnsi="Century Gothic"/>
          <w:iCs/>
          <w:spacing w:val="-2"/>
          <w:sz w:val="22"/>
          <w:szCs w:val="22"/>
        </w:rPr>
      </w:pPr>
      <w:r w:rsidRPr="00BD10A4">
        <w:rPr>
          <w:rFonts w:ascii="Century Gothic" w:hAnsi="Century Gothic"/>
          <w:b/>
          <w:bCs/>
          <w:color w:val="025850"/>
          <w:sz w:val="22"/>
          <w:szCs w:val="22"/>
        </w:rPr>
        <w:t>Población</w:t>
      </w:r>
    </w:p>
    <w:p w14:paraId="1E05B410" w14:textId="77777777" w:rsidR="00BD10A4" w:rsidRPr="00BD10A4" w:rsidRDefault="00BD10A4" w:rsidP="00BD10A4">
      <w:pPr>
        <w:spacing w:before="166" w:line="360" w:lineRule="auto"/>
        <w:ind w:firstLine="708"/>
        <w:jc w:val="both"/>
        <w:rPr>
          <w:rFonts w:ascii="Century Gothic" w:hAnsi="Century Gothic"/>
          <w:iCs/>
          <w:spacing w:val="-2"/>
          <w:sz w:val="22"/>
          <w:szCs w:val="22"/>
        </w:rPr>
      </w:pPr>
      <w:r w:rsidRPr="00BD10A4">
        <w:rPr>
          <w:rFonts w:ascii="Century Gothic" w:hAnsi="Century Gothic"/>
          <w:iCs/>
          <w:spacing w:val="-2"/>
          <w:sz w:val="22"/>
          <w:szCs w:val="22"/>
        </w:rPr>
        <w:t>San Antonio la Isla es uno de los 125 municipios del Estado de México. De acuerdo con el último Censo de Población, en 2020 San Antonio la Isla tenía 31,962 habitantes: 16,541 mujeres (51.8%) y 15,421 hombres (48.2%). Del total poblacional, 17,075 se concentra en la cabecera municipal, 12,858 en Ex Rancho San Dimas, 1,490 Colonia Cuauhtémoc, 398 Colonia la Remolacha, 82 Rancho San Antonio y 59 San Agustín. Los habitantes de San Antonio la Isla representaban el 0.19% de la población total del Estado de México en 2020.</w:t>
      </w:r>
    </w:p>
    <w:p w14:paraId="4DC534C9" w14:textId="630A7C02" w:rsidR="00BD10A4" w:rsidRDefault="00BD10A4" w:rsidP="00BD10A4">
      <w:pPr>
        <w:spacing w:before="166" w:line="360" w:lineRule="auto"/>
        <w:ind w:firstLine="708"/>
        <w:jc w:val="both"/>
        <w:rPr>
          <w:rFonts w:ascii="Century Gothic" w:hAnsi="Century Gothic"/>
          <w:iCs/>
          <w:spacing w:val="-2"/>
          <w:sz w:val="22"/>
          <w:szCs w:val="22"/>
        </w:rPr>
      </w:pPr>
      <w:r w:rsidRPr="00BD10A4">
        <w:rPr>
          <w:rFonts w:ascii="Century Gothic" w:hAnsi="Century Gothic"/>
          <w:iCs/>
          <w:spacing w:val="-2"/>
          <w:sz w:val="22"/>
          <w:szCs w:val="22"/>
        </w:rPr>
        <w:t>La tasa intercensal 2015, el municipio cuenta con una población total de 27,230 habitantes, de los cuales 48.9% (13,307) es representada por los hombres, mientras que el 51.1% (13,923) es representada por mujeres, en tanto podemos decir que de 2015-2020 tuvimos una tasa de crecimiento de 3.2%.</w:t>
      </w:r>
    </w:p>
    <w:p w14:paraId="1B60E24A" w14:textId="710DF1A7" w:rsidR="00BD10A4" w:rsidRDefault="00BD10A4" w:rsidP="00BD10A4">
      <w:pPr>
        <w:rPr>
          <w:rFonts w:ascii="Century Gothic" w:hAnsi="Century Gothic"/>
          <w:iCs/>
          <w:spacing w:val="-2"/>
          <w:sz w:val="22"/>
          <w:szCs w:val="22"/>
        </w:rPr>
        <w:sectPr w:rsidR="00BD10A4" w:rsidSect="00A00C4A">
          <w:pgSz w:w="15840" w:h="12240" w:orient="landscape"/>
          <w:pgMar w:top="1440" w:right="1440" w:bottom="1440" w:left="1440" w:header="709" w:footer="709" w:gutter="0"/>
          <w:cols w:num="2" w:space="708"/>
          <w:docGrid w:linePitch="360"/>
        </w:sectPr>
      </w:pPr>
      <w:r>
        <w:rPr>
          <w:rFonts w:ascii="Century Gothic" w:hAnsi="Century Gothic"/>
          <w:iCs/>
          <w:spacing w:val="-2"/>
          <w:sz w:val="22"/>
          <w:szCs w:val="22"/>
        </w:rPr>
        <w:br w:type="page"/>
      </w:r>
    </w:p>
    <w:p w14:paraId="37235F44" w14:textId="21A48ECA" w:rsidR="00A00C4A" w:rsidRDefault="00BD10A4" w:rsidP="00BD10A4">
      <w:pPr>
        <w:spacing w:before="166" w:line="276" w:lineRule="auto"/>
        <w:jc w:val="both"/>
        <w:rPr>
          <w:noProof/>
        </w:rPr>
      </w:pPr>
      <w:r>
        <w:rPr>
          <w:noProof/>
        </w:rPr>
        <w:lastRenderedPageBreak/>
        <w:drawing>
          <wp:inline distT="0" distB="0" distL="0" distR="0" wp14:anchorId="5BD4BD41" wp14:editId="77F071B1">
            <wp:extent cx="8229600" cy="4638040"/>
            <wp:effectExtent l="0" t="0" r="0" b="1016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1069DC5" w14:textId="5111B98D" w:rsidR="00BD10A4" w:rsidRDefault="00BD10A4" w:rsidP="00BD10A4">
      <w:pPr>
        <w:tabs>
          <w:tab w:val="left" w:pos="1267"/>
        </w:tabs>
        <w:spacing w:after="0" w:line="240" w:lineRule="auto"/>
        <w:rPr>
          <w:rFonts w:ascii="Century Gothic" w:hAnsi="Century Gothic"/>
          <w:sz w:val="18"/>
          <w:szCs w:val="18"/>
          <w:lang w:val="es-ES"/>
        </w:rPr>
      </w:pPr>
      <w:r w:rsidRPr="00BD10A4">
        <w:rPr>
          <w:rFonts w:ascii="Century Gothic" w:hAnsi="Century Gothic"/>
          <w:sz w:val="18"/>
          <w:szCs w:val="18"/>
          <w:lang w:val="es-ES"/>
        </w:rPr>
        <w:t>Fuente:  Elaboración propia con datos información del Censo de Población y Vivienda del INEGI para 2020, utilizando modelo econométrico ARIMA.</w:t>
      </w:r>
    </w:p>
    <w:p w14:paraId="300848CA" w14:textId="77777777" w:rsidR="00BD10A4" w:rsidRDefault="00BD10A4">
      <w:pPr>
        <w:rPr>
          <w:rFonts w:ascii="Century Gothic" w:hAnsi="Century Gothic"/>
          <w:sz w:val="18"/>
          <w:szCs w:val="18"/>
          <w:lang w:val="es-ES"/>
        </w:rPr>
      </w:pPr>
      <w:r>
        <w:rPr>
          <w:rFonts w:ascii="Century Gothic" w:hAnsi="Century Gothic"/>
          <w:sz w:val="18"/>
          <w:szCs w:val="18"/>
          <w:lang w:val="es-ES"/>
        </w:rPr>
        <w:br w:type="page"/>
      </w:r>
    </w:p>
    <w:p w14:paraId="6A72995A" w14:textId="77777777" w:rsidR="00BD10A4" w:rsidRDefault="00BD10A4" w:rsidP="00BD10A4">
      <w:pPr>
        <w:tabs>
          <w:tab w:val="left" w:pos="1267"/>
        </w:tabs>
        <w:spacing w:after="0" w:line="240" w:lineRule="auto"/>
        <w:rPr>
          <w:rFonts w:ascii="Century Gothic" w:hAnsi="Century Gothic"/>
          <w:sz w:val="18"/>
          <w:szCs w:val="18"/>
          <w:lang w:val="es-ES"/>
        </w:rPr>
        <w:sectPr w:rsidR="00BD10A4" w:rsidSect="00BD10A4">
          <w:pgSz w:w="15840" w:h="12240" w:orient="landscape"/>
          <w:pgMar w:top="1440" w:right="1440" w:bottom="1440" w:left="1440" w:header="709" w:footer="709" w:gutter="0"/>
          <w:cols w:space="708"/>
          <w:docGrid w:linePitch="360"/>
        </w:sectPr>
      </w:pPr>
    </w:p>
    <w:p w14:paraId="299CD596" w14:textId="1DDB2649" w:rsidR="00BD10A4" w:rsidRPr="00BD10A4" w:rsidRDefault="00BD10A4" w:rsidP="00BD10A4">
      <w:pPr>
        <w:spacing w:before="166" w:line="360" w:lineRule="auto"/>
        <w:ind w:firstLine="708"/>
        <w:jc w:val="both"/>
        <w:rPr>
          <w:rFonts w:ascii="Century Gothic" w:hAnsi="Century Gothic"/>
          <w:sz w:val="22"/>
          <w:szCs w:val="22"/>
        </w:rPr>
      </w:pPr>
      <w:r w:rsidRPr="00BD10A4">
        <w:rPr>
          <w:rFonts w:ascii="Century Gothic" w:hAnsi="Century Gothic"/>
          <w:sz w:val="22"/>
          <w:szCs w:val="22"/>
        </w:rPr>
        <w:lastRenderedPageBreak/>
        <w:t>Esta proyección se basa en tendencias demográficas pasadas y presentes, así como en suposiciones sobre futuros cambios en la fertilidad, la mortalidad y la migración. Como podemos apreciar la tendencia poblacional de San Antonio la Isla nos ayudará a planificar la infraestructura, los servicios públicos y la oferta educativa y de salud para atender las necesidades de la población futura. En esta administración estaremos brindando atención alrededor de 47,075 habitantes.</w:t>
      </w:r>
    </w:p>
    <w:p w14:paraId="143601CA" w14:textId="7B587178" w:rsidR="00BD10A4" w:rsidRPr="00BD10A4" w:rsidRDefault="00BD10A4" w:rsidP="00BD10A4">
      <w:pPr>
        <w:spacing w:before="166" w:line="360" w:lineRule="auto"/>
        <w:jc w:val="both"/>
        <w:rPr>
          <w:rFonts w:ascii="Century Gothic" w:hAnsi="Century Gothic"/>
          <w:b/>
          <w:bCs/>
          <w:color w:val="025850"/>
          <w:sz w:val="22"/>
          <w:szCs w:val="22"/>
        </w:rPr>
      </w:pPr>
      <w:r w:rsidRPr="00BD10A4">
        <w:rPr>
          <w:rFonts w:ascii="Century Gothic" w:hAnsi="Century Gothic"/>
          <w:b/>
          <w:bCs/>
          <w:color w:val="025850"/>
          <w:sz w:val="22"/>
          <w:szCs w:val="22"/>
        </w:rPr>
        <w:t>Estructura de la población</w:t>
      </w:r>
    </w:p>
    <w:p w14:paraId="76EF5B07" w14:textId="77777777" w:rsidR="00BD10A4" w:rsidRPr="00BD10A4" w:rsidRDefault="00BD10A4" w:rsidP="00BD10A4">
      <w:pPr>
        <w:spacing w:before="166" w:line="360" w:lineRule="auto"/>
        <w:ind w:firstLine="708"/>
        <w:jc w:val="both"/>
        <w:rPr>
          <w:rFonts w:ascii="Century Gothic" w:hAnsi="Century Gothic"/>
          <w:iCs/>
          <w:spacing w:val="-2"/>
          <w:sz w:val="22"/>
          <w:szCs w:val="22"/>
        </w:rPr>
      </w:pPr>
      <w:r w:rsidRPr="00BD10A4">
        <w:rPr>
          <w:rFonts w:ascii="Century Gothic" w:hAnsi="Century Gothic"/>
          <w:iCs/>
          <w:spacing w:val="-2"/>
          <w:sz w:val="22"/>
          <w:szCs w:val="22"/>
        </w:rPr>
        <w:t>La estructura poblacional se refiere a la distribución de la población del Municipio de San Antonio la Isla, según diferentes características demográficas, como la edad y el sexo, entre otras y es importante por las siguientes consideraciones:</w:t>
      </w:r>
    </w:p>
    <w:p w14:paraId="57840D2C" w14:textId="77777777" w:rsidR="00BD10A4" w:rsidRPr="00BD10A4" w:rsidRDefault="00BD10A4" w:rsidP="005A1ADF">
      <w:pPr>
        <w:pStyle w:val="Prrafodelista"/>
        <w:widowControl w:val="0"/>
        <w:numPr>
          <w:ilvl w:val="0"/>
          <w:numId w:val="15"/>
        </w:numPr>
        <w:autoSpaceDE w:val="0"/>
        <w:autoSpaceDN w:val="0"/>
        <w:spacing w:before="166"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estructura poblacional es fundamental para la planificación y política pública, ya que permite identificar las necesidades y características de la población.</w:t>
      </w:r>
    </w:p>
    <w:p w14:paraId="7FFA2952" w14:textId="77777777" w:rsidR="00BD10A4" w:rsidRPr="00BD10A4" w:rsidRDefault="00BD10A4" w:rsidP="005A1ADF">
      <w:pPr>
        <w:pStyle w:val="Prrafodelista"/>
        <w:widowControl w:val="0"/>
        <w:numPr>
          <w:ilvl w:val="0"/>
          <w:numId w:val="15"/>
        </w:numPr>
        <w:autoSpaceDE w:val="0"/>
        <w:autoSpaceDN w:val="0"/>
        <w:spacing w:before="166"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 xml:space="preserve">La estructura poblacional es importante para el </w:t>
      </w:r>
      <w:r w:rsidRPr="00BD10A4">
        <w:rPr>
          <w:rFonts w:ascii="Century Gothic" w:hAnsi="Century Gothic"/>
          <w:iCs/>
          <w:spacing w:val="-2"/>
          <w:sz w:val="22"/>
          <w:szCs w:val="22"/>
        </w:rPr>
        <w:t>análisis económico, ya que permite entender la distribución de la fuerza laboral y la demanda de bienes y servicios.</w:t>
      </w:r>
    </w:p>
    <w:p w14:paraId="3B1034E9" w14:textId="77777777" w:rsidR="00BD10A4" w:rsidRPr="00BD10A4" w:rsidRDefault="00BD10A4" w:rsidP="005A1ADF">
      <w:pPr>
        <w:pStyle w:val="Prrafodelista"/>
        <w:widowControl w:val="0"/>
        <w:numPr>
          <w:ilvl w:val="0"/>
          <w:numId w:val="15"/>
        </w:numPr>
        <w:autoSpaceDE w:val="0"/>
        <w:autoSpaceDN w:val="0"/>
        <w:spacing w:before="166"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estructura poblacional es fundamental para la salud pública, ya que permite identificar las necesidades de salud de la población y planificar servicios de salud efectivos.</w:t>
      </w:r>
    </w:p>
    <w:p w14:paraId="77CAADE0" w14:textId="77777777" w:rsidR="00BD10A4" w:rsidRPr="00BD10A4" w:rsidRDefault="00BD10A4" w:rsidP="005A1ADF">
      <w:pPr>
        <w:pStyle w:val="Prrafodelista"/>
        <w:widowControl w:val="0"/>
        <w:numPr>
          <w:ilvl w:val="0"/>
          <w:numId w:val="15"/>
        </w:numPr>
        <w:autoSpaceDE w:val="0"/>
        <w:autoSpaceDN w:val="0"/>
        <w:spacing w:before="166"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estructura poblacional es importante para la educación, ya que permite planificar la oferta educativa y asegurarse de que se están cubriendo las necesidades de educación de la población.</w:t>
      </w:r>
    </w:p>
    <w:p w14:paraId="357D6569" w14:textId="16A95100" w:rsidR="005E5347" w:rsidRDefault="00BD10A4" w:rsidP="005A1ADF">
      <w:pPr>
        <w:pStyle w:val="Prrafodelista"/>
        <w:widowControl w:val="0"/>
        <w:numPr>
          <w:ilvl w:val="0"/>
          <w:numId w:val="15"/>
        </w:numPr>
        <w:autoSpaceDE w:val="0"/>
        <w:autoSpaceDN w:val="0"/>
        <w:spacing w:before="166" w:after="0" w:line="360" w:lineRule="auto"/>
        <w:jc w:val="both"/>
        <w:rPr>
          <w:rFonts w:ascii="Century Gothic" w:hAnsi="Century Gothic"/>
          <w:iCs/>
          <w:spacing w:val="-2"/>
          <w:sz w:val="22"/>
          <w:szCs w:val="22"/>
        </w:rPr>
      </w:pPr>
      <w:r w:rsidRPr="00BD10A4">
        <w:rPr>
          <w:rFonts w:ascii="Century Gothic" w:hAnsi="Century Gothic"/>
          <w:iCs/>
          <w:spacing w:val="-2"/>
          <w:sz w:val="22"/>
          <w:szCs w:val="22"/>
        </w:rPr>
        <w:t>La estructura poblacional es fundamental para la investigación y análisis en diversas áreas, como la demografía, la economía, la sociología, entre otras.</w:t>
      </w:r>
    </w:p>
    <w:p w14:paraId="789530A8" w14:textId="77777777" w:rsidR="005E5347" w:rsidRDefault="005E5347">
      <w:pPr>
        <w:rPr>
          <w:rFonts w:ascii="Century Gothic" w:hAnsi="Century Gothic"/>
          <w:iCs/>
          <w:spacing w:val="-2"/>
          <w:sz w:val="22"/>
          <w:szCs w:val="22"/>
        </w:rPr>
      </w:pPr>
      <w:r>
        <w:rPr>
          <w:rFonts w:ascii="Century Gothic" w:hAnsi="Century Gothic"/>
          <w:iCs/>
          <w:spacing w:val="-2"/>
          <w:sz w:val="22"/>
          <w:szCs w:val="22"/>
        </w:rPr>
        <w:br w:type="page"/>
      </w:r>
    </w:p>
    <w:p w14:paraId="5E7E5482" w14:textId="77777777" w:rsidR="005E5347" w:rsidRDefault="005E5347" w:rsidP="005E5347">
      <w:pPr>
        <w:widowControl w:val="0"/>
        <w:autoSpaceDE w:val="0"/>
        <w:autoSpaceDN w:val="0"/>
        <w:spacing w:before="166" w:after="0" w:line="360" w:lineRule="auto"/>
        <w:jc w:val="both"/>
        <w:rPr>
          <w:rFonts w:ascii="Century Gothic" w:hAnsi="Century Gothic"/>
          <w:iCs/>
          <w:spacing w:val="-2"/>
          <w:sz w:val="22"/>
          <w:szCs w:val="22"/>
        </w:rPr>
        <w:sectPr w:rsidR="005E5347" w:rsidSect="00BD10A4">
          <w:pgSz w:w="15840" w:h="12240" w:orient="landscape"/>
          <w:pgMar w:top="1440" w:right="1440" w:bottom="1440" w:left="1440" w:header="709" w:footer="709" w:gutter="0"/>
          <w:cols w:num="2" w:space="708"/>
          <w:docGrid w:linePitch="360"/>
        </w:sectPr>
      </w:pPr>
    </w:p>
    <w:p w14:paraId="360270AC" w14:textId="2F7CD5FF" w:rsidR="00BD10A4" w:rsidRPr="005E5347" w:rsidRDefault="005E5347" w:rsidP="005E5347">
      <w:pPr>
        <w:widowControl w:val="0"/>
        <w:autoSpaceDE w:val="0"/>
        <w:autoSpaceDN w:val="0"/>
        <w:spacing w:before="166" w:after="0" w:line="360" w:lineRule="auto"/>
        <w:jc w:val="center"/>
        <w:rPr>
          <w:rFonts w:ascii="Century Gothic" w:hAnsi="Century Gothic"/>
          <w:iCs/>
          <w:spacing w:val="-2"/>
          <w:sz w:val="22"/>
          <w:szCs w:val="22"/>
        </w:rPr>
      </w:pPr>
      <w:r>
        <w:rPr>
          <w:noProof/>
        </w:rPr>
        <w:lastRenderedPageBreak/>
        <w:drawing>
          <wp:inline distT="0" distB="0" distL="0" distR="0" wp14:anchorId="632A5826" wp14:editId="588772D7">
            <wp:extent cx="7700790" cy="528285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727578" cy="5301232"/>
                    </a:xfrm>
                    <a:prstGeom prst="rect">
                      <a:avLst/>
                    </a:prstGeom>
                    <a:noFill/>
                    <a:ln>
                      <a:noFill/>
                    </a:ln>
                  </pic:spPr>
                </pic:pic>
              </a:graphicData>
            </a:graphic>
          </wp:inline>
        </w:drawing>
      </w:r>
    </w:p>
    <w:p w14:paraId="55AC60FD" w14:textId="1C705ADE" w:rsidR="005E5347" w:rsidRDefault="005E5347" w:rsidP="005E5347">
      <w:pPr>
        <w:tabs>
          <w:tab w:val="left" w:pos="1267"/>
        </w:tabs>
        <w:spacing w:after="0" w:line="240" w:lineRule="auto"/>
        <w:jc w:val="center"/>
        <w:rPr>
          <w:rFonts w:ascii="Century Gothic" w:hAnsi="Century Gothic"/>
          <w:sz w:val="18"/>
          <w:szCs w:val="18"/>
          <w:lang w:val="es-ES"/>
        </w:rPr>
      </w:pPr>
      <w:r>
        <w:rPr>
          <w:rFonts w:ascii="Century Gothic" w:hAnsi="Century Gothic"/>
          <w:sz w:val="18"/>
          <w:szCs w:val="18"/>
          <w:lang w:val="es-ES"/>
        </w:rPr>
        <w:t>Fuente: Elaboración Propia</w:t>
      </w:r>
    </w:p>
    <w:p w14:paraId="1D5AB18B" w14:textId="77777777" w:rsidR="005E5347" w:rsidRDefault="005E5347">
      <w:pPr>
        <w:rPr>
          <w:rFonts w:ascii="Century Gothic" w:hAnsi="Century Gothic"/>
          <w:sz w:val="18"/>
          <w:szCs w:val="18"/>
          <w:lang w:val="es-ES"/>
        </w:rPr>
      </w:pPr>
      <w:r>
        <w:rPr>
          <w:rFonts w:ascii="Century Gothic" w:hAnsi="Century Gothic"/>
          <w:sz w:val="18"/>
          <w:szCs w:val="18"/>
          <w:lang w:val="es-ES"/>
        </w:rPr>
        <w:br w:type="page"/>
      </w:r>
    </w:p>
    <w:p w14:paraId="04B8B32E" w14:textId="77777777" w:rsidR="005E5347" w:rsidRDefault="005E5347" w:rsidP="005E5347">
      <w:pPr>
        <w:tabs>
          <w:tab w:val="left" w:pos="1267"/>
        </w:tabs>
        <w:spacing w:after="0" w:line="240" w:lineRule="auto"/>
        <w:rPr>
          <w:rFonts w:ascii="Century Gothic" w:hAnsi="Century Gothic"/>
          <w:sz w:val="18"/>
          <w:szCs w:val="18"/>
          <w:lang w:val="es-ES"/>
        </w:rPr>
        <w:sectPr w:rsidR="005E5347" w:rsidSect="005E5347">
          <w:pgSz w:w="15840" w:h="12240" w:orient="landscape"/>
          <w:pgMar w:top="1440" w:right="1440" w:bottom="1440" w:left="1440" w:header="709" w:footer="709" w:gutter="0"/>
          <w:cols w:space="708"/>
          <w:docGrid w:linePitch="360"/>
        </w:sectPr>
      </w:pPr>
    </w:p>
    <w:p w14:paraId="6086D45E" w14:textId="69185ABC" w:rsidR="005E5347" w:rsidRPr="005E5347" w:rsidRDefault="005E5347" w:rsidP="005E5347">
      <w:pPr>
        <w:pStyle w:val="Prrafodelista"/>
        <w:spacing w:before="166" w:line="360" w:lineRule="auto"/>
        <w:ind w:left="0"/>
        <w:jc w:val="both"/>
        <w:rPr>
          <w:rFonts w:ascii="Century Gothic" w:hAnsi="Century Gothic"/>
          <w:iCs/>
          <w:spacing w:val="-2"/>
          <w:sz w:val="22"/>
          <w:szCs w:val="22"/>
        </w:rPr>
      </w:pPr>
      <w:r w:rsidRPr="005E5347">
        <w:rPr>
          <w:rFonts w:ascii="Century Gothic" w:hAnsi="Century Gothic"/>
          <w:sz w:val="22"/>
          <w:szCs w:val="22"/>
        </w:rPr>
        <w:lastRenderedPageBreak/>
        <w:t xml:space="preserve">Los datos por grupos de población muestran que el mayor porcentaje se concentra en las personas adultas jóvenes, que </w:t>
      </w:r>
      <w:r w:rsidRPr="005E5347">
        <w:rPr>
          <w:rFonts w:ascii="Century Gothic" w:hAnsi="Century Gothic"/>
          <w:iCs/>
          <w:spacing w:val="-2"/>
          <w:sz w:val="22"/>
          <w:szCs w:val="22"/>
        </w:rPr>
        <w:t>representaban el 67.1%. población total, siendo 11,269 mujeres (52.5%) y 10,178 hombres (47.5%). Seguido de los 6,715 menores de 12 años: 3,377 niñas (50.3%) y 3,338 niños (49.7%), representaban el 21.0% y los adolescentes que tienen de 12 a 17 años: 3,794 adolescentes: 1,892 mujeres (49.9%) y 1,902 hombres (50.1%) y representaban el 11.9% de la población.</w:t>
      </w:r>
    </w:p>
    <w:p w14:paraId="24F66AEA" w14:textId="60595C21" w:rsidR="00BD10A4" w:rsidRDefault="005E5347" w:rsidP="005E5347">
      <w:pPr>
        <w:tabs>
          <w:tab w:val="left" w:pos="1267"/>
        </w:tabs>
        <w:spacing w:after="0" w:line="240" w:lineRule="auto"/>
        <w:rPr>
          <w:rFonts w:ascii="Century Gothic" w:hAnsi="Century Gothic"/>
          <w:sz w:val="18"/>
          <w:szCs w:val="18"/>
          <w:lang w:val="es-ES"/>
        </w:rPr>
      </w:pPr>
      <w:r>
        <w:rPr>
          <w:noProof/>
        </w:rPr>
        <w:drawing>
          <wp:inline distT="0" distB="0" distL="0" distR="0" wp14:anchorId="7DD51D20" wp14:editId="544B574E">
            <wp:extent cx="4010140" cy="3084723"/>
            <wp:effectExtent l="0" t="0" r="0"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304730" w14:textId="5A27E2A3" w:rsidR="005E5347" w:rsidRDefault="005E5347" w:rsidP="005E5347">
      <w:pPr>
        <w:tabs>
          <w:tab w:val="left" w:pos="1267"/>
        </w:tabs>
        <w:spacing w:after="0" w:line="240" w:lineRule="auto"/>
        <w:rPr>
          <w:rFonts w:ascii="Century Gothic" w:hAnsi="Century Gothic"/>
          <w:sz w:val="18"/>
          <w:szCs w:val="18"/>
          <w:lang w:val="es-ES"/>
        </w:rPr>
      </w:pPr>
    </w:p>
    <w:p w14:paraId="472E7E20" w14:textId="5DA97594" w:rsidR="005E5347" w:rsidRDefault="005E5347" w:rsidP="005E5347">
      <w:pPr>
        <w:tabs>
          <w:tab w:val="left" w:pos="1267"/>
        </w:tabs>
        <w:spacing w:after="0" w:line="240" w:lineRule="auto"/>
        <w:rPr>
          <w:rFonts w:ascii="Century Gothic" w:hAnsi="Century Gothic"/>
          <w:sz w:val="18"/>
          <w:szCs w:val="18"/>
          <w:lang w:val="es-ES"/>
        </w:rPr>
      </w:pPr>
    </w:p>
    <w:p w14:paraId="49109471" w14:textId="77777777" w:rsidR="005E5347" w:rsidRDefault="005E5347" w:rsidP="005E5347">
      <w:pPr>
        <w:tabs>
          <w:tab w:val="left" w:pos="1267"/>
        </w:tabs>
        <w:spacing w:after="0" w:line="240" w:lineRule="auto"/>
        <w:rPr>
          <w:rFonts w:ascii="Century Gothic" w:hAnsi="Century Gothic"/>
          <w:sz w:val="18"/>
          <w:szCs w:val="18"/>
          <w:lang w:val="es-ES"/>
        </w:rPr>
      </w:pPr>
    </w:p>
    <w:p w14:paraId="7B47531E" w14:textId="1C1B9F8D" w:rsidR="005E5347" w:rsidRDefault="005E5347" w:rsidP="005E5347">
      <w:pPr>
        <w:tabs>
          <w:tab w:val="left" w:pos="1267"/>
        </w:tabs>
        <w:spacing w:after="0" w:line="240" w:lineRule="auto"/>
        <w:rPr>
          <w:rFonts w:ascii="Century Gothic" w:hAnsi="Century Gothic"/>
          <w:sz w:val="18"/>
          <w:szCs w:val="18"/>
          <w:lang w:val="es-ES"/>
        </w:rPr>
      </w:pPr>
    </w:p>
    <w:p w14:paraId="6AC4984C" w14:textId="1A5D462A" w:rsidR="005E5347" w:rsidRDefault="005E5347" w:rsidP="005E5347">
      <w:pPr>
        <w:tabs>
          <w:tab w:val="left" w:pos="1267"/>
        </w:tabs>
        <w:spacing w:after="0" w:line="240" w:lineRule="auto"/>
        <w:jc w:val="center"/>
        <w:rPr>
          <w:rFonts w:ascii="Century Gothic" w:hAnsi="Century Gothic"/>
          <w:sz w:val="18"/>
          <w:szCs w:val="18"/>
          <w:lang w:val="es-ES"/>
        </w:rPr>
      </w:pPr>
      <w:r>
        <w:rPr>
          <w:noProof/>
        </w:rPr>
        <w:drawing>
          <wp:inline distT="0" distB="0" distL="0" distR="0" wp14:anchorId="0759725B" wp14:editId="2B9D3B07">
            <wp:extent cx="3890010" cy="2887514"/>
            <wp:effectExtent l="0" t="0" r="0" b="825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24F2E39" w14:textId="77777777" w:rsidR="00907363" w:rsidRPr="00907363" w:rsidRDefault="00907363" w:rsidP="00907363">
      <w:pPr>
        <w:tabs>
          <w:tab w:val="left" w:pos="1267"/>
        </w:tabs>
        <w:spacing w:after="0" w:line="240" w:lineRule="auto"/>
        <w:rPr>
          <w:rFonts w:ascii="Century Gothic" w:hAnsi="Century Gothic"/>
          <w:sz w:val="18"/>
          <w:szCs w:val="18"/>
          <w:lang w:val="es-ES"/>
        </w:rPr>
      </w:pPr>
      <w:r w:rsidRPr="00907363">
        <w:rPr>
          <w:rFonts w:ascii="Century Gothic" w:hAnsi="Century Gothic"/>
          <w:sz w:val="18"/>
          <w:szCs w:val="18"/>
          <w:lang w:val="es-ES"/>
        </w:rPr>
        <w:t>Fuente:  Elaboración propia con información del Censo de Población y Vivienda del INEGI para 2020</w:t>
      </w:r>
    </w:p>
    <w:p w14:paraId="1615F800" w14:textId="63D7C87A" w:rsidR="005E5347" w:rsidRDefault="005E5347" w:rsidP="005E5347">
      <w:pPr>
        <w:tabs>
          <w:tab w:val="left" w:pos="1267"/>
        </w:tabs>
        <w:spacing w:after="0" w:line="240" w:lineRule="auto"/>
        <w:rPr>
          <w:rFonts w:ascii="Century Gothic" w:hAnsi="Century Gothic"/>
          <w:sz w:val="18"/>
          <w:szCs w:val="18"/>
          <w:lang w:val="es-ES"/>
        </w:rPr>
      </w:pPr>
    </w:p>
    <w:p w14:paraId="114DE259" w14:textId="718F433E" w:rsidR="00907363" w:rsidRPr="00907363" w:rsidRDefault="00907363" w:rsidP="00907363">
      <w:pPr>
        <w:spacing w:before="166"/>
        <w:jc w:val="both"/>
        <w:rPr>
          <w:rFonts w:ascii="Century Gothic" w:hAnsi="Century Gothic"/>
          <w:b/>
          <w:bCs/>
          <w:color w:val="025850"/>
          <w:spacing w:val="-2"/>
          <w:sz w:val="22"/>
          <w:szCs w:val="22"/>
        </w:rPr>
      </w:pPr>
      <w:r w:rsidRPr="00907363">
        <w:rPr>
          <w:rFonts w:ascii="Century Gothic" w:hAnsi="Century Gothic"/>
          <w:b/>
          <w:bCs/>
          <w:color w:val="025850"/>
          <w:spacing w:val="-2"/>
          <w:sz w:val="22"/>
          <w:szCs w:val="22"/>
        </w:rPr>
        <w:t>Fecundidad</w:t>
      </w:r>
    </w:p>
    <w:p w14:paraId="73F11E2F" w14:textId="77777777" w:rsidR="00907363" w:rsidRPr="00907363" w:rsidRDefault="00907363" w:rsidP="00907363">
      <w:pPr>
        <w:spacing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 xml:space="preserve">Uno de los aspectos más importantes dentro del análisis de las ciencias sociales se relaciona con la reproducción de la especie humana debido a las implicaciones económicas, políticas y culturales que este hecho trae consigo. De manera particular, para el análisis demográfico, la capacidad natural de los seres humanos para reproducirse y procrear reviste una gran importancia; </w:t>
      </w:r>
      <w:r w:rsidRPr="00907363">
        <w:rPr>
          <w:rFonts w:ascii="Century Gothic" w:hAnsi="Century Gothic"/>
          <w:spacing w:val="-2"/>
          <w:sz w:val="22"/>
          <w:szCs w:val="22"/>
        </w:rPr>
        <w:lastRenderedPageBreak/>
        <w:t>en tanto, la fecundidad es capaz de definir la manera en que avanza y crece una determinada población desde una perspectiva cuantitativa.</w:t>
      </w:r>
    </w:p>
    <w:p w14:paraId="041FF793" w14:textId="77777777" w:rsidR="00907363" w:rsidRPr="00907363" w:rsidRDefault="00907363" w:rsidP="00907363">
      <w:pPr>
        <w:spacing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 xml:space="preserve">La relevancia de la fecundidad para su estudio demográfico radica en que constituye un elemento básico (junto con la mortalidad o la migración) para explicar la dinámica y estructura de la población. </w:t>
      </w:r>
    </w:p>
    <w:p w14:paraId="596977AD" w14:textId="77777777" w:rsidR="00907363" w:rsidRPr="00907363" w:rsidRDefault="00907363" w:rsidP="00907363">
      <w:pPr>
        <w:spacing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 xml:space="preserve">La fertilidad se entiende como la capacidad biológica de hombres y mujeres para reproducirse y procrear; la natalidad hace referencia al volumen de nacimientos que ocurren en una zona o población específica durante un determinado periodo de tiempo. </w:t>
      </w:r>
    </w:p>
    <w:p w14:paraId="3E21074F" w14:textId="77777777" w:rsidR="00907363" w:rsidRPr="00907363" w:rsidRDefault="00907363" w:rsidP="00907363">
      <w:pPr>
        <w:spacing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De acuerdo con las proyecciones del Consejo Nacional de Población (CONAPO), el Estado de México en 2023 tenía una Tasa Global de Fecundidad (TGF) de 1.71 hijos por mujer; mientras que San Antonio la Isla, con una ratio de fecundidad de 2.03 hijos por mujer.</w:t>
      </w:r>
    </w:p>
    <w:p w14:paraId="1955042C" w14:textId="7F1E593E" w:rsidR="00907363" w:rsidRDefault="00907363" w:rsidP="00907363">
      <w:pPr>
        <w:rPr>
          <w:rFonts w:ascii="Century Gothic" w:hAnsi="Century Gothic"/>
          <w:sz w:val="18"/>
          <w:szCs w:val="18"/>
          <w:lang w:val="es-ES"/>
        </w:rPr>
        <w:sectPr w:rsidR="00907363" w:rsidSect="005E5347">
          <w:pgSz w:w="15840" w:h="12240" w:orient="landscape"/>
          <w:pgMar w:top="1440" w:right="1440" w:bottom="1440" w:left="1440" w:header="709" w:footer="709" w:gutter="0"/>
          <w:cols w:num="2" w:space="708"/>
          <w:docGrid w:linePitch="360"/>
        </w:sectPr>
      </w:pPr>
      <w:r>
        <w:rPr>
          <w:rFonts w:ascii="Century Gothic" w:hAnsi="Century Gothic"/>
          <w:sz w:val="18"/>
          <w:szCs w:val="18"/>
          <w:lang w:val="es-ES"/>
        </w:rPr>
        <w:br w:type="page"/>
      </w:r>
    </w:p>
    <w:p w14:paraId="44421F89" w14:textId="11F5006F" w:rsidR="00907363" w:rsidRPr="00907363" w:rsidRDefault="00907363" w:rsidP="00907363">
      <w:pPr>
        <w:spacing w:before="166" w:line="360" w:lineRule="auto"/>
        <w:jc w:val="both"/>
        <w:rPr>
          <w:rFonts w:ascii="Corbel" w:hAnsi="Corbel"/>
          <w:b/>
          <w:bCs/>
          <w:iCs/>
          <w:color w:val="025850"/>
          <w:spacing w:val="-2"/>
          <w:sz w:val="28"/>
          <w:szCs w:val="28"/>
        </w:rPr>
      </w:pPr>
      <w:r w:rsidRPr="00907363">
        <w:rPr>
          <w:rFonts w:ascii="Corbel" w:hAnsi="Corbel"/>
          <w:b/>
          <w:bCs/>
          <w:iCs/>
          <w:color w:val="025850"/>
          <w:spacing w:val="-2"/>
          <w:sz w:val="28"/>
          <w:szCs w:val="28"/>
        </w:rPr>
        <w:lastRenderedPageBreak/>
        <w:t>Integración Territorial</w:t>
      </w:r>
    </w:p>
    <w:p w14:paraId="73FF0BC6" w14:textId="5F984ACD" w:rsidR="00907363" w:rsidRPr="00907363" w:rsidRDefault="00907363" w:rsidP="00907363">
      <w:pPr>
        <w:spacing w:before="166" w:line="360" w:lineRule="auto"/>
        <w:ind w:firstLine="708"/>
        <w:jc w:val="both"/>
        <w:rPr>
          <w:rFonts w:ascii="Century Gothic" w:hAnsi="Century Gothic"/>
          <w:iCs/>
          <w:spacing w:val="-2"/>
          <w:sz w:val="20"/>
          <w:szCs w:val="20"/>
        </w:rPr>
      </w:pPr>
      <w:r w:rsidRPr="00907363">
        <w:rPr>
          <w:rFonts w:ascii="Century Gothic" w:hAnsi="Century Gothic"/>
          <w:iCs/>
          <w:spacing w:val="-2"/>
          <w:sz w:val="20"/>
          <w:szCs w:val="20"/>
        </w:rPr>
        <w:t>El territorio del Municipio de San Antonio la Isla, cuenta con una superficie de 24,150 kilómetros cuadrados, comprendida dentro de los límites de la extensión territorial reconocida oficialmente, ubicándose al Sureste de la Ciudad de Toluca y sus límites son los siguientes: Norte: Con Calimaya, Chapultepec, Santiago Tianguistenco; Sur: Con Rayón, Joquicingo y San Mateo Texcalyacac y Este: Almoloya del Río, Atizapán y San Mateo Texcalyacac y Oeste: Con Calimaya. Su posición geográfica es 99º30'51" longitud mínima y 99º35'42" de longitud máxima; 19º08'34" de longitud mínima y 19º11'30" de latitud máxima. La cabecera municipal alcanza 2,595 metros sobre el nivel del mar.</w:t>
      </w:r>
    </w:p>
    <w:p w14:paraId="2AC03EDF" w14:textId="777794AC" w:rsidR="005E5347" w:rsidRDefault="00907363" w:rsidP="005E5347">
      <w:pPr>
        <w:tabs>
          <w:tab w:val="left" w:pos="1267"/>
        </w:tabs>
        <w:spacing w:after="0" w:line="240" w:lineRule="auto"/>
        <w:rPr>
          <w:rFonts w:ascii="Century Gothic" w:hAnsi="Century Gothic"/>
          <w:sz w:val="18"/>
          <w:szCs w:val="18"/>
          <w:lang w:val="es-ES"/>
        </w:rPr>
      </w:pPr>
      <w:r>
        <w:rPr>
          <w:rFonts w:ascii="Corbel" w:hAnsi="Corbel"/>
          <w:iCs/>
          <w:noProof/>
          <w:spacing w:val="-2"/>
        </w:rPr>
        <w:drawing>
          <wp:anchor distT="0" distB="0" distL="114300" distR="114300" simplePos="0" relativeHeight="251702272" behindDoc="1" locked="0" layoutInCell="1" allowOverlap="1" wp14:anchorId="4A7EF693" wp14:editId="418F88D0">
            <wp:simplePos x="0" y="0"/>
            <wp:positionH relativeFrom="margin">
              <wp:align>center</wp:align>
            </wp:positionH>
            <wp:positionV relativeFrom="paragraph">
              <wp:posOffset>66905</wp:posOffset>
            </wp:positionV>
            <wp:extent cx="4759287" cy="3508143"/>
            <wp:effectExtent l="0" t="0" r="3810" b="0"/>
            <wp:wrapTight wrapText="bothSides">
              <wp:wrapPolygon edited="0">
                <wp:start x="0" y="0"/>
                <wp:lineTo x="0" y="21467"/>
                <wp:lineTo x="21531" y="21467"/>
                <wp:lineTo x="21531"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9287" cy="3508143"/>
                    </a:xfrm>
                    <a:prstGeom prst="rect">
                      <a:avLst/>
                    </a:prstGeom>
                    <a:noFill/>
                  </pic:spPr>
                </pic:pic>
              </a:graphicData>
            </a:graphic>
          </wp:anchor>
        </w:drawing>
      </w:r>
    </w:p>
    <w:p w14:paraId="3C828FB2" w14:textId="2BC9C06F" w:rsidR="005E5347" w:rsidRDefault="005E5347" w:rsidP="005E5347">
      <w:pPr>
        <w:tabs>
          <w:tab w:val="left" w:pos="1267"/>
        </w:tabs>
        <w:spacing w:after="0" w:line="240" w:lineRule="auto"/>
        <w:rPr>
          <w:rFonts w:ascii="Century Gothic" w:hAnsi="Century Gothic"/>
          <w:sz w:val="18"/>
          <w:szCs w:val="18"/>
          <w:lang w:val="es-ES"/>
        </w:rPr>
      </w:pPr>
    </w:p>
    <w:p w14:paraId="6A563C23" w14:textId="37489B38" w:rsidR="005E5347" w:rsidRDefault="005E5347" w:rsidP="005E5347">
      <w:pPr>
        <w:tabs>
          <w:tab w:val="left" w:pos="1267"/>
        </w:tabs>
        <w:spacing w:after="0" w:line="240" w:lineRule="auto"/>
        <w:rPr>
          <w:rFonts w:ascii="Century Gothic" w:hAnsi="Century Gothic"/>
          <w:sz w:val="18"/>
          <w:szCs w:val="18"/>
          <w:lang w:val="es-ES"/>
        </w:rPr>
      </w:pPr>
    </w:p>
    <w:p w14:paraId="10060211" w14:textId="3B4D7DBB" w:rsidR="00907363" w:rsidRDefault="00907363">
      <w:pPr>
        <w:rPr>
          <w:rFonts w:ascii="Century Gothic" w:hAnsi="Century Gothic"/>
          <w:sz w:val="18"/>
          <w:szCs w:val="18"/>
          <w:lang w:val="es-ES"/>
        </w:rPr>
      </w:pPr>
      <w:r>
        <w:rPr>
          <w:rFonts w:ascii="Century Gothic" w:hAnsi="Century Gothic"/>
          <w:sz w:val="18"/>
          <w:szCs w:val="18"/>
          <w:lang w:val="es-ES"/>
        </w:rPr>
        <w:br w:type="page"/>
      </w:r>
    </w:p>
    <w:p w14:paraId="6D61C989" w14:textId="77777777" w:rsidR="00907363" w:rsidRDefault="00907363" w:rsidP="005E5347">
      <w:pPr>
        <w:tabs>
          <w:tab w:val="left" w:pos="1267"/>
        </w:tabs>
        <w:spacing w:after="0" w:line="240" w:lineRule="auto"/>
        <w:rPr>
          <w:rFonts w:ascii="Century Gothic" w:hAnsi="Century Gothic"/>
          <w:sz w:val="18"/>
          <w:szCs w:val="18"/>
          <w:lang w:val="es-ES"/>
        </w:rPr>
        <w:sectPr w:rsidR="00907363" w:rsidSect="00907363">
          <w:pgSz w:w="15840" w:h="12240" w:orient="landscape"/>
          <w:pgMar w:top="1440" w:right="1440" w:bottom="1440" w:left="1440" w:header="709" w:footer="709" w:gutter="0"/>
          <w:cols w:space="708"/>
          <w:docGrid w:linePitch="360"/>
        </w:sectPr>
      </w:pPr>
    </w:p>
    <w:p w14:paraId="0DCC62FA" w14:textId="77777777" w:rsidR="00907363" w:rsidRPr="00907363" w:rsidRDefault="00907363" w:rsidP="00907363">
      <w:pPr>
        <w:spacing w:before="166" w:line="360" w:lineRule="auto"/>
        <w:ind w:firstLine="708"/>
        <w:jc w:val="both"/>
        <w:rPr>
          <w:rFonts w:ascii="Century Gothic" w:hAnsi="Century Gothic"/>
          <w:iCs/>
          <w:spacing w:val="-2"/>
          <w:sz w:val="22"/>
          <w:szCs w:val="22"/>
        </w:rPr>
      </w:pPr>
      <w:r w:rsidRPr="00907363">
        <w:rPr>
          <w:rFonts w:ascii="Century Gothic" w:hAnsi="Century Gothic"/>
          <w:iCs/>
          <w:spacing w:val="-2"/>
          <w:sz w:val="22"/>
          <w:szCs w:val="22"/>
        </w:rPr>
        <w:lastRenderedPageBreak/>
        <w:t>El territorio del Municipio de San Antonio la Isla, está integrado por: la Cabecera Municipal, una Delegación San Lucas Tepemajalco, tres colonias Cuauhtémoc, Sánchez Colín, Rancho San Simón, los Conjuntos Habitacionales Ex Rancho San Dimas; Villas del Sauce y la Isla.</w:t>
      </w:r>
    </w:p>
    <w:p w14:paraId="74FDB8C1" w14:textId="77777777" w:rsidR="00907363" w:rsidRPr="00907363" w:rsidRDefault="00907363" w:rsidP="00907363">
      <w:pPr>
        <w:spacing w:before="166" w:line="360" w:lineRule="auto"/>
        <w:ind w:firstLine="708"/>
        <w:jc w:val="both"/>
        <w:rPr>
          <w:rFonts w:ascii="Century Gothic" w:hAnsi="Century Gothic"/>
          <w:iCs/>
          <w:sz w:val="22"/>
          <w:szCs w:val="22"/>
        </w:rPr>
      </w:pPr>
      <w:r w:rsidRPr="00907363">
        <w:rPr>
          <w:rFonts w:ascii="Century Gothic" w:hAnsi="Century Gothic"/>
          <w:iCs/>
          <w:sz w:val="22"/>
          <w:szCs w:val="22"/>
        </w:rPr>
        <w:t xml:space="preserve">El Municipio de San Antonio la Isla, es parte integrante de la división territorial la organización política del Estado de México conformado de un </w:t>
      </w:r>
      <w:r w:rsidRPr="00907363">
        <w:rPr>
          <w:rFonts w:ascii="Century Gothic" w:hAnsi="Century Gothic"/>
          <w:iCs/>
          <w:spacing w:val="-2"/>
          <w:sz w:val="22"/>
          <w:szCs w:val="22"/>
        </w:rPr>
        <w:t>territorio,</w:t>
      </w:r>
      <w:r w:rsidRPr="00907363">
        <w:rPr>
          <w:rFonts w:ascii="Century Gothic" w:hAnsi="Century Gothic"/>
          <w:iCs/>
          <w:spacing w:val="-20"/>
          <w:sz w:val="22"/>
          <w:szCs w:val="22"/>
        </w:rPr>
        <w:t xml:space="preserve"> </w:t>
      </w:r>
      <w:r w:rsidRPr="00907363">
        <w:rPr>
          <w:rFonts w:ascii="Century Gothic" w:hAnsi="Century Gothic"/>
          <w:iCs/>
          <w:spacing w:val="-2"/>
          <w:sz w:val="22"/>
          <w:szCs w:val="22"/>
        </w:rPr>
        <w:t>una</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población</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y</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un</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gobierno;</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investido</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 xml:space="preserve">de </w:t>
      </w:r>
      <w:r w:rsidRPr="00907363">
        <w:rPr>
          <w:rFonts w:ascii="Century Gothic" w:hAnsi="Century Gothic"/>
          <w:iCs/>
          <w:sz w:val="22"/>
          <w:szCs w:val="22"/>
        </w:rPr>
        <w:t>personalidad jurídica y autonomía para la administración de su Hacienda Pública.</w:t>
      </w:r>
    </w:p>
    <w:p w14:paraId="44A5BD33" w14:textId="77777777" w:rsidR="00907363" w:rsidRPr="00907363" w:rsidRDefault="00907363" w:rsidP="00907363">
      <w:pPr>
        <w:pStyle w:val="Textoindependiente"/>
        <w:spacing w:before="166" w:line="360" w:lineRule="auto"/>
        <w:ind w:firstLine="708"/>
        <w:jc w:val="both"/>
        <w:rPr>
          <w:rFonts w:ascii="Century Gothic" w:hAnsi="Century Gothic"/>
          <w:iCs/>
          <w:spacing w:val="-2"/>
          <w:sz w:val="22"/>
          <w:szCs w:val="22"/>
        </w:rPr>
      </w:pPr>
      <w:r w:rsidRPr="00907363">
        <w:rPr>
          <w:rFonts w:ascii="Century Gothic" w:hAnsi="Century Gothic"/>
          <w:iCs/>
          <w:sz w:val="22"/>
          <w:szCs w:val="22"/>
        </w:rPr>
        <w:t>Lleva</w:t>
      </w:r>
      <w:r w:rsidRPr="00907363">
        <w:rPr>
          <w:rFonts w:ascii="Century Gothic" w:hAnsi="Century Gothic"/>
          <w:iCs/>
          <w:spacing w:val="-10"/>
          <w:sz w:val="22"/>
          <w:szCs w:val="22"/>
        </w:rPr>
        <w:t xml:space="preserve"> </w:t>
      </w:r>
      <w:r w:rsidRPr="00907363">
        <w:rPr>
          <w:rFonts w:ascii="Century Gothic" w:hAnsi="Century Gothic"/>
          <w:iCs/>
          <w:sz w:val="22"/>
          <w:szCs w:val="22"/>
        </w:rPr>
        <w:t>el</w:t>
      </w:r>
      <w:r w:rsidRPr="00907363">
        <w:rPr>
          <w:rFonts w:ascii="Century Gothic" w:hAnsi="Century Gothic"/>
          <w:iCs/>
          <w:spacing w:val="-6"/>
          <w:sz w:val="22"/>
          <w:szCs w:val="22"/>
        </w:rPr>
        <w:t xml:space="preserve"> </w:t>
      </w:r>
      <w:r w:rsidRPr="00907363">
        <w:rPr>
          <w:rFonts w:ascii="Century Gothic" w:hAnsi="Century Gothic"/>
          <w:iCs/>
          <w:sz w:val="22"/>
          <w:szCs w:val="22"/>
        </w:rPr>
        <w:t>nombre</w:t>
      </w:r>
      <w:r w:rsidRPr="00907363">
        <w:rPr>
          <w:rFonts w:ascii="Century Gothic" w:hAnsi="Century Gothic"/>
          <w:iCs/>
          <w:spacing w:val="-10"/>
          <w:sz w:val="22"/>
          <w:szCs w:val="22"/>
        </w:rPr>
        <w:t xml:space="preserve"> </w:t>
      </w:r>
      <w:r w:rsidRPr="00907363">
        <w:rPr>
          <w:rFonts w:ascii="Century Gothic" w:hAnsi="Century Gothic"/>
          <w:iCs/>
          <w:sz w:val="22"/>
          <w:szCs w:val="22"/>
        </w:rPr>
        <w:t>oficial</w:t>
      </w:r>
      <w:r w:rsidRPr="00907363">
        <w:rPr>
          <w:rFonts w:ascii="Century Gothic" w:hAnsi="Century Gothic"/>
          <w:iCs/>
          <w:spacing w:val="-6"/>
          <w:sz w:val="22"/>
          <w:szCs w:val="22"/>
        </w:rPr>
        <w:t xml:space="preserve"> </w:t>
      </w:r>
      <w:r w:rsidRPr="00907363">
        <w:rPr>
          <w:rFonts w:ascii="Century Gothic" w:hAnsi="Century Gothic"/>
          <w:iCs/>
          <w:sz w:val="22"/>
          <w:szCs w:val="22"/>
        </w:rPr>
        <w:t>de</w:t>
      </w:r>
      <w:r w:rsidRPr="00907363">
        <w:rPr>
          <w:rFonts w:ascii="Century Gothic" w:hAnsi="Century Gothic"/>
          <w:iCs/>
          <w:spacing w:val="-9"/>
          <w:sz w:val="22"/>
          <w:szCs w:val="22"/>
        </w:rPr>
        <w:t xml:space="preserve"> </w:t>
      </w:r>
      <w:r w:rsidRPr="00907363">
        <w:rPr>
          <w:rFonts w:ascii="Century Gothic" w:hAnsi="Century Gothic"/>
          <w:iCs/>
          <w:sz w:val="22"/>
          <w:szCs w:val="22"/>
        </w:rPr>
        <w:t>San</w:t>
      </w:r>
      <w:r w:rsidRPr="00907363">
        <w:rPr>
          <w:rFonts w:ascii="Century Gothic" w:hAnsi="Century Gothic"/>
          <w:iCs/>
          <w:spacing w:val="-10"/>
          <w:sz w:val="22"/>
          <w:szCs w:val="22"/>
        </w:rPr>
        <w:t xml:space="preserve"> </w:t>
      </w:r>
      <w:r w:rsidRPr="00907363">
        <w:rPr>
          <w:rFonts w:ascii="Century Gothic" w:hAnsi="Century Gothic"/>
          <w:iCs/>
          <w:sz w:val="22"/>
          <w:szCs w:val="22"/>
        </w:rPr>
        <w:t>Antonio</w:t>
      </w:r>
      <w:r w:rsidRPr="00907363">
        <w:rPr>
          <w:rFonts w:ascii="Century Gothic" w:hAnsi="Century Gothic"/>
          <w:iCs/>
          <w:spacing w:val="-11"/>
          <w:sz w:val="22"/>
          <w:szCs w:val="22"/>
        </w:rPr>
        <w:t xml:space="preserve"> </w:t>
      </w:r>
      <w:r w:rsidRPr="00907363">
        <w:rPr>
          <w:rFonts w:ascii="Century Gothic" w:hAnsi="Century Gothic"/>
          <w:iCs/>
          <w:sz w:val="22"/>
          <w:szCs w:val="22"/>
        </w:rPr>
        <w:t>la</w:t>
      </w:r>
      <w:r w:rsidRPr="00907363">
        <w:rPr>
          <w:rFonts w:ascii="Century Gothic" w:hAnsi="Century Gothic"/>
          <w:iCs/>
          <w:spacing w:val="-13"/>
          <w:sz w:val="22"/>
          <w:szCs w:val="22"/>
        </w:rPr>
        <w:t xml:space="preserve"> </w:t>
      </w:r>
      <w:r w:rsidRPr="00907363">
        <w:rPr>
          <w:rFonts w:ascii="Century Gothic" w:hAnsi="Century Gothic"/>
          <w:iCs/>
          <w:sz w:val="22"/>
          <w:szCs w:val="22"/>
        </w:rPr>
        <w:t xml:space="preserve">Isla haciendo alusión al patronímico y a su pasado </w:t>
      </w:r>
      <w:r w:rsidRPr="00907363">
        <w:rPr>
          <w:rFonts w:ascii="Century Gothic" w:hAnsi="Century Gothic"/>
          <w:iCs/>
          <w:spacing w:val="-4"/>
          <w:sz w:val="22"/>
          <w:szCs w:val="22"/>
        </w:rPr>
        <w:t>lacustre.</w:t>
      </w:r>
      <w:r w:rsidRPr="00907363">
        <w:rPr>
          <w:rFonts w:ascii="Century Gothic" w:hAnsi="Century Gothic"/>
          <w:iCs/>
          <w:spacing w:val="-18"/>
          <w:sz w:val="22"/>
          <w:szCs w:val="22"/>
        </w:rPr>
        <w:t xml:space="preserve"> </w:t>
      </w:r>
      <w:r w:rsidRPr="00907363">
        <w:rPr>
          <w:rFonts w:ascii="Century Gothic" w:hAnsi="Century Gothic"/>
          <w:iCs/>
          <w:spacing w:val="-4"/>
          <w:sz w:val="22"/>
          <w:szCs w:val="22"/>
        </w:rPr>
        <w:t>En</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la</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tradición</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oral</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se</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reconoce</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 xml:space="preserve">Techialoyan </w:t>
      </w:r>
      <w:r w:rsidRPr="00907363">
        <w:rPr>
          <w:rFonts w:ascii="Century Gothic" w:hAnsi="Century Gothic"/>
          <w:iCs/>
          <w:sz w:val="22"/>
          <w:szCs w:val="22"/>
        </w:rPr>
        <w:t>como</w:t>
      </w:r>
      <w:r w:rsidRPr="00907363">
        <w:rPr>
          <w:rFonts w:ascii="Century Gothic" w:hAnsi="Century Gothic"/>
          <w:iCs/>
          <w:spacing w:val="-2"/>
          <w:sz w:val="22"/>
          <w:szCs w:val="22"/>
        </w:rPr>
        <w:t xml:space="preserve"> </w:t>
      </w:r>
      <w:r w:rsidRPr="00907363">
        <w:rPr>
          <w:rFonts w:ascii="Century Gothic" w:hAnsi="Century Gothic"/>
          <w:iCs/>
          <w:sz w:val="22"/>
          <w:szCs w:val="22"/>
        </w:rPr>
        <w:t>el topónimo</w:t>
      </w:r>
      <w:r w:rsidRPr="00907363">
        <w:rPr>
          <w:rFonts w:ascii="Century Gothic" w:hAnsi="Century Gothic"/>
          <w:iCs/>
          <w:spacing w:val="-1"/>
          <w:sz w:val="22"/>
          <w:szCs w:val="22"/>
        </w:rPr>
        <w:t xml:space="preserve"> </w:t>
      </w:r>
      <w:r w:rsidRPr="00907363">
        <w:rPr>
          <w:rFonts w:ascii="Century Gothic" w:hAnsi="Century Gothic"/>
          <w:iCs/>
          <w:sz w:val="22"/>
          <w:szCs w:val="22"/>
        </w:rPr>
        <w:t>que</w:t>
      </w:r>
      <w:r w:rsidRPr="00907363">
        <w:rPr>
          <w:rFonts w:ascii="Century Gothic" w:hAnsi="Century Gothic"/>
          <w:iCs/>
          <w:spacing w:val="-1"/>
          <w:sz w:val="22"/>
          <w:szCs w:val="22"/>
        </w:rPr>
        <w:t xml:space="preserve"> </w:t>
      </w:r>
      <w:r w:rsidRPr="00907363">
        <w:rPr>
          <w:rFonts w:ascii="Century Gothic" w:hAnsi="Century Gothic"/>
          <w:iCs/>
          <w:sz w:val="22"/>
          <w:szCs w:val="22"/>
        </w:rPr>
        <w:t>identifica</w:t>
      </w:r>
      <w:r w:rsidRPr="00907363">
        <w:rPr>
          <w:rFonts w:ascii="Century Gothic" w:hAnsi="Century Gothic"/>
          <w:iCs/>
          <w:spacing w:val="-2"/>
          <w:sz w:val="22"/>
          <w:szCs w:val="22"/>
        </w:rPr>
        <w:t xml:space="preserve"> </w:t>
      </w:r>
      <w:r w:rsidRPr="00907363">
        <w:rPr>
          <w:rFonts w:ascii="Century Gothic" w:hAnsi="Century Gothic"/>
          <w:iCs/>
          <w:sz w:val="22"/>
          <w:szCs w:val="22"/>
        </w:rPr>
        <w:t>al municipio;</w:t>
      </w:r>
      <w:r w:rsidRPr="00907363">
        <w:rPr>
          <w:rFonts w:ascii="Century Gothic" w:hAnsi="Century Gothic"/>
          <w:iCs/>
          <w:spacing w:val="-3"/>
          <w:sz w:val="22"/>
          <w:szCs w:val="22"/>
        </w:rPr>
        <w:t xml:space="preserve"> </w:t>
      </w:r>
      <w:r w:rsidRPr="00907363">
        <w:rPr>
          <w:rFonts w:ascii="Century Gothic" w:hAnsi="Century Gothic"/>
          <w:iCs/>
          <w:sz w:val="22"/>
          <w:szCs w:val="22"/>
        </w:rPr>
        <w:t>este mismo</w:t>
      </w:r>
      <w:r w:rsidRPr="00907363">
        <w:rPr>
          <w:rFonts w:ascii="Century Gothic" w:hAnsi="Century Gothic"/>
          <w:iCs/>
          <w:spacing w:val="-1"/>
          <w:sz w:val="22"/>
          <w:szCs w:val="22"/>
        </w:rPr>
        <w:t xml:space="preserve"> </w:t>
      </w:r>
      <w:r w:rsidRPr="00907363">
        <w:rPr>
          <w:rFonts w:ascii="Century Gothic" w:hAnsi="Century Gothic"/>
          <w:iCs/>
          <w:sz w:val="22"/>
          <w:szCs w:val="22"/>
        </w:rPr>
        <w:t>nombre</w:t>
      </w:r>
      <w:r w:rsidRPr="00907363">
        <w:rPr>
          <w:rFonts w:ascii="Century Gothic" w:hAnsi="Century Gothic"/>
          <w:iCs/>
          <w:spacing w:val="-1"/>
          <w:sz w:val="22"/>
          <w:szCs w:val="22"/>
        </w:rPr>
        <w:t xml:space="preserve"> </w:t>
      </w:r>
      <w:r w:rsidRPr="00907363">
        <w:rPr>
          <w:rFonts w:ascii="Century Gothic" w:hAnsi="Century Gothic"/>
          <w:iCs/>
          <w:sz w:val="22"/>
          <w:szCs w:val="22"/>
        </w:rPr>
        <w:t>aparece registrado</w:t>
      </w:r>
      <w:r w:rsidRPr="00907363">
        <w:rPr>
          <w:rFonts w:ascii="Century Gothic" w:hAnsi="Century Gothic"/>
          <w:iCs/>
          <w:spacing w:val="-1"/>
          <w:sz w:val="22"/>
          <w:szCs w:val="22"/>
        </w:rPr>
        <w:t xml:space="preserve"> </w:t>
      </w:r>
      <w:r w:rsidRPr="00907363">
        <w:rPr>
          <w:rFonts w:ascii="Century Gothic" w:hAnsi="Century Gothic"/>
          <w:iCs/>
          <w:sz w:val="22"/>
          <w:szCs w:val="22"/>
        </w:rPr>
        <w:t xml:space="preserve">en el Códice de San Antonio Techialoyan. Techialoyan es una palabra náhuatl </w:t>
      </w:r>
      <w:r w:rsidRPr="00907363">
        <w:rPr>
          <w:rFonts w:ascii="Century Gothic" w:hAnsi="Century Gothic"/>
          <w:iCs/>
          <w:spacing w:val="-6"/>
          <w:sz w:val="22"/>
          <w:szCs w:val="22"/>
        </w:rPr>
        <w:t>compuesta</w:t>
      </w:r>
      <w:r w:rsidRPr="00907363">
        <w:rPr>
          <w:rFonts w:ascii="Century Gothic" w:hAnsi="Century Gothic"/>
          <w:iCs/>
          <w:spacing w:val="-12"/>
          <w:sz w:val="22"/>
          <w:szCs w:val="22"/>
        </w:rPr>
        <w:t xml:space="preserve"> </w:t>
      </w:r>
      <w:r w:rsidRPr="00907363">
        <w:rPr>
          <w:rFonts w:ascii="Century Gothic" w:hAnsi="Century Gothic"/>
          <w:iCs/>
          <w:spacing w:val="-6"/>
          <w:sz w:val="22"/>
          <w:szCs w:val="22"/>
        </w:rPr>
        <w:t>por</w:t>
      </w:r>
      <w:r w:rsidRPr="00907363">
        <w:rPr>
          <w:rFonts w:ascii="Century Gothic" w:hAnsi="Century Gothic"/>
          <w:iCs/>
          <w:spacing w:val="-10"/>
          <w:sz w:val="22"/>
          <w:szCs w:val="22"/>
        </w:rPr>
        <w:t xml:space="preserve"> </w:t>
      </w:r>
      <w:r w:rsidRPr="00907363">
        <w:rPr>
          <w:rFonts w:ascii="Century Gothic" w:hAnsi="Century Gothic"/>
          <w:iCs/>
          <w:spacing w:val="-6"/>
          <w:sz w:val="22"/>
          <w:szCs w:val="22"/>
        </w:rPr>
        <w:t>un</w:t>
      </w:r>
      <w:r w:rsidRPr="00907363">
        <w:rPr>
          <w:rFonts w:ascii="Century Gothic" w:hAnsi="Century Gothic"/>
          <w:iCs/>
          <w:spacing w:val="-10"/>
          <w:sz w:val="22"/>
          <w:szCs w:val="22"/>
        </w:rPr>
        <w:t xml:space="preserve"> </w:t>
      </w:r>
      <w:r w:rsidRPr="00907363">
        <w:rPr>
          <w:rFonts w:ascii="Century Gothic" w:hAnsi="Century Gothic"/>
          <w:iCs/>
          <w:spacing w:val="-6"/>
          <w:sz w:val="22"/>
          <w:szCs w:val="22"/>
        </w:rPr>
        <w:t>prefijo</w:t>
      </w:r>
      <w:r w:rsidRPr="00907363">
        <w:rPr>
          <w:rFonts w:ascii="Century Gothic" w:hAnsi="Century Gothic"/>
          <w:iCs/>
          <w:spacing w:val="-13"/>
          <w:sz w:val="22"/>
          <w:szCs w:val="22"/>
        </w:rPr>
        <w:t xml:space="preserve"> </w:t>
      </w:r>
      <w:r w:rsidRPr="00907363">
        <w:rPr>
          <w:rFonts w:ascii="Century Gothic" w:hAnsi="Century Gothic"/>
          <w:iCs/>
          <w:spacing w:val="-6"/>
          <w:sz w:val="22"/>
          <w:szCs w:val="22"/>
        </w:rPr>
        <w:t>de</w:t>
      </w:r>
      <w:r w:rsidRPr="00907363">
        <w:rPr>
          <w:rFonts w:ascii="Century Gothic" w:hAnsi="Century Gothic"/>
          <w:iCs/>
          <w:spacing w:val="-10"/>
          <w:sz w:val="22"/>
          <w:szCs w:val="22"/>
        </w:rPr>
        <w:t xml:space="preserve"> </w:t>
      </w:r>
      <w:r w:rsidRPr="00907363">
        <w:rPr>
          <w:rFonts w:ascii="Century Gothic" w:hAnsi="Century Gothic"/>
          <w:iCs/>
          <w:spacing w:val="-6"/>
          <w:sz w:val="22"/>
          <w:szCs w:val="22"/>
        </w:rPr>
        <w:t>persona,</w:t>
      </w:r>
      <w:r w:rsidRPr="00907363">
        <w:rPr>
          <w:rFonts w:ascii="Century Gothic" w:hAnsi="Century Gothic"/>
          <w:iCs/>
          <w:spacing w:val="-13"/>
          <w:sz w:val="22"/>
          <w:szCs w:val="22"/>
        </w:rPr>
        <w:t xml:space="preserve"> </w:t>
      </w:r>
      <w:r w:rsidRPr="00907363">
        <w:rPr>
          <w:rFonts w:ascii="Century Gothic" w:hAnsi="Century Gothic"/>
          <w:iCs/>
          <w:spacing w:val="-6"/>
          <w:sz w:val="22"/>
          <w:szCs w:val="22"/>
        </w:rPr>
        <w:t>una</w:t>
      </w:r>
      <w:r w:rsidRPr="00907363">
        <w:rPr>
          <w:rFonts w:ascii="Century Gothic" w:hAnsi="Century Gothic"/>
          <w:iCs/>
          <w:spacing w:val="-8"/>
          <w:sz w:val="22"/>
          <w:szCs w:val="22"/>
        </w:rPr>
        <w:t xml:space="preserve"> </w:t>
      </w:r>
      <w:r w:rsidRPr="00907363">
        <w:rPr>
          <w:rFonts w:ascii="Century Gothic" w:hAnsi="Century Gothic"/>
          <w:iCs/>
          <w:spacing w:val="-6"/>
          <w:sz w:val="22"/>
          <w:szCs w:val="22"/>
        </w:rPr>
        <w:t>raíz</w:t>
      </w:r>
      <w:r w:rsidRPr="00907363">
        <w:rPr>
          <w:rFonts w:ascii="Century Gothic" w:hAnsi="Century Gothic"/>
          <w:iCs/>
          <w:spacing w:val="-12"/>
          <w:sz w:val="22"/>
          <w:szCs w:val="22"/>
        </w:rPr>
        <w:t xml:space="preserve"> </w:t>
      </w:r>
      <w:r w:rsidRPr="00907363">
        <w:rPr>
          <w:rFonts w:ascii="Century Gothic" w:hAnsi="Century Gothic"/>
          <w:iCs/>
          <w:spacing w:val="-6"/>
          <w:sz w:val="22"/>
          <w:szCs w:val="22"/>
        </w:rPr>
        <w:t xml:space="preserve">verbal </w:t>
      </w:r>
      <w:r w:rsidRPr="00907363">
        <w:rPr>
          <w:rFonts w:ascii="Century Gothic" w:hAnsi="Century Gothic"/>
          <w:iCs/>
          <w:sz w:val="22"/>
          <w:szCs w:val="22"/>
        </w:rPr>
        <w:t>y un sufijo locativo. El prefijo Te “refiere a alguien indeterminado”</w:t>
      </w:r>
      <w:r w:rsidRPr="00907363">
        <w:rPr>
          <w:rFonts w:ascii="Century Gothic" w:hAnsi="Century Gothic"/>
          <w:iCs/>
          <w:spacing w:val="-5"/>
          <w:sz w:val="22"/>
          <w:szCs w:val="22"/>
        </w:rPr>
        <w:t xml:space="preserve"> </w:t>
      </w:r>
      <w:r w:rsidRPr="00907363">
        <w:rPr>
          <w:rFonts w:ascii="Century Gothic" w:hAnsi="Century Gothic"/>
          <w:iCs/>
          <w:sz w:val="22"/>
          <w:szCs w:val="22"/>
        </w:rPr>
        <w:t>más</w:t>
      </w:r>
      <w:r w:rsidRPr="00907363">
        <w:rPr>
          <w:rFonts w:ascii="Century Gothic" w:hAnsi="Century Gothic"/>
          <w:iCs/>
          <w:spacing w:val="-6"/>
          <w:sz w:val="22"/>
          <w:szCs w:val="22"/>
        </w:rPr>
        <w:t xml:space="preserve"> </w:t>
      </w:r>
      <w:r w:rsidRPr="00907363">
        <w:rPr>
          <w:rFonts w:ascii="Century Gothic" w:hAnsi="Century Gothic"/>
          <w:iCs/>
          <w:sz w:val="22"/>
          <w:szCs w:val="22"/>
        </w:rPr>
        <w:t>el</w:t>
      </w:r>
      <w:r w:rsidRPr="00907363">
        <w:rPr>
          <w:rFonts w:ascii="Century Gothic" w:hAnsi="Century Gothic"/>
          <w:iCs/>
          <w:spacing w:val="-2"/>
          <w:sz w:val="22"/>
          <w:szCs w:val="22"/>
        </w:rPr>
        <w:t xml:space="preserve"> </w:t>
      </w:r>
      <w:r w:rsidRPr="00907363">
        <w:rPr>
          <w:rFonts w:ascii="Century Gothic" w:hAnsi="Century Gothic"/>
          <w:iCs/>
          <w:sz w:val="22"/>
          <w:szCs w:val="22"/>
        </w:rPr>
        <w:t>verbo</w:t>
      </w:r>
      <w:r w:rsidRPr="00907363">
        <w:rPr>
          <w:rFonts w:ascii="Century Gothic" w:hAnsi="Century Gothic"/>
          <w:iCs/>
          <w:spacing w:val="-4"/>
          <w:sz w:val="22"/>
          <w:szCs w:val="22"/>
        </w:rPr>
        <w:t xml:space="preserve"> </w:t>
      </w:r>
      <w:proofErr w:type="spellStart"/>
      <w:r w:rsidRPr="00907363">
        <w:rPr>
          <w:rFonts w:ascii="Century Gothic" w:hAnsi="Century Gothic"/>
          <w:iCs/>
          <w:sz w:val="22"/>
          <w:szCs w:val="22"/>
        </w:rPr>
        <w:t>chialoa</w:t>
      </w:r>
      <w:proofErr w:type="spellEnd"/>
      <w:r w:rsidRPr="00907363">
        <w:rPr>
          <w:rFonts w:ascii="Century Gothic" w:hAnsi="Century Gothic"/>
          <w:iCs/>
          <w:spacing w:val="-4"/>
          <w:sz w:val="22"/>
          <w:szCs w:val="22"/>
        </w:rPr>
        <w:t xml:space="preserve"> </w:t>
      </w:r>
      <w:r w:rsidRPr="00907363">
        <w:rPr>
          <w:rFonts w:ascii="Century Gothic" w:hAnsi="Century Gothic"/>
          <w:iCs/>
          <w:sz w:val="22"/>
          <w:szCs w:val="22"/>
        </w:rPr>
        <w:t>es</w:t>
      </w:r>
      <w:r w:rsidRPr="00907363">
        <w:rPr>
          <w:rFonts w:ascii="Century Gothic" w:hAnsi="Century Gothic"/>
          <w:iCs/>
          <w:spacing w:val="-6"/>
          <w:sz w:val="22"/>
          <w:szCs w:val="22"/>
        </w:rPr>
        <w:t xml:space="preserve"> </w:t>
      </w:r>
      <w:r w:rsidRPr="00907363">
        <w:rPr>
          <w:rFonts w:ascii="Century Gothic" w:hAnsi="Century Gothic"/>
          <w:iCs/>
          <w:sz w:val="22"/>
          <w:szCs w:val="22"/>
        </w:rPr>
        <w:t xml:space="preserve">“observar, </w:t>
      </w:r>
      <w:r w:rsidRPr="00907363">
        <w:rPr>
          <w:rFonts w:ascii="Century Gothic" w:hAnsi="Century Gothic"/>
          <w:iCs/>
          <w:spacing w:val="-2"/>
          <w:sz w:val="22"/>
          <w:szCs w:val="22"/>
        </w:rPr>
        <w:t>mirar”</w:t>
      </w:r>
      <w:r w:rsidRPr="00907363">
        <w:rPr>
          <w:rFonts w:ascii="Century Gothic" w:hAnsi="Century Gothic"/>
          <w:iCs/>
          <w:spacing w:val="-17"/>
          <w:sz w:val="22"/>
          <w:szCs w:val="22"/>
        </w:rPr>
        <w:t xml:space="preserve"> </w:t>
      </w:r>
      <w:r w:rsidRPr="00907363">
        <w:rPr>
          <w:rFonts w:ascii="Century Gothic" w:hAnsi="Century Gothic"/>
          <w:iCs/>
          <w:spacing w:val="-2"/>
          <w:sz w:val="22"/>
          <w:szCs w:val="22"/>
        </w:rPr>
        <w:t>con</w:t>
      </w:r>
      <w:r w:rsidRPr="00907363">
        <w:rPr>
          <w:rFonts w:ascii="Century Gothic" w:hAnsi="Century Gothic"/>
          <w:iCs/>
          <w:spacing w:val="-18"/>
          <w:sz w:val="22"/>
          <w:szCs w:val="22"/>
        </w:rPr>
        <w:t xml:space="preserve"> </w:t>
      </w:r>
      <w:r w:rsidRPr="00907363">
        <w:rPr>
          <w:rFonts w:ascii="Century Gothic" w:hAnsi="Century Gothic"/>
          <w:iCs/>
          <w:spacing w:val="-2"/>
          <w:sz w:val="22"/>
          <w:szCs w:val="22"/>
        </w:rPr>
        <w:t>el</w:t>
      </w:r>
      <w:r w:rsidRPr="00907363">
        <w:rPr>
          <w:rFonts w:ascii="Century Gothic" w:hAnsi="Century Gothic"/>
          <w:iCs/>
          <w:spacing w:val="-14"/>
          <w:sz w:val="22"/>
          <w:szCs w:val="22"/>
        </w:rPr>
        <w:t xml:space="preserve"> </w:t>
      </w:r>
      <w:r w:rsidRPr="00907363">
        <w:rPr>
          <w:rFonts w:ascii="Century Gothic" w:hAnsi="Century Gothic"/>
          <w:iCs/>
          <w:spacing w:val="-2"/>
          <w:sz w:val="22"/>
          <w:szCs w:val="22"/>
        </w:rPr>
        <w:t>sufijo</w:t>
      </w:r>
      <w:r w:rsidRPr="00907363">
        <w:rPr>
          <w:rFonts w:ascii="Century Gothic" w:hAnsi="Century Gothic"/>
          <w:iCs/>
          <w:spacing w:val="-16"/>
          <w:sz w:val="22"/>
          <w:szCs w:val="22"/>
        </w:rPr>
        <w:t xml:space="preserve"> </w:t>
      </w:r>
      <w:r w:rsidRPr="00907363">
        <w:rPr>
          <w:rFonts w:ascii="Century Gothic" w:hAnsi="Century Gothic"/>
          <w:iCs/>
          <w:spacing w:val="-2"/>
          <w:sz w:val="22"/>
          <w:szCs w:val="22"/>
        </w:rPr>
        <w:t>yan</w:t>
      </w:r>
      <w:r w:rsidRPr="00907363">
        <w:rPr>
          <w:rFonts w:ascii="Century Gothic" w:hAnsi="Century Gothic"/>
          <w:iCs/>
          <w:spacing w:val="-16"/>
          <w:sz w:val="22"/>
          <w:szCs w:val="22"/>
        </w:rPr>
        <w:t xml:space="preserve"> </w:t>
      </w:r>
      <w:r w:rsidRPr="00907363">
        <w:rPr>
          <w:rFonts w:ascii="Century Gothic" w:hAnsi="Century Gothic"/>
          <w:iCs/>
          <w:spacing w:val="-2"/>
          <w:sz w:val="22"/>
          <w:szCs w:val="22"/>
        </w:rPr>
        <w:t>es</w:t>
      </w:r>
      <w:r w:rsidRPr="00907363">
        <w:rPr>
          <w:rFonts w:ascii="Century Gothic" w:hAnsi="Century Gothic"/>
          <w:iCs/>
          <w:spacing w:val="-16"/>
          <w:sz w:val="22"/>
          <w:szCs w:val="22"/>
        </w:rPr>
        <w:t xml:space="preserve"> </w:t>
      </w:r>
      <w:r w:rsidRPr="00907363">
        <w:rPr>
          <w:rFonts w:ascii="Century Gothic" w:hAnsi="Century Gothic"/>
          <w:iCs/>
          <w:spacing w:val="-2"/>
          <w:sz w:val="22"/>
          <w:szCs w:val="22"/>
        </w:rPr>
        <w:t>un</w:t>
      </w:r>
      <w:r w:rsidRPr="00907363">
        <w:rPr>
          <w:rFonts w:ascii="Century Gothic" w:hAnsi="Century Gothic"/>
          <w:iCs/>
          <w:spacing w:val="-18"/>
          <w:sz w:val="22"/>
          <w:szCs w:val="22"/>
        </w:rPr>
        <w:t xml:space="preserve"> </w:t>
      </w:r>
      <w:r w:rsidRPr="00907363">
        <w:rPr>
          <w:rFonts w:ascii="Century Gothic" w:hAnsi="Century Gothic"/>
          <w:iCs/>
          <w:spacing w:val="-2"/>
          <w:sz w:val="22"/>
          <w:szCs w:val="22"/>
        </w:rPr>
        <w:t>locativo</w:t>
      </w:r>
      <w:r w:rsidRPr="00907363">
        <w:rPr>
          <w:rFonts w:ascii="Century Gothic" w:hAnsi="Century Gothic"/>
          <w:iCs/>
          <w:spacing w:val="-17"/>
          <w:sz w:val="22"/>
          <w:szCs w:val="22"/>
        </w:rPr>
        <w:t xml:space="preserve"> </w:t>
      </w:r>
      <w:r w:rsidRPr="00907363">
        <w:rPr>
          <w:rFonts w:ascii="Century Gothic" w:hAnsi="Century Gothic"/>
          <w:iCs/>
          <w:spacing w:val="-2"/>
          <w:sz w:val="22"/>
          <w:szCs w:val="22"/>
        </w:rPr>
        <w:t>que</w:t>
      </w:r>
      <w:r w:rsidRPr="00907363">
        <w:rPr>
          <w:rFonts w:ascii="Century Gothic" w:hAnsi="Century Gothic"/>
          <w:iCs/>
          <w:spacing w:val="-16"/>
          <w:sz w:val="22"/>
          <w:szCs w:val="22"/>
        </w:rPr>
        <w:t xml:space="preserve"> </w:t>
      </w:r>
      <w:r w:rsidRPr="00907363">
        <w:rPr>
          <w:rFonts w:ascii="Century Gothic" w:hAnsi="Century Gothic"/>
          <w:iCs/>
          <w:spacing w:val="-2"/>
          <w:sz w:val="22"/>
          <w:szCs w:val="22"/>
        </w:rPr>
        <w:t>precisa</w:t>
      </w:r>
      <w:r w:rsidRPr="00907363">
        <w:rPr>
          <w:rFonts w:ascii="Century Gothic" w:hAnsi="Century Gothic"/>
          <w:iCs/>
          <w:spacing w:val="-17"/>
          <w:sz w:val="22"/>
          <w:szCs w:val="22"/>
        </w:rPr>
        <w:t xml:space="preserve"> </w:t>
      </w:r>
      <w:r w:rsidRPr="00907363">
        <w:rPr>
          <w:rFonts w:ascii="Century Gothic" w:hAnsi="Century Gothic"/>
          <w:iCs/>
          <w:spacing w:val="-2"/>
          <w:sz w:val="22"/>
          <w:szCs w:val="22"/>
        </w:rPr>
        <w:t xml:space="preserve">el </w:t>
      </w:r>
      <w:r w:rsidRPr="00907363">
        <w:rPr>
          <w:rFonts w:ascii="Century Gothic" w:hAnsi="Century Gothic"/>
          <w:iCs/>
          <w:sz w:val="22"/>
          <w:szCs w:val="22"/>
        </w:rPr>
        <w:t xml:space="preserve">lugar donde </w:t>
      </w:r>
      <w:r w:rsidRPr="00907363">
        <w:rPr>
          <w:rFonts w:ascii="Century Gothic" w:hAnsi="Century Gothic"/>
          <w:iCs/>
          <w:sz w:val="22"/>
          <w:szCs w:val="22"/>
        </w:rPr>
        <w:t>se realiza la acción del verbo. La traducción</w:t>
      </w:r>
      <w:r w:rsidRPr="00907363">
        <w:rPr>
          <w:rFonts w:ascii="Century Gothic" w:hAnsi="Century Gothic"/>
          <w:iCs/>
          <w:spacing w:val="69"/>
          <w:sz w:val="22"/>
          <w:szCs w:val="22"/>
        </w:rPr>
        <w:t xml:space="preserve"> </w:t>
      </w:r>
      <w:r w:rsidRPr="00907363">
        <w:rPr>
          <w:rFonts w:ascii="Century Gothic" w:hAnsi="Century Gothic"/>
          <w:iCs/>
          <w:sz w:val="22"/>
          <w:szCs w:val="22"/>
        </w:rPr>
        <w:t>literal</w:t>
      </w:r>
      <w:r w:rsidRPr="00907363">
        <w:rPr>
          <w:rFonts w:ascii="Century Gothic" w:hAnsi="Century Gothic"/>
          <w:iCs/>
          <w:spacing w:val="71"/>
          <w:sz w:val="22"/>
          <w:szCs w:val="22"/>
        </w:rPr>
        <w:t xml:space="preserve"> </w:t>
      </w:r>
      <w:r w:rsidRPr="00907363">
        <w:rPr>
          <w:rFonts w:ascii="Century Gothic" w:hAnsi="Century Gothic"/>
          <w:iCs/>
          <w:sz w:val="22"/>
          <w:szCs w:val="22"/>
        </w:rPr>
        <w:t>del</w:t>
      </w:r>
      <w:r w:rsidRPr="00907363">
        <w:rPr>
          <w:rFonts w:ascii="Century Gothic" w:hAnsi="Century Gothic"/>
          <w:iCs/>
          <w:spacing w:val="75"/>
          <w:sz w:val="22"/>
          <w:szCs w:val="22"/>
        </w:rPr>
        <w:t xml:space="preserve"> </w:t>
      </w:r>
      <w:r w:rsidRPr="00907363">
        <w:rPr>
          <w:rFonts w:ascii="Century Gothic" w:hAnsi="Century Gothic"/>
          <w:iCs/>
          <w:sz w:val="22"/>
          <w:szCs w:val="22"/>
        </w:rPr>
        <w:t>topónimo</w:t>
      </w:r>
      <w:r w:rsidRPr="00907363">
        <w:rPr>
          <w:rFonts w:ascii="Century Gothic" w:hAnsi="Century Gothic"/>
          <w:iCs/>
          <w:spacing w:val="68"/>
          <w:sz w:val="22"/>
          <w:szCs w:val="22"/>
        </w:rPr>
        <w:t xml:space="preserve"> </w:t>
      </w:r>
      <w:r w:rsidRPr="00907363">
        <w:rPr>
          <w:rFonts w:ascii="Century Gothic" w:hAnsi="Century Gothic"/>
          <w:iCs/>
          <w:sz w:val="22"/>
          <w:szCs w:val="22"/>
        </w:rPr>
        <w:t>“lugar</w:t>
      </w:r>
      <w:r w:rsidRPr="00907363">
        <w:rPr>
          <w:rFonts w:ascii="Century Gothic" w:hAnsi="Century Gothic"/>
          <w:iCs/>
          <w:spacing w:val="70"/>
          <w:sz w:val="22"/>
          <w:szCs w:val="22"/>
        </w:rPr>
        <w:t xml:space="preserve"> </w:t>
      </w:r>
      <w:r w:rsidRPr="00907363">
        <w:rPr>
          <w:rFonts w:ascii="Century Gothic" w:hAnsi="Century Gothic"/>
          <w:iCs/>
          <w:sz w:val="22"/>
          <w:szCs w:val="22"/>
        </w:rPr>
        <w:t>donde</w:t>
      </w:r>
      <w:r w:rsidRPr="00907363">
        <w:rPr>
          <w:rFonts w:ascii="Century Gothic" w:hAnsi="Century Gothic"/>
          <w:iCs/>
          <w:spacing w:val="69"/>
          <w:sz w:val="22"/>
          <w:szCs w:val="22"/>
        </w:rPr>
        <w:t xml:space="preserve"> </w:t>
      </w:r>
      <w:r w:rsidRPr="00907363">
        <w:rPr>
          <w:rFonts w:ascii="Century Gothic" w:hAnsi="Century Gothic"/>
          <w:iCs/>
          <w:spacing w:val="-5"/>
          <w:sz w:val="22"/>
          <w:szCs w:val="22"/>
        </w:rPr>
        <w:t xml:space="preserve">se </w:t>
      </w:r>
      <w:r w:rsidRPr="00907363">
        <w:rPr>
          <w:rFonts w:ascii="Century Gothic" w:hAnsi="Century Gothic"/>
          <w:iCs/>
          <w:sz w:val="22"/>
          <w:szCs w:val="22"/>
        </w:rPr>
        <w:t>realiza</w:t>
      </w:r>
      <w:r w:rsidRPr="00907363">
        <w:rPr>
          <w:rFonts w:ascii="Century Gothic" w:hAnsi="Century Gothic"/>
          <w:iCs/>
          <w:spacing w:val="-19"/>
          <w:sz w:val="22"/>
          <w:szCs w:val="22"/>
        </w:rPr>
        <w:t xml:space="preserve"> </w:t>
      </w:r>
      <w:r w:rsidRPr="00907363">
        <w:rPr>
          <w:rFonts w:ascii="Century Gothic" w:hAnsi="Century Gothic"/>
          <w:iCs/>
          <w:sz w:val="22"/>
          <w:szCs w:val="22"/>
        </w:rPr>
        <w:t>la</w:t>
      </w:r>
      <w:r w:rsidRPr="00907363">
        <w:rPr>
          <w:rFonts w:ascii="Century Gothic" w:hAnsi="Century Gothic"/>
          <w:iCs/>
          <w:spacing w:val="-19"/>
          <w:sz w:val="22"/>
          <w:szCs w:val="22"/>
        </w:rPr>
        <w:t xml:space="preserve"> </w:t>
      </w:r>
      <w:r w:rsidRPr="00907363">
        <w:rPr>
          <w:rFonts w:ascii="Century Gothic" w:hAnsi="Century Gothic"/>
          <w:iCs/>
          <w:sz w:val="22"/>
          <w:szCs w:val="22"/>
        </w:rPr>
        <w:t>acción</w:t>
      </w:r>
      <w:r w:rsidRPr="00907363">
        <w:rPr>
          <w:rFonts w:ascii="Century Gothic" w:hAnsi="Century Gothic"/>
          <w:iCs/>
          <w:spacing w:val="-18"/>
          <w:sz w:val="22"/>
          <w:szCs w:val="22"/>
        </w:rPr>
        <w:t xml:space="preserve"> </w:t>
      </w:r>
      <w:r w:rsidRPr="00907363">
        <w:rPr>
          <w:rFonts w:ascii="Century Gothic" w:hAnsi="Century Gothic"/>
          <w:iCs/>
          <w:sz w:val="22"/>
          <w:szCs w:val="22"/>
        </w:rPr>
        <w:t>de</w:t>
      </w:r>
      <w:r w:rsidRPr="00907363">
        <w:rPr>
          <w:rFonts w:ascii="Century Gothic" w:hAnsi="Century Gothic"/>
          <w:iCs/>
          <w:spacing w:val="-21"/>
          <w:sz w:val="22"/>
          <w:szCs w:val="22"/>
        </w:rPr>
        <w:t xml:space="preserve"> </w:t>
      </w:r>
      <w:r w:rsidRPr="00907363">
        <w:rPr>
          <w:rFonts w:ascii="Century Gothic" w:hAnsi="Century Gothic"/>
          <w:iCs/>
          <w:sz w:val="22"/>
          <w:szCs w:val="22"/>
        </w:rPr>
        <w:t>mirar</w:t>
      </w:r>
      <w:r w:rsidRPr="00907363">
        <w:rPr>
          <w:rFonts w:ascii="Century Gothic" w:hAnsi="Century Gothic"/>
          <w:iCs/>
          <w:spacing w:val="-19"/>
          <w:sz w:val="22"/>
          <w:szCs w:val="22"/>
        </w:rPr>
        <w:t xml:space="preserve"> </w:t>
      </w:r>
      <w:r w:rsidRPr="00907363">
        <w:rPr>
          <w:rFonts w:ascii="Century Gothic" w:hAnsi="Century Gothic"/>
          <w:iCs/>
          <w:sz w:val="22"/>
          <w:szCs w:val="22"/>
        </w:rPr>
        <w:t>a</w:t>
      </w:r>
      <w:r w:rsidRPr="00907363">
        <w:rPr>
          <w:rFonts w:ascii="Century Gothic" w:hAnsi="Century Gothic"/>
          <w:iCs/>
          <w:spacing w:val="-19"/>
          <w:sz w:val="22"/>
          <w:szCs w:val="22"/>
        </w:rPr>
        <w:t xml:space="preserve"> </w:t>
      </w:r>
      <w:r w:rsidRPr="00907363">
        <w:rPr>
          <w:rFonts w:ascii="Century Gothic" w:hAnsi="Century Gothic"/>
          <w:iCs/>
          <w:sz w:val="22"/>
          <w:szCs w:val="22"/>
        </w:rPr>
        <w:t>alguien”</w:t>
      </w:r>
      <w:r w:rsidRPr="00907363">
        <w:rPr>
          <w:rFonts w:ascii="Century Gothic" w:hAnsi="Century Gothic"/>
          <w:iCs/>
          <w:spacing w:val="-19"/>
          <w:sz w:val="22"/>
          <w:szCs w:val="22"/>
        </w:rPr>
        <w:t xml:space="preserve"> </w:t>
      </w:r>
      <w:r w:rsidRPr="00907363">
        <w:rPr>
          <w:rFonts w:ascii="Century Gothic" w:hAnsi="Century Gothic"/>
          <w:iCs/>
          <w:sz w:val="22"/>
          <w:szCs w:val="22"/>
        </w:rPr>
        <w:t>o</w:t>
      </w:r>
      <w:r w:rsidRPr="00907363">
        <w:rPr>
          <w:rFonts w:ascii="Century Gothic" w:hAnsi="Century Gothic"/>
          <w:iCs/>
          <w:spacing w:val="-20"/>
          <w:sz w:val="22"/>
          <w:szCs w:val="22"/>
        </w:rPr>
        <w:t xml:space="preserve"> </w:t>
      </w:r>
      <w:r w:rsidRPr="00907363">
        <w:rPr>
          <w:rFonts w:ascii="Century Gothic" w:hAnsi="Century Gothic"/>
          <w:iCs/>
          <w:sz w:val="22"/>
          <w:szCs w:val="22"/>
        </w:rPr>
        <w:t>“Lugar</w:t>
      </w:r>
      <w:r w:rsidRPr="00907363">
        <w:rPr>
          <w:rFonts w:ascii="Century Gothic" w:hAnsi="Century Gothic"/>
          <w:iCs/>
          <w:spacing w:val="-19"/>
          <w:sz w:val="22"/>
          <w:szCs w:val="22"/>
        </w:rPr>
        <w:t xml:space="preserve"> </w:t>
      </w:r>
      <w:r w:rsidRPr="00907363">
        <w:rPr>
          <w:rFonts w:ascii="Century Gothic" w:hAnsi="Century Gothic"/>
          <w:iCs/>
          <w:sz w:val="22"/>
          <w:szCs w:val="22"/>
        </w:rPr>
        <w:t xml:space="preserve">donde se mira a alguien” </w:t>
      </w:r>
      <w:proofErr w:type="gramStart"/>
      <w:r w:rsidRPr="00907363">
        <w:rPr>
          <w:rFonts w:ascii="Century Gothic" w:hAnsi="Century Gothic"/>
          <w:iCs/>
          <w:sz w:val="22"/>
          <w:szCs w:val="22"/>
        </w:rPr>
        <w:t>en relación a</w:t>
      </w:r>
      <w:proofErr w:type="gramEnd"/>
      <w:r w:rsidRPr="00907363">
        <w:rPr>
          <w:rFonts w:ascii="Century Gothic" w:hAnsi="Century Gothic"/>
          <w:iCs/>
          <w:sz w:val="22"/>
          <w:szCs w:val="22"/>
        </w:rPr>
        <w:t xml:space="preserve"> un “mirador” o </w:t>
      </w:r>
      <w:r w:rsidRPr="00907363">
        <w:rPr>
          <w:rFonts w:ascii="Century Gothic" w:hAnsi="Century Gothic"/>
          <w:iCs/>
          <w:spacing w:val="-2"/>
          <w:sz w:val="22"/>
          <w:szCs w:val="22"/>
        </w:rPr>
        <w:t>“atalaya”.</w:t>
      </w:r>
    </w:p>
    <w:p w14:paraId="25581563" w14:textId="77777777" w:rsidR="00907363" w:rsidRPr="00907363" w:rsidRDefault="00907363" w:rsidP="00907363">
      <w:pPr>
        <w:spacing w:before="166" w:line="360" w:lineRule="auto"/>
        <w:ind w:firstLine="708"/>
        <w:jc w:val="both"/>
        <w:rPr>
          <w:rFonts w:ascii="Century Gothic" w:hAnsi="Century Gothic"/>
          <w:iCs/>
          <w:sz w:val="22"/>
          <w:szCs w:val="22"/>
        </w:rPr>
      </w:pPr>
      <w:r w:rsidRPr="00907363">
        <w:rPr>
          <w:rFonts w:ascii="Century Gothic" w:hAnsi="Century Gothic"/>
          <w:iCs/>
          <w:sz w:val="22"/>
          <w:szCs w:val="22"/>
        </w:rPr>
        <w:t xml:space="preserve">El glifo toponímico actual es un pictograma creado por el artista Arturo Escobedo, está constituido por un basamento piramidal de seis </w:t>
      </w:r>
      <w:r w:rsidRPr="00907363">
        <w:rPr>
          <w:rFonts w:ascii="Century Gothic" w:hAnsi="Century Gothic"/>
          <w:iCs/>
          <w:spacing w:val="-2"/>
          <w:sz w:val="22"/>
          <w:szCs w:val="22"/>
        </w:rPr>
        <w:t>cuerpos</w:t>
      </w:r>
      <w:r w:rsidRPr="00907363">
        <w:rPr>
          <w:rFonts w:ascii="Century Gothic" w:hAnsi="Century Gothic"/>
          <w:iCs/>
          <w:spacing w:val="-17"/>
          <w:sz w:val="22"/>
          <w:szCs w:val="22"/>
        </w:rPr>
        <w:t xml:space="preserve"> </w:t>
      </w:r>
      <w:r w:rsidRPr="00907363">
        <w:rPr>
          <w:rFonts w:ascii="Century Gothic" w:hAnsi="Century Gothic"/>
          <w:iCs/>
          <w:spacing w:val="-2"/>
          <w:sz w:val="22"/>
          <w:szCs w:val="22"/>
        </w:rPr>
        <w:t>rectangulares</w:t>
      </w:r>
      <w:r w:rsidRPr="00907363">
        <w:rPr>
          <w:rFonts w:ascii="Century Gothic" w:hAnsi="Century Gothic"/>
          <w:iCs/>
          <w:spacing w:val="-17"/>
          <w:sz w:val="22"/>
          <w:szCs w:val="22"/>
        </w:rPr>
        <w:t xml:space="preserve"> </w:t>
      </w:r>
      <w:r w:rsidRPr="00907363">
        <w:rPr>
          <w:rFonts w:ascii="Century Gothic" w:hAnsi="Century Gothic"/>
          <w:iCs/>
          <w:spacing w:val="-2"/>
          <w:sz w:val="22"/>
          <w:szCs w:val="22"/>
        </w:rPr>
        <w:t>sobrepuestos,</w:t>
      </w:r>
      <w:r w:rsidRPr="00907363">
        <w:rPr>
          <w:rFonts w:ascii="Century Gothic" w:hAnsi="Century Gothic"/>
          <w:iCs/>
          <w:spacing w:val="-19"/>
          <w:sz w:val="22"/>
          <w:szCs w:val="22"/>
        </w:rPr>
        <w:t xml:space="preserve"> </w:t>
      </w:r>
      <w:r w:rsidRPr="00907363">
        <w:rPr>
          <w:rFonts w:ascii="Century Gothic" w:hAnsi="Century Gothic"/>
          <w:iCs/>
          <w:spacing w:val="-2"/>
          <w:sz w:val="22"/>
          <w:szCs w:val="22"/>
        </w:rPr>
        <w:t>al</w:t>
      </w:r>
      <w:r w:rsidRPr="00907363">
        <w:rPr>
          <w:rFonts w:ascii="Century Gothic" w:hAnsi="Century Gothic"/>
          <w:iCs/>
          <w:spacing w:val="-15"/>
          <w:sz w:val="22"/>
          <w:szCs w:val="22"/>
        </w:rPr>
        <w:t xml:space="preserve"> </w:t>
      </w:r>
      <w:r w:rsidRPr="00907363">
        <w:rPr>
          <w:rFonts w:ascii="Century Gothic" w:hAnsi="Century Gothic"/>
          <w:iCs/>
          <w:spacing w:val="-2"/>
          <w:sz w:val="22"/>
          <w:szCs w:val="22"/>
        </w:rPr>
        <w:t>centro</w:t>
      </w:r>
      <w:r w:rsidRPr="00907363">
        <w:rPr>
          <w:rFonts w:ascii="Century Gothic" w:hAnsi="Century Gothic"/>
          <w:iCs/>
          <w:spacing w:val="-16"/>
          <w:sz w:val="22"/>
          <w:szCs w:val="22"/>
        </w:rPr>
        <w:t xml:space="preserve"> </w:t>
      </w:r>
      <w:r w:rsidRPr="00907363">
        <w:rPr>
          <w:rFonts w:ascii="Century Gothic" w:hAnsi="Century Gothic"/>
          <w:iCs/>
          <w:spacing w:val="-2"/>
          <w:sz w:val="22"/>
          <w:szCs w:val="22"/>
        </w:rPr>
        <w:t xml:space="preserve">tiene </w:t>
      </w:r>
      <w:r w:rsidRPr="00907363">
        <w:rPr>
          <w:rFonts w:ascii="Century Gothic" w:hAnsi="Century Gothic"/>
          <w:iCs/>
          <w:sz w:val="22"/>
          <w:szCs w:val="22"/>
        </w:rPr>
        <w:t>la</w:t>
      </w:r>
      <w:r w:rsidRPr="00907363">
        <w:rPr>
          <w:rFonts w:ascii="Century Gothic" w:hAnsi="Century Gothic"/>
          <w:iCs/>
          <w:spacing w:val="-9"/>
          <w:sz w:val="22"/>
          <w:szCs w:val="22"/>
        </w:rPr>
        <w:t xml:space="preserve"> </w:t>
      </w:r>
      <w:r w:rsidRPr="00907363">
        <w:rPr>
          <w:rFonts w:ascii="Century Gothic" w:hAnsi="Century Gothic"/>
          <w:iCs/>
          <w:sz w:val="22"/>
          <w:szCs w:val="22"/>
        </w:rPr>
        <w:t>representación</w:t>
      </w:r>
      <w:r w:rsidRPr="00907363">
        <w:rPr>
          <w:rFonts w:ascii="Century Gothic" w:hAnsi="Century Gothic"/>
          <w:iCs/>
          <w:spacing w:val="-10"/>
          <w:sz w:val="22"/>
          <w:szCs w:val="22"/>
        </w:rPr>
        <w:t xml:space="preserve"> </w:t>
      </w:r>
      <w:r w:rsidRPr="00907363">
        <w:rPr>
          <w:rFonts w:ascii="Century Gothic" w:hAnsi="Century Gothic"/>
          <w:iCs/>
          <w:sz w:val="22"/>
          <w:szCs w:val="22"/>
        </w:rPr>
        <w:t>de</w:t>
      </w:r>
      <w:r w:rsidRPr="00907363">
        <w:rPr>
          <w:rFonts w:ascii="Century Gothic" w:hAnsi="Century Gothic"/>
          <w:iCs/>
          <w:spacing w:val="-9"/>
          <w:sz w:val="22"/>
          <w:szCs w:val="22"/>
        </w:rPr>
        <w:t xml:space="preserve"> </w:t>
      </w:r>
      <w:r w:rsidRPr="00907363">
        <w:rPr>
          <w:rFonts w:ascii="Century Gothic" w:hAnsi="Century Gothic"/>
          <w:iCs/>
          <w:sz w:val="22"/>
          <w:szCs w:val="22"/>
        </w:rPr>
        <w:t>una</w:t>
      </w:r>
      <w:r w:rsidRPr="00907363">
        <w:rPr>
          <w:rFonts w:ascii="Century Gothic" w:hAnsi="Century Gothic"/>
          <w:iCs/>
          <w:spacing w:val="-10"/>
          <w:sz w:val="22"/>
          <w:szCs w:val="22"/>
        </w:rPr>
        <w:t xml:space="preserve"> </w:t>
      </w:r>
      <w:r w:rsidRPr="00907363">
        <w:rPr>
          <w:rFonts w:ascii="Century Gothic" w:hAnsi="Century Gothic"/>
          <w:iCs/>
          <w:sz w:val="22"/>
          <w:szCs w:val="22"/>
        </w:rPr>
        <w:t>escalinata</w:t>
      </w:r>
      <w:r w:rsidRPr="00907363">
        <w:rPr>
          <w:rFonts w:ascii="Century Gothic" w:hAnsi="Century Gothic"/>
          <w:iCs/>
          <w:spacing w:val="-9"/>
          <w:sz w:val="22"/>
          <w:szCs w:val="22"/>
        </w:rPr>
        <w:t xml:space="preserve"> </w:t>
      </w:r>
      <w:r w:rsidRPr="00907363">
        <w:rPr>
          <w:rFonts w:ascii="Century Gothic" w:hAnsi="Century Gothic"/>
          <w:iCs/>
          <w:sz w:val="22"/>
          <w:szCs w:val="22"/>
        </w:rPr>
        <w:t>y</w:t>
      </w:r>
      <w:r w:rsidRPr="00907363">
        <w:rPr>
          <w:rFonts w:ascii="Century Gothic" w:hAnsi="Century Gothic"/>
          <w:iCs/>
          <w:spacing w:val="-11"/>
          <w:sz w:val="22"/>
          <w:szCs w:val="22"/>
        </w:rPr>
        <w:t xml:space="preserve"> </w:t>
      </w:r>
      <w:r w:rsidRPr="00907363">
        <w:rPr>
          <w:rFonts w:ascii="Century Gothic" w:hAnsi="Century Gothic"/>
          <w:iCs/>
          <w:sz w:val="22"/>
          <w:szCs w:val="22"/>
        </w:rPr>
        <w:t>en</w:t>
      </w:r>
      <w:r w:rsidRPr="00907363">
        <w:rPr>
          <w:rFonts w:ascii="Century Gothic" w:hAnsi="Century Gothic"/>
          <w:iCs/>
          <w:spacing w:val="-12"/>
          <w:sz w:val="22"/>
          <w:szCs w:val="22"/>
        </w:rPr>
        <w:t xml:space="preserve"> </w:t>
      </w:r>
      <w:r w:rsidRPr="00907363">
        <w:rPr>
          <w:rFonts w:ascii="Century Gothic" w:hAnsi="Century Gothic"/>
          <w:iCs/>
          <w:sz w:val="22"/>
          <w:szCs w:val="22"/>
        </w:rPr>
        <w:t>la</w:t>
      </w:r>
      <w:r w:rsidRPr="00907363">
        <w:rPr>
          <w:rFonts w:ascii="Century Gothic" w:hAnsi="Century Gothic"/>
          <w:iCs/>
          <w:spacing w:val="-15"/>
          <w:sz w:val="22"/>
          <w:szCs w:val="22"/>
        </w:rPr>
        <w:t xml:space="preserve"> </w:t>
      </w:r>
      <w:r w:rsidRPr="00907363">
        <w:rPr>
          <w:rFonts w:ascii="Century Gothic" w:hAnsi="Century Gothic"/>
          <w:iCs/>
          <w:sz w:val="22"/>
          <w:szCs w:val="22"/>
        </w:rPr>
        <w:t>cúspide se encuentra una habitación de techo trapezoidal</w:t>
      </w:r>
      <w:r w:rsidRPr="00907363">
        <w:rPr>
          <w:rFonts w:ascii="Century Gothic" w:hAnsi="Century Gothic"/>
          <w:b/>
          <w:iCs/>
          <w:color w:val="6F2F9F"/>
          <w:sz w:val="22"/>
          <w:szCs w:val="22"/>
        </w:rPr>
        <w:t xml:space="preserve">. </w:t>
      </w:r>
      <w:r w:rsidRPr="00907363">
        <w:rPr>
          <w:rFonts w:ascii="Century Gothic" w:hAnsi="Century Gothic"/>
          <w:iCs/>
          <w:sz w:val="22"/>
          <w:szCs w:val="22"/>
        </w:rPr>
        <w:t>En el interior de la edificación aparece un ojo que simula la acción de ver y al pie de la pirámide se concentran</w:t>
      </w:r>
      <w:r w:rsidRPr="00907363">
        <w:rPr>
          <w:rFonts w:ascii="Century Gothic" w:hAnsi="Century Gothic"/>
          <w:iCs/>
          <w:spacing w:val="-11"/>
          <w:sz w:val="22"/>
          <w:szCs w:val="22"/>
        </w:rPr>
        <w:t xml:space="preserve"> </w:t>
      </w:r>
      <w:r w:rsidRPr="00907363">
        <w:rPr>
          <w:rFonts w:ascii="Century Gothic" w:hAnsi="Century Gothic"/>
          <w:iCs/>
          <w:sz w:val="22"/>
          <w:szCs w:val="22"/>
        </w:rPr>
        <w:t>ondas</w:t>
      </w:r>
      <w:r w:rsidRPr="00907363">
        <w:rPr>
          <w:rFonts w:ascii="Century Gothic" w:hAnsi="Century Gothic"/>
          <w:iCs/>
          <w:spacing w:val="-10"/>
          <w:sz w:val="22"/>
          <w:szCs w:val="22"/>
        </w:rPr>
        <w:t xml:space="preserve"> </w:t>
      </w:r>
      <w:r w:rsidRPr="00907363">
        <w:rPr>
          <w:rFonts w:ascii="Century Gothic" w:hAnsi="Century Gothic"/>
          <w:iCs/>
          <w:sz w:val="22"/>
          <w:szCs w:val="22"/>
        </w:rPr>
        <w:t>de</w:t>
      </w:r>
      <w:r w:rsidRPr="00907363">
        <w:rPr>
          <w:rFonts w:ascii="Century Gothic" w:hAnsi="Century Gothic"/>
          <w:iCs/>
          <w:spacing w:val="-11"/>
          <w:sz w:val="22"/>
          <w:szCs w:val="22"/>
        </w:rPr>
        <w:t xml:space="preserve"> </w:t>
      </w:r>
      <w:r w:rsidRPr="00907363">
        <w:rPr>
          <w:rFonts w:ascii="Century Gothic" w:hAnsi="Century Gothic"/>
          <w:iCs/>
          <w:sz w:val="22"/>
          <w:szCs w:val="22"/>
        </w:rPr>
        <w:t>agua</w:t>
      </w:r>
      <w:r w:rsidRPr="00907363">
        <w:rPr>
          <w:rFonts w:ascii="Century Gothic" w:hAnsi="Century Gothic"/>
          <w:iCs/>
          <w:spacing w:val="-12"/>
          <w:sz w:val="22"/>
          <w:szCs w:val="22"/>
        </w:rPr>
        <w:t xml:space="preserve"> </w:t>
      </w:r>
      <w:r w:rsidRPr="00907363">
        <w:rPr>
          <w:rFonts w:ascii="Century Gothic" w:hAnsi="Century Gothic"/>
          <w:iCs/>
          <w:sz w:val="22"/>
          <w:szCs w:val="22"/>
        </w:rPr>
        <w:t>que</w:t>
      </w:r>
      <w:r w:rsidRPr="00907363">
        <w:rPr>
          <w:rFonts w:ascii="Century Gothic" w:hAnsi="Century Gothic"/>
          <w:iCs/>
          <w:spacing w:val="-11"/>
          <w:sz w:val="22"/>
          <w:szCs w:val="22"/>
        </w:rPr>
        <w:t xml:space="preserve"> </w:t>
      </w:r>
      <w:r w:rsidRPr="00907363">
        <w:rPr>
          <w:rFonts w:ascii="Century Gothic" w:hAnsi="Century Gothic"/>
          <w:iCs/>
          <w:sz w:val="22"/>
          <w:szCs w:val="22"/>
        </w:rPr>
        <w:t>rodean</w:t>
      </w:r>
      <w:r w:rsidRPr="00907363">
        <w:rPr>
          <w:rFonts w:ascii="Century Gothic" w:hAnsi="Century Gothic"/>
          <w:iCs/>
          <w:spacing w:val="-15"/>
          <w:sz w:val="22"/>
          <w:szCs w:val="22"/>
        </w:rPr>
        <w:t xml:space="preserve"> </w:t>
      </w:r>
      <w:r w:rsidRPr="00907363">
        <w:rPr>
          <w:rFonts w:ascii="Century Gothic" w:hAnsi="Century Gothic"/>
          <w:iCs/>
          <w:sz w:val="22"/>
          <w:szCs w:val="22"/>
        </w:rPr>
        <w:t>la</w:t>
      </w:r>
      <w:r w:rsidRPr="00907363">
        <w:rPr>
          <w:rFonts w:ascii="Century Gothic" w:hAnsi="Century Gothic"/>
          <w:iCs/>
          <w:spacing w:val="-12"/>
          <w:sz w:val="22"/>
          <w:szCs w:val="22"/>
        </w:rPr>
        <w:t xml:space="preserve"> </w:t>
      </w:r>
      <w:r w:rsidRPr="00907363">
        <w:rPr>
          <w:rFonts w:ascii="Century Gothic" w:hAnsi="Century Gothic"/>
          <w:iCs/>
          <w:sz w:val="22"/>
          <w:szCs w:val="22"/>
        </w:rPr>
        <w:t>superficie del topónimo.</w:t>
      </w:r>
    </w:p>
    <w:p w14:paraId="3F3931DC" w14:textId="0E883E25" w:rsidR="00907363" w:rsidRDefault="00907363" w:rsidP="00907363">
      <w:pPr>
        <w:spacing w:before="166" w:line="360" w:lineRule="auto"/>
        <w:ind w:firstLine="708"/>
        <w:jc w:val="both"/>
        <w:rPr>
          <w:rFonts w:ascii="Century Gothic" w:hAnsi="Century Gothic"/>
          <w:iCs/>
          <w:spacing w:val="-2"/>
          <w:sz w:val="22"/>
          <w:szCs w:val="22"/>
        </w:rPr>
      </w:pPr>
      <w:r w:rsidRPr="00907363">
        <w:rPr>
          <w:rFonts w:ascii="Century Gothic" w:hAnsi="Century Gothic"/>
          <w:iCs/>
          <w:sz w:val="22"/>
          <w:szCs w:val="22"/>
        </w:rPr>
        <w:t xml:space="preserve">El escudo de San Antonio la Isla está </w:t>
      </w:r>
      <w:r w:rsidRPr="00907363">
        <w:rPr>
          <w:rFonts w:ascii="Century Gothic" w:hAnsi="Century Gothic"/>
          <w:iCs/>
          <w:spacing w:val="-4"/>
          <w:sz w:val="22"/>
          <w:szCs w:val="22"/>
        </w:rPr>
        <w:t>representado</w:t>
      </w:r>
      <w:r w:rsidRPr="00907363">
        <w:rPr>
          <w:rFonts w:ascii="Century Gothic" w:hAnsi="Century Gothic"/>
          <w:iCs/>
          <w:spacing w:val="-15"/>
          <w:sz w:val="22"/>
          <w:szCs w:val="22"/>
        </w:rPr>
        <w:t xml:space="preserve"> </w:t>
      </w:r>
      <w:r w:rsidRPr="00907363">
        <w:rPr>
          <w:rFonts w:ascii="Century Gothic" w:hAnsi="Century Gothic"/>
          <w:iCs/>
          <w:spacing w:val="-4"/>
          <w:sz w:val="22"/>
          <w:szCs w:val="22"/>
        </w:rPr>
        <w:t>por</w:t>
      </w:r>
      <w:r w:rsidRPr="00907363">
        <w:rPr>
          <w:rFonts w:ascii="Century Gothic" w:hAnsi="Century Gothic"/>
          <w:iCs/>
          <w:spacing w:val="-14"/>
          <w:sz w:val="22"/>
          <w:szCs w:val="22"/>
        </w:rPr>
        <w:t xml:space="preserve"> </w:t>
      </w:r>
      <w:r w:rsidRPr="00907363">
        <w:rPr>
          <w:rFonts w:ascii="Century Gothic" w:hAnsi="Century Gothic"/>
          <w:iCs/>
          <w:spacing w:val="-4"/>
          <w:sz w:val="22"/>
          <w:szCs w:val="22"/>
        </w:rPr>
        <w:t>formas</w:t>
      </w:r>
      <w:r w:rsidRPr="00907363">
        <w:rPr>
          <w:rFonts w:ascii="Century Gothic" w:hAnsi="Century Gothic"/>
          <w:iCs/>
          <w:spacing w:val="-16"/>
          <w:sz w:val="22"/>
          <w:szCs w:val="22"/>
        </w:rPr>
        <w:t xml:space="preserve"> </w:t>
      </w:r>
      <w:r w:rsidRPr="00907363">
        <w:rPr>
          <w:rFonts w:ascii="Century Gothic" w:hAnsi="Century Gothic"/>
          <w:iCs/>
          <w:spacing w:val="-4"/>
          <w:sz w:val="22"/>
          <w:szCs w:val="22"/>
        </w:rPr>
        <w:t>y</w:t>
      </w:r>
      <w:r w:rsidRPr="00907363">
        <w:rPr>
          <w:rFonts w:ascii="Century Gothic" w:hAnsi="Century Gothic"/>
          <w:iCs/>
          <w:spacing w:val="-15"/>
          <w:sz w:val="22"/>
          <w:szCs w:val="22"/>
        </w:rPr>
        <w:t xml:space="preserve"> </w:t>
      </w:r>
      <w:r w:rsidRPr="00907363">
        <w:rPr>
          <w:rFonts w:ascii="Century Gothic" w:hAnsi="Century Gothic"/>
          <w:iCs/>
          <w:spacing w:val="-4"/>
          <w:sz w:val="22"/>
          <w:szCs w:val="22"/>
        </w:rPr>
        <w:t>elementos</w:t>
      </w:r>
      <w:r w:rsidRPr="00907363">
        <w:rPr>
          <w:rFonts w:ascii="Century Gothic" w:hAnsi="Century Gothic"/>
          <w:iCs/>
          <w:spacing w:val="-13"/>
          <w:sz w:val="22"/>
          <w:szCs w:val="22"/>
        </w:rPr>
        <w:t xml:space="preserve"> </w:t>
      </w:r>
      <w:r w:rsidRPr="00907363">
        <w:rPr>
          <w:rFonts w:ascii="Century Gothic" w:hAnsi="Century Gothic"/>
          <w:iCs/>
          <w:spacing w:val="-4"/>
          <w:sz w:val="22"/>
          <w:szCs w:val="22"/>
        </w:rPr>
        <w:t>del</w:t>
      </w:r>
      <w:r w:rsidRPr="00907363">
        <w:rPr>
          <w:rFonts w:ascii="Century Gothic" w:hAnsi="Century Gothic"/>
          <w:iCs/>
          <w:spacing w:val="-14"/>
          <w:sz w:val="22"/>
          <w:szCs w:val="22"/>
        </w:rPr>
        <w:t xml:space="preserve"> </w:t>
      </w:r>
      <w:r w:rsidRPr="00907363">
        <w:rPr>
          <w:rFonts w:ascii="Century Gothic" w:hAnsi="Century Gothic"/>
          <w:iCs/>
          <w:spacing w:val="-4"/>
          <w:sz w:val="22"/>
          <w:szCs w:val="22"/>
        </w:rPr>
        <w:t>escudo</w:t>
      </w:r>
      <w:r w:rsidRPr="00907363">
        <w:rPr>
          <w:rFonts w:ascii="Century Gothic" w:hAnsi="Century Gothic"/>
          <w:iCs/>
          <w:spacing w:val="-17"/>
          <w:sz w:val="22"/>
          <w:szCs w:val="22"/>
        </w:rPr>
        <w:t xml:space="preserve"> </w:t>
      </w:r>
      <w:r w:rsidRPr="00907363">
        <w:rPr>
          <w:rFonts w:ascii="Century Gothic" w:hAnsi="Century Gothic"/>
          <w:iCs/>
          <w:spacing w:val="-4"/>
          <w:sz w:val="22"/>
          <w:szCs w:val="22"/>
        </w:rPr>
        <w:t xml:space="preserve">del </w:t>
      </w:r>
      <w:r w:rsidRPr="00907363">
        <w:rPr>
          <w:rFonts w:ascii="Century Gothic" w:hAnsi="Century Gothic"/>
          <w:iCs/>
          <w:sz w:val="22"/>
          <w:szCs w:val="22"/>
        </w:rPr>
        <w:t xml:space="preserve">Estado de México, como lo son la base central en </w:t>
      </w:r>
      <w:r w:rsidRPr="00907363">
        <w:rPr>
          <w:rFonts w:ascii="Century Gothic" w:hAnsi="Century Gothic"/>
          <w:iCs/>
          <w:spacing w:val="-6"/>
          <w:sz w:val="22"/>
          <w:szCs w:val="22"/>
        </w:rPr>
        <w:t>color</w:t>
      </w:r>
      <w:r w:rsidRPr="00907363">
        <w:rPr>
          <w:rFonts w:ascii="Century Gothic" w:hAnsi="Century Gothic"/>
          <w:iCs/>
          <w:spacing w:val="-15"/>
          <w:sz w:val="22"/>
          <w:szCs w:val="22"/>
        </w:rPr>
        <w:t xml:space="preserve"> </w:t>
      </w:r>
      <w:r w:rsidRPr="00907363">
        <w:rPr>
          <w:rFonts w:ascii="Century Gothic" w:hAnsi="Century Gothic"/>
          <w:iCs/>
          <w:spacing w:val="-6"/>
          <w:sz w:val="22"/>
          <w:szCs w:val="22"/>
        </w:rPr>
        <w:t>gris</w:t>
      </w:r>
      <w:r w:rsidRPr="00907363">
        <w:rPr>
          <w:rFonts w:ascii="Century Gothic" w:hAnsi="Century Gothic"/>
          <w:iCs/>
          <w:spacing w:val="-14"/>
          <w:sz w:val="22"/>
          <w:szCs w:val="22"/>
        </w:rPr>
        <w:t xml:space="preserve"> </w:t>
      </w:r>
      <w:r w:rsidRPr="00907363">
        <w:rPr>
          <w:rFonts w:ascii="Century Gothic" w:hAnsi="Century Gothic"/>
          <w:iCs/>
          <w:spacing w:val="-6"/>
          <w:sz w:val="22"/>
          <w:szCs w:val="22"/>
        </w:rPr>
        <w:t>y</w:t>
      </w:r>
      <w:r w:rsidRPr="00907363">
        <w:rPr>
          <w:rFonts w:ascii="Century Gothic" w:hAnsi="Century Gothic"/>
          <w:iCs/>
          <w:spacing w:val="-16"/>
          <w:sz w:val="22"/>
          <w:szCs w:val="22"/>
        </w:rPr>
        <w:t xml:space="preserve"> </w:t>
      </w:r>
      <w:r w:rsidRPr="00907363">
        <w:rPr>
          <w:rFonts w:ascii="Century Gothic" w:hAnsi="Century Gothic"/>
          <w:iCs/>
          <w:spacing w:val="-6"/>
          <w:sz w:val="22"/>
          <w:szCs w:val="22"/>
        </w:rPr>
        <w:t>ornamentos</w:t>
      </w:r>
      <w:r w:rsidRPr="00907363">
        <w:rPr>
          <w:rFonts w:ascii="Century Gothic" w:hAnsi="Century Gothic"/>
          <w:iCs/>
          <w:spacing w:val="-13"/>
          <w:sz w:val="22"/>
          <w:szCs w:val="22"/>
        </w:rPr>
        <w:t xml:space="preserve"> </w:t>
      </w:r>
      <w:r w:rsidRPr="00907363">
        <w:rPr>
          <w:rFonts w:ascii="Century Gothic" w:hAnsi="Century Gothic"/>
          <w:iCs/>
          <w:spacing w:val="-6"/>
          <w:sz w:val="22"/>
          <w:szCs w:val="22"/>
        </w:rPr>
        <w:t>superiores,</w:t>
      </w:r>
      <w:r w:rsidRPr="00907363">
        <w:rPr>
          <w:rFonts w:ascii="Century Gothic" w:hAnsi="Century Gothic"/>
          <w:iCs/>
          <w:spacing w:val="-16"/>
          <w:sz w:val="22"/>
          <w:szCs w:val="22"/>
        </w:rPr>
        <w:t xml:space="preserve"> </w:t>
      </w:r>
      <w:r w:rsidRPr="00907363">
        <w:rPr>
          <w:rFonts w:ascii="Century Gothic" w:hAnsi="Century Gothic"/>
          <w:iCs/>
          <w:spacing w:val="-6"/>
          <w:sz w:val="22"/>
          <w:szCs w:val="22"/>
        </w:rPr>
        <w:t>dentro</w:t>
      </w:r>
      <w:r w:rsidRPr="00907363">
        <w:rPr>
          <w:rFonts w:ascii="Century Gothic" w:hAnsi="Century Gothic"/>
          <w:iCs/>
          <w:spacing w:val="-12"/>
          <w:sz w:val="22"/>
          <w:szCs w:val="22"/>
        </w:rPr>
        <w:t xml:space="preserve"> </w:t>
      </w:r>
      <w:r w:rsidRPr="00907363">
        <w:rPr>
          <w:rFonts w:ascii="Century Gothic" w:hAnsi="Century Gothic"/>
          <w:iCs/>
          <w:spacing w:val="-6"/>
          <w:sz w:val="22"/>
          <w:szCs w:val="22"/>
        </w:rPr>
        <w:t>del</w:t>
      </w:r>
      <w:r w:rsidRPr="00907363">
        <w:rPr>
          <w:rFonts w:ascii="Century Gothic" w:hAnsi="Century Gothic"/>
          <w:iCs/>
          <w:spacing w:val="-12"/>
          <w:sz w:val="22"/>
          <w:szCs w:val="22"/>
        </w:rPr>
        <w:t xml:space="preserve"> </w:t>
      </w:r>
      <w:r w:rsidRPr="00907363">
        <w:rPr>
          <w:rFonts w:ascii="Century Gothic" w:hAnsi="Century Gothic"/>
          <w:iCs/>
          <w:spacing w:val="-6"/>
          <w:sz w:val="22"/>
          <w:szCs w:val="22"/>
        </w:rPr>
        <w:t xml:space="preserve">círculo </w:t>
      </w:r>
      <w:r w:rsidRPr="00907363">
        <w:rPr>
          <w:rFonts w:ascii="Century Gothic" w:hAnsi="Century Gothic"/>
          <w:iCs/>
          <w:sz w:val="22"/>
          <w:szCs w:val="22"/>
        </w:rPr>
        <w:t xml:space="preserve">superior se coloca el mapa territorial que </w:t>
      </w:r>
      <w:r w:rsidRPr="00907363">
        <w:rPr>
          <w:rFonts w:ascii="Century Gothic" w:hAnsi="Century Gothic"/>
          <w:iCs/>
          <w:spacing w:val="-4"/>
          <w:sz w:val="22"/>
          <w:szCs w:val="22"/>
        </w:rPr>
        <w:t>comprende</w:t>
      </w:r>
      <w:r w:rsidRPr="00907363">
        <w:rPr>
          <w:rFonts w:ascii="Century Gothic" w:hAnsi="Century Gothic"/>
          <w:iCs/>
          <w:spacing w:val="-13"/>
          <w:sz w:val="22"/>
          <w:szCs w:val="22"/>
        </w:rPr>
        <w:t xml:space="preserve"> </w:t>
      </w:r>
      <w:r w:rsidRPr="00907363">
        <w:rPr>
          <w:rFonts w:ascii="Century Gothic" w:hAnsi="Century Gothic"/>
          <w:iCs/>
          <w:spacing w:val="-4"/>
          <w:sz w:val="22"/>
          <w:szCs w:val="22"/>
        </w:rPr>
        <w:t>la</w:t>
      </w:r>
      <w:r w:rsidRPr="00907363">
        <w:rPr>
          <w:rFonts w:ascii="Century Gothic" w:hAnsi="Century Gothic"/>
          <w:iCs/>
          <w:spacing w:val="-12"/>
          <w:sz w:val="22"/>
          <w:szCs w:val="22"/>
        </w:rPr>
        <w:t xml:space="preserve"> </w:t>
      </w:r>
      <w:r w:rsidRPr="00907363">
        <w:rPr>
          <w:rFonts w:ascii="Century Gothic" w:hAnsi="Century Gothic"/>
          <w:iCs/>
          <w:spacing w:val="-4"/>
          <w:sz w:val="22"/>
          <w:szCs w:val="22"/>
        </w:rPr>
        <w:t>extensión</w:t>
      </w:r>
      <w:r w:rsidRPr="00907363">
        <w:rPr>
          <w:rFonts w:ascii="Century Gothic" w:hAnsi="Century Gothic"/>
          <w:iCs/>
          <w:spacing w:val="-11"/>
          <w:sz w:val="22"/>
          <w:szCs w:val="22"/>
        </w:rPr>
        <w:t xml:space="preserve"> </w:t>
      </w:r>
      <w:r w:rsidRPr="00907363">
        <w:rPr>
          <w:rFonts w:ascii="Century Gothic" w:hAnsi="Century Gothic"/>
          <w:iCs/>
          <w:spacing w:val="-4"/>
          <w:sz w:val="22"/>
          <w:szCs w:val="22"/>
        </w:rPr>
        <w:t>del</w:t>
      </w:r>
      <w:r w:rsidRPr="00907363">
        <w:rPr>
          <w:rFonts w:ascii="Century Gothic" w:hAnsi="Century Gothic"/>
          <w:iCs/>
          <w:spacing w:val="-10"/>
          <w:sz w:val="22"/>
          <w:szCs w:val="22"/>
        </w:rPr>
        <w:t xml:space="preserve"> </w:t>
      </w:r>
      <w:r w:rsidRPr="00907363">
        <w:rPr>
          <w:rFonts w:ascii="Century Gothic" w:hAnsi="Century Gothic"/>
          <w:iCs/>
          <w:spacing w:val="-4"/>
          <w:sz w:val="22"/>
          <w:szCs w:val="22"/>
        </w:rPr>
        <w:t>municipio,</w:t>
      </w:r>
      <w:r w:rsidRPr="00907363">
        <w:rPr>
          <w:rFonts w:ascii="Century Gothic" w:hAnsi="Century Gothic"/>
          <w:iCs/>
          <w:spacing w:val="-13"/>
          <w:sz w:val="22"/>
          <w:szCs w:val="22"/>
        </w:rPr>
        <w:t xml:space="preserve"> </w:t>
      </w:r>
      <w:r w:rsidRPr="00907363">
        <w:rPr>
          <w:rFonts w:ascii="Century Gothic" w:hAnsi="Century Gothic"/>
          <w:iCs/>
          <w:spacing w:val="-4"/>
          <w:sz w:val="22"/>
          <w:szCs w:val="22"/>
        </w:rPr>
        <w:t>así</w:t>
      </w:r>
      <w:r w:rsidRPr="00907363">
        <w:rPr>
          <w:rFonts w:ascii="Century Gothic" w:hAnsi="Century Gothic"/>
          <w:iCs/>
          <w:spacing w:val="-10"/>
          <w:sz w:val="22"/>
          <w:szCs w:val="22"/>
        </w:rPr>
        <w:t xml:space="preserve"> </w:t>
      </w:r>
      <w:r w:rsidRPr="00907363">
        <w:rPr>
          <w:rFonts w:ascii="Century Gothic" w:hAnsi="Century Gothic"/>
          <w:iCs/>
          <w:spacing w:val="-4"/>
          <w:sz w:val="22"/>
          <w:szCs w:val="22"/>
        </w:rPr>
        <w:t>mismo</w:t>
      </w:r>
      <w:r w:rsidRPr="00907363">
        <w:rPr>
          <w:rFonts w:ascii="Century Gothic" w:hAnsi="Century Gothic"/>
          <w:iCs/>
          <w:spacing w:val="-13"/>
          <w:sz w:val="22"/>
          <w:szCs w:val="22"/>
        </w:rPr>
        <w:t xml:space="preserve"> </w:t>
      </w:r>
      <w:r w:rsidRPr="00907363">
        <w:rPr>
          <w:rFonts w:ascii="Century Gothic" w:hAnsi="Century Gothic"/>
          <w:iCs/>
          <w:spacing w:val="-4"/>
          <w:sz w:val="22"/>
          <w:szCs w:val="22"/>
        </w:rPr>
        <w:t xml:space="preserve">en </w:t>
      </w:r>
      <w:r w:rsidRPr="00907363">
        <w:rPr>
          <w:rFonts w:ascii="Century Gothic" w:hAnsi="Century Gothic"/>
          <w:iCs/>
          <w:sz w:val="22"/>
          <w:szCs w:val="22"/>
        </w:rPr>
        <w:t>el</w:t>
      </w:r>
      <w:r w:rsidRPr="00907363">
        <w:rPr>
          <w:rFonts w:ascii="Century Gothic" w:hAnsi="Century Gothic"/>
          <w:iCs/>
          <w:spacing w:val="-20"/>
          <w:sz w:val="22"/>
          <w:szCs w:val="22"/>
        </w:rPr>
        <w:t xml:space="preserve"> </w:t>
      </w:r>
      <w:r w:rsidRPr="00907363">
        <w:rPr>
          <w:rFonts w:ascii="Century Gothic" w:hAnsi="Century Gothic"/>
          <w:iCs/>
          <w:sz w:val="22"/>
          <w:szCs w:val="22"/>
        </w:rPr>
        <w:t>lateral</w:t>
      </w:r>
      <w:r w:rsidRPr="00907363">
        <w:rPr>
          <w:rFonts w:ascii="Century Gothic" w:hAnsi="Century Gothic"/>
          <w:iCs/>
          <w:spacing w:val="-16"/>
          <w:sz w:val="22"/>
          <w:szCs w:val="22"/>
        </w:rPr>
        <w:t xml:space="preserve"> </w:t>
      </w:r>
      <w:r w:rsidRPr="00907363">
        <w:rPr>
          <w:rFonts w:ascii="Century Gothic" w:hAnsi="Century Gothic"/>
          <w:iCs/>
          <w:sz w:val="22"/>
          <w:szCs w:val="22"/>
        </w:rPr>
        <w:t>izquierdo</w:t>
      </w:r>
      <w:r w:rsidRPr="00907363">
        <w:rPr>
          <w:rFonts w:ascii="Century Gothic" w:hAnsi="Century Gothic"/>
          <w:iCs/>
          <w:spacing w:val="-21"/>
          <w:sz w:val="22"/>
          <w:szCs w:val="22"/>
        </w:rPr>
        <w:t xml:space="preserve"> </w:t>
      </w:r>
      <w:r w:rsidRPr="00907363">
        <w:rPr>
          <w:rFonts w:ascii="Century Gothic" w:hAnsi="Century Gothic"/>
          <w:iCs/>
          <w:sz w:val="22"/>
          <w:szCs w:val="22"/>
        </w:rPr>
        <w:t>de</w:t>
      </w:r>
      <w:r w:rsidRPr="00907363">
        <w:rPr>
          <w:rFonts w:ascii="Century Gothic" w:hAnsi="Century Gothic"/>
          <w:iCs/>
          <w:spacing w:val="-21"/>
          <w:sz w:val="22"/>
          <w:szCs w:val="22"/>
        </w:rPr>
        <w:t xml:space="preserve"> </w:t>
      </w:r>
      <w:r w:rsidRPr="00907363">
        <w:rPr>
          <w:rFonts w:ascii="Century Gothic" w:hAnsi="Century Gothic"/>
          <w:iCs/>
          <w:sz w:val="22"/>
          <w:szCs w:val="22"/>
        </w:rPr>
        <w:t>la</w:t>
      </w:r>
      <w:r w:rsidRPr="00907363">
        <w:rPr>
          <w:rFonts w:ascii="Century Gothic" w:hAnsi="Century Gothic"/>
          <w:iCs/>
          <w:spacing w:val="-20"/>
          <w:sz w:val="22"/>
          <w:szCs w:val="22"/>
        </w:rPr>
        <w:t xml:space="preserve"> </w:t>
      </w:r>
      <w:r w:rsidRPr="00907363">
        <w:rPr>
          <w:rFonts w:ascii="Century Gothic" w:hAnsi="Century Gothic"/>
          <w:iCs/>
          <w:sz w:val="22"/>
          <w:szCs w:val="22"/>
        </w:rPr>
        <w:t>base</w:t>
      </w:r>
      <w:r w:rsidRPr="00907363">
        <w:rPr>
          <w:rFonts w:ascii="Century Gothic" w:hAnsi="Century Gothic"/>
          <w:iCs/>
          <w:spacing w:val="-19"/>
          <w:sz w:val="22"/>
          <w:szCs w:val="22"/>
        </w:rPr>
        <w:t xml:space="preserve"> </w:t>
      </w:r>
      <w:r w:rsidRPr="00907363">
        <w:rPr>
          <w:rFonts w:ascii="Century Gothic" w:hAnsi="Century Gothic"/>
          <w:iCs/>
          <w:sz w:val="22"/>
          <w:szCs w:val="22"/>
        </w:rPr>
        <w:t>central</w:t>
      </w:r>
      <w:r w:rsidRPr="00907363">
        <w:rPr>
          <w:rFonts w:ascii="Century Gothic" w:hAnsi="Century Gothic"/>
          <w:iCs/>
          <w:spacing w:val="-18"/>
          <w:sz w:val="22"/>
          <w:szCs w:val="22"/>
        </w:rPr>
        <w:t xml:space="preserve"> </w:t>
      </w:r>
      <w:r w:rsidRPr="00907363">
        <w:rPr>
          <w:rFonts w:ascii="Century Gothic" w:hAnsi="Century Gothic"/>
          <w:iCs/>
          <w:sz w:val="22"/>
          <w:szCs w:val="22"/>
        </w:rPr>
        <w:t>de</w:t>
      </w:r>
      <w:r w:rsidRPr="00907363">
        <w:rPr>
          <w:rFonts w:ascii="Century Gothic" w:hAnsi="Century Gothic"/>
          <w:iCs/>
          <w:spacing w:val="-21"/>
          <w:sz w:val="22"/>
          <w:szCs w:val="22"/>
        </w:rPr>
        <w:t xml:space="preserve"> </w:t>
      </w:r>
      <w:r w:rsidRPr="00907363">
        <w:rPr>
          <w:rFonts w:ascii="Century Gothic" w:hAnsi="Century Gothic"/>
          <w:iCs/>
          <w:sz w:val="22"/>
          <w:szCs w:val="22"/>
        </w:rPr>
        <w:t>la</w:t>
      </w:r>
      <w:r w:rsidRPr="00907363">
        <w:rPr>
          <w:rFonts w:ascii="Century Gothic" w:hAnsi="Century Gothic"/>
          <w:iCs/>
          <w:spacing w:val="-20"/>
          <w:sz w:val="22"/>
          <w:szCs w:val="22"/>
        </w:rPr>
        <w:t xml:space="preserve"> </w:t>
      </w:r>
      <w:r w:rsidRPr="00907363">
        <w:rPr>
          <w:rFonts w:ascii="Century Gothic" w:hAnsi="Century Gothic"/>
          <w:iCs/>
          <w:sz w:val="22"/>
          <w:szCs w:val="22"/>
        </w:rPr>
        <w:t>cinta</w:t>
      </w:r>
      <w:r w:rsidRPr="00907363">
        <w:rPr>
          <w:rFonts w:ascii="Century Gothic" w:hAnsi="Century Gothic"/>
          <w:iCs/>
          <w:spacing w:val="-18"/>
          <w:sz w:val="22"/>
          <w:szCs w:val="22"/>
        </w:rPr>
        <w:t xml:space="preserve"> </w:t>
      </w:r>
      <w:r w:rsidRPr="00907363">
        <w:rPr>
          <w:rFonts w:ascii="Century Gothic" w:hAnsi="Century Gothic"/>
          <w:iCs/>
          <w:spacing w:val="-6"/>
          <w:sz w:val="22"/>
          <w:szCs w:val="22"/>
        </w:rPr>
        <w:t xml:space="preserve">gris </w:t>
      </w:r>
      <w:r w:rsidRPr="00907363">
        <w:rPr>
          <w:rFonts w:ascii="Century Gothic" w:hAnsi="Century Gothic"/>
          <w:iCs/>
          <w:sz w:val="22"/>
          <w:szCs w:val="22"/>
        </w:rPr>
        <w:t>contiene</w:t>
      </w:r>
      <w:r w:rsidRPr="00907363">
        <w:rPr>
          <w:rFonts w:ascii="Century Gothic" w:hAnsi="Century Gothic"/>
          <w:iCs/>
          <w:spacing w:val="-6"/>
          <w:sz w:val="22"/>
          <w:szCs w:val="22"/>
        </w:rPr>
        <w:t xml:space="preserve"> </w:t>
      </w:r>
      <w:r w:rsidRPr="00907363">
        <w:rPr>
          <w:rFonts w:ascii="Century Gothic" w:hAnsi="Century Gothic"/>
          <w:iCs/>
          <w:sz w:val="22"/>
          <w:szCs w:val="22"/>
        </w:rPr>
        <w:t>la</w:t>
      </w:r>
      <w:r w:rsidRPr="00907363">
        <w:rPr>
          <w:rFonts w:ascii="Century Gothic" w:hAnsi="Century Gothic"/>
          <w:iCs/>
          <w:spacing w:val="-10"/>
          <w:sz w:val="22"/>
          <w:szCs w:val="22"/>
        </w:rPr>
        <w:t xml:space="preserve"> </w:t>
      </w:r>
      <w:r w:rsidRPr="00907363">
        <w:rPr>
          <w:rFonts w:ascii="Century Gothic" w:hAnsi="Century Gothic"/>
          <w:iCs/>
          <w:sz w:val="22"/>
          <w:szCs w:val="22"/>
        </w:rPr>
        <w:t>leyenda</w:t>
      </w:r>
      <w:r w:rsidRPr="00907363">
        <w:rPr>
          <w:rFonts w:ascii="Century Gothic" w:hAnsi="Century Gothic"/>
          <w:iCs/>
          <w:spacing w:val="-7"/>
          <w:sz w:val="22"/>
          <w:szCs w:val="22"/>
        </w:rPr>
        <w:t xml:space="preserve"> </w:t>
      </w:r>
      <w:proofErr w:type="spellStart"/>
      <w:r w:rsidRPr="00907363">
        <w:rPr>
          <w:rFonts w:ascii="Century Gothic" w:hAnsi="Century Gothic"/>
          <w:iCs/>
          <w:spacing w:val="-2"/>
          <w:sz w:val="22"/>
          <w:szCs w:val="22"/>
        </w:rPr>
        <w:t>Techialoyan</w:t>
      </w:r>
      <w:proofErr w:type="spellEnd"/>
      <w:r w:rsidRPr="00907363">
        <w:rPr>
          <w:rFonts w:ascii="Century Gothic" w:hAnsi="Century Gothic"/>
          <w:iCs/>
          <w:spacing w:val="-2"/>
          <w:sz w:val="22"/>
          <w:szCs w:val="22"/>
        </w:rPr>
        <w:t>.</w:t>
      </w:r>
    </w:p>
    <w:p w14:paraId="1BC4C6B8" w14:textId="670839F0" w:rsidR="00907363" w:rsidRDefault="00907363" w:rsidP="00907363">
      <w:pPr>
        <w:spacing w:before="166" w:line="360" w:lineRule="auto"/>
        <w:ind w:firstLine="708"/>
        <w:jc w:val="both"/>
        <w:rPr>
          <w:rFonts w:ascii="Century Gothic" w:hAnsi="Century Gothic"/>
          <w:iCs/>
          <w:spacing w:val="-2"/>
          <w:sz w:val="22"/>
          <w:szCs w:val="22"/>
        </w:rPr>
      </w:pPr>
    </w:p>
    <w:p w14:paraId="4BCFFA3D" w14:textId="1F87B719" w:rsidR="00907363" w:rsidRPr="00907363" w:rsidRDefault="00907363" w:rsidP="00907363">
      <w:pPr>
        <w:spacing w:before="102" w:line="360" w:lineRule="auto"/>
        <w:jc w:val="both"/>
        <w:rPr>
          <w:rFonts w:ascii="Century Gothic" w:hAnsi="Century Gothic"/>
          <w:b/>
          <w:color w:val="025850"/>
          <w:sz w:val="22"/>
          <w:szCs w:val="22"/>
        </w:rPr>
      </w:pPr>
      <w:r w:rsidRPr="00907363">
        <w:rPr>
          <w:rFonts w:ascii="Century Gothic" w:hAnsi="Century Gothic"/>
          <w:b/>
          <w:color w:val="025850"/>
          <w:sz w:val="22"/>
          <w:szCs w:val="22"/>
        </w:rPr>
        <w:lastRenderedPageBreak/>
        <w:t>Medio</w:t>
      </w:r>
      <w:r w:rsidRPr="00907363">
        <w:rPr>
          <w:rFonts w:ascii="Century Gothic" w:hAnsi="Century Gothic"/>
          <w:b/>
          <w:color w:val="025850"/>
          <w:spacing w:val="1"/>
          <w:sz w:val="22"/>
          <w:szCs w:val="22"/>
        </w:rPr>
        <w:t xml:space="preserve"> </w:t>
      </w:r>
      <w:r w:rsidRPr="00907363">
        <w:rPr>
          <w:rFonts w:ascii="Century Gothic" w:hAnsi="Century Gothic"/>
          <w:b/>
          <w:color w:val="025850"/>
          <w:spacing w:val="-2"/>
          <w:sz w:val="22"/>
          <w:szCs w:val="22"/>
        </w:rPr>
        <w:t>físico</w:t>
      </w:r>
    </w:p>
    <w:p w14:paraId="04BFC750" w14:textId="77777777" w:rsidR="00907363" w:rsidRPr="00907363" w:rsidRDefault="00907363" w:rsidP="00907363">
      <w:pPr>
        <w:spacing w:line="360" w:lineRule="auto"/>
        <w:ind w:firstLine="708"/>
        <w:jc w:val="both"/>
        <w:rPr>
          <w:rFonts w:ascii="Century Gothic" w:hAnsi="Century Gothic"/>
          <w:sz w:val="22"/>
          <w:szCs w:val="22"/>
        </w:rPr>
      </w:pPr>
      <w:r w:rsidRPr="00907363">
        <w:rPr>
          <w:rFonts w:ascii="Century Gothic" w:hAnsi="Century Gothic"/>
          <w:b/>
          <w:color w:val="025850"/>
          <w:sz w:val="22"/>
          <w:szCs w:val="22"/>
        </w:rPr>
        <w:t xml:space="preserve">El clima </w:t>
      </w:r>
      <w:r w:rsidRPr="00907363">
        <w:rPr>
          <w:rFonts w:ascii="Century Gothic" w:hAnsi="Century Gothic"/>
          <w:sz w:val="22"/>
          <w:szCs w:val="22"/>
        </w:rPr>
        <w:t>predominante</w:t>
      </w:r>
      <w:r w:rsidRPr="00907363">
        <w:rPr>
          <w:rFonts w:ascii="Century Gothic" w:hAnsi="Century Gothic"/>
          <w:spacing w:val="-10"/>
          <w:sz w:val="22"/>
          <w:szCs w:val="22"/>
        </w:rPr>
        <w:t xml:space="preserve"> </w:t>
      </w:r>
      <w:r w:rsidRPr="00907363">
        <w:rPr>
          <w:rFonts w:ascii="Century Gothic" w:hAnsi="Century Gothic"/>
          <w:sz w:val="22"/>
          <w:szCs w:val="22"/>
        </w:rPr>
        <w:t>se</w:t>
      </w:r>
      <w:r w:rsidRPr="00907363">
        <w:rPr>
          <w:rFonts w:ascii="Century Gothic" w:hAnsi="Century Gothic"/>
          <w:spacing w:val="-10"/>
          <w:sz w:val="22"/>
          <w:szCs w:val="22"/>
        </w:rPr>
        <w:t xml:space="preserve"> </w:t>
      </w:r>
      <w:r w:rsidRPr="00907363">
        <w:rPr>
          <w:rFonts w:ascii="Century Gothic" w:hAnsi="Century Gothic"/>
          <w:sz w:val="22"/>
          <w:szCs w:val="22"/>
        </w:rPr>
        <w:t>clasifica</w:t>
      </w:r>
      <w:r w:rsidRPr="00907363">
        <w:rPr>
          <w:rFonts w:ascii="Century Gothic" w:hAnsi="Century Gothic"/>
          <w:spacing w:val="-11"/>
          <w:sz w:val="22"/>
          <w:szCs w:val="22"/>
        </w:rPr>
        <w:t xml:space="preserve"> </w:t>
      </w:r>
      <w:r w:rsidRPr="00907363">
        <w:rPr>
          <w:rFonts w:ascii="Century Gothic" w:hAnsi="Century Gothic"/>
          <w:sz w:val="22"/>
          <w:szCs w:val="22"/>
        </w:rPr>
        <w:t>en</w:t>
      </w:r>
      <w:r w:rsidRPr="00907363">
        <w:rPr>
          <w:rFonts w:ascii="Century Gothic" w:hAnsi="Century Gothic"/>
          <w:spacing w:val="-14"/>
          <w:sz w:val="22"/>
          <w:szCs w:val="22"/>
        </w:rPr>
        <w:t xml:space="preserve"> </w:t>
      </w:r>
      <w:r w:rsidRPr="00907363">
        <w:rPr>
          <w:rFonts w:ascii="Century Gothic" w:hAnsi="Century Gothic"/>
          <w:sz w:val="22"/>
          <w:szCs w:val="22"/>
        </w:rPr>
        <w:t>C</w:t>
      </w:r>
      <w:r w:rsidRPr="00907363">
        <w:rPr>
          <w:rFonts w:ascii="Century Gothic" w:hAnsi="Century Gothic"/>
          <w:spacing w:val="-8"/>
          <w:sz w:val="22"/>
          <w:szCs w:val="22"/>
        </w:rPr>
        <w:t xml:space="preserve"> </w:t>
      </w:r>
      <w:r w:rsidRPr="00907363">
        <w:rPr>
          <w:rFonts w:ascii="Century Gothic" w:hAnsi="Century Gothic"/>
          <w:sz w:val="22"/>
          <w:szCs w:val="22"/>
        </w:rPr>
        <w:t>(w2)(w),</w:t>
      </w:r>
      <w:r w:rsidRPr="00907363">
        <w:rPr>
          <w:rFonts w:ascii="Century Gothic" w:hAnsi="Century Gothic"/>
          <w:spacing w:val="-11"/>
          <w:sz w:val="22"/>
          <w:szCs w:val="22"/>
        </w:rPr>
        <w:t xml:space="preserve"> </w:t>
      </w:r>
      <w:r w:rsidRPr="00907363">
        <w:rPr>
          <w:rFonts w:ascii="Century Gothic" w:hAnsi="Century Gothic"/>
          <w:sz w:val="22"/>
          <w:szCs w:val="22"/>
        </w:rPr>
        <w:t>el cual</w:t>
      </w:r>
      <w:r w:rsidRPr="00907363">
        <w:rPr>
          <w:rFonts w:ascii="Century Gothic" w:hAnsi="Century Gothic"/>
          <w:spacing w:val="-14"/>
          <w:sz w:val="22"/>
          <w:szCs w:val="22"/>
        </w:rPr>
        <w:t xml:space="preserve"> </w:t>
      </w:r>
      <w:r w:rsidRPr="00907363">
        <w:rPr>
          <w:rFonts w:ascii="Century Gothic" w:hAnsi="Century Gothic"/>
          <w:sz w:val="22"/>
          <w:szCs w:val="22"/>
        </w:rPr>
        <w:t>se</w:t>
      </w:r>
      <w:r w:rsidRPr="00907363">
        <w:rPr>
          <w:rFonts w:ascii="Century Gothic" w:hAnsi="Century Gothic"/>
          <w:spacing w:val="-16"/>
          <w:sz w:val="22"/>
          <w:szCs w:val="22"/>
        </w:rPr>
        <w:t xml:space="preserve"> </w:t>
      </w:r>
      <w:r w:rsidRPr="00907363">
        <w:rPr>
          <w:rFonts w:ascii="Century Gothic" w:hAnsi="Century Gothic"/>
          <w:sz w:val="22"/>
          <w:szCs w:val="22"/>
        </w:rPr>
        <w:t>define</w:t>
      </w:r>
      <w:r w:rsidRPr="00907363">
        <w:rPr>
          <w:rFonts w:ascii="Century Gothic" w:hAnsi="Century Gothic"/>
          <w:spacing w:val="-16"/>
          <w:sz w:val="22"/>
          <w:szCs w:val="22"/>
        </w:rPr>
        <w:t xml:space="preserve"> </w:t>
      </w:r>
      <w:r w:rsidRPr="00907363">
        <w:rPr>
          <w:rFonts w:ascii="Century Gothic" w:hAnsi="Century Gothic"/>
          <w:sz w:val="22"/>
          <w:szCs w:val="22"/>
        </w:rPr>
        <w:t>como</w:t>
      </w:r>
      <w:r w:rsidRPr="00907363">
        <w:rPr>
          <w:rFonts w:ascii="Century Gothic" w:hAnsi="Century Gothic"/>
          <w:spacing w:val="-20"/>
          <w:sz w:val="22"/>
          <w:szCs w:val="22"/>
        </w:rPr>
        <w:t xml:space="preserve"> </w:t>
      </w:r>
      <w:r w:rsidRPr="00907363">
        <w:rPr>
          <w:rFonts w:ascii="Century Gothic" w:hAnsi="Century Gothic"/>
          <w:sz w:val="22"/>
          <w:szCs w:val="22"/>
        </w:rPr>
        <w:t>un</w:t>
      </w:r>
      <w:r w:rsidRPr="00907363">
        <w:rPr>
          <w:rFonts w:ascii="Century Gothic" w:hAnsi="Century Gothic"/>
          <w:spacing w:val="-14"/>
          <w:sz w:val="22"/>
          <w:szCs w:val="22"/>
        </w:rPr>
        <w:t xml:space="preserve"> </w:t>
      </w:r>
      <w:r w:rsidRPr="00907363">
        <w:rPr>
          <w:rFonts w:ascii="Century Gothic" w:hAnsi="Century Gothic"/>
          <w:sz w:val="22"/>
          <w:szCs w:val="22"/>
        </w:rPr>
        <w:t>clima</w:t>
      </w:r>
      <w:r w:rsidRPr="00907363">
        <w:rPr>
          <w:rFonts w:ascii="Century Gothic" w:hAnsi="Century Gothic"/>
          <w:spacing w:val="-17"/>
          <w:sz w:val="22"/>
          <w:szCs w:val="22"/>
        </w:rPr>
        <w:t xml:space="preserve"> </w:t>
      </w:r>
      <w:r w:rsidRPr="00907363">
        <w:rPr>
          <w:rFonts w:ascii="Century Gothic" w:hAnsi="Century Gothic"/>
          <w:sz w:val="22"/>
          <w:szCs w:val="22"/>
        </w:rPr>
        <w:t>templado</w:t>
      </w:r>
      <w:r w:rsidRPr="00907363">
        <w:rPr>
          <w:rFonts w:ascii="Century Gothic" w:hAnsi="Century Gothic"/>
          <w:spacing w:val="-18"/>
          <w:sz w:val="22"/>
          <w:szCs w:val="22"/>
        </w:rPr>
        <w:t xml:space="preserve"> </w:t>
      </w:r>
      <w:r w:rsidRPr="00907363">
        <w:rPr>
          <w:rFonts w:ascii="Century Gothic" w:hAnsi="Century Gothic"/>
          <w:sz w:val="22"/>
          <w:szCs w:val="22"/>
        </w:rPr>
        <w:t>subhúmedo con lluvias de verano y porcentaje de lluvias invernales inferiores a cinco;</w:t>
      </w:r>
      <w:r w:rsidRPr="00907363">
        <w:rPr>
          <w:rFonts w:ascii="Century Gothic" w:hAnsi="Century Gothic"/>
          <w:spacing w:val="-22"/>
          <w:sz w:val="22"/>
          <w:szCs w:val="22"/>
        </w:rPr>
        <w:t xml:space="preserve"> </w:t>
      </w:r>
      <w:r w:rsidRPr="00907363">
        <w:rPr>
          <w:rFonts w:ascii="Century Gothic" w:hAnsi="Century Gothic"/>
          <w:sz w:val="22"/>
          <w:szCs w:val="22"/>
        </w:rPr>
        <w:t>la</w:t>
      </w:r>
      <w:r w:rsidRPr="00907363">
        <w:rPr>
          <w:rFonts w:ascii="Century Gothic" w:hAnsi="Century Gothic"/>
          <w:spacing w:val="-21"/>
          <w:sz w:val="22"/>
          <w:szCs w:val="22"/>
        </w:rPr>
        <w:t xml:space="preserve"> </w:t>
      </w:r>
      <w:r w:rsidRPr="00907363">
        <w:rPr>
          <w:rFonts w:ascii="Century Gothic" w:hAnsi="Century Gothic"/>
          <w:sz w:val="22"/>
          <w:szCs w:val="22"/>
        </w:rPr>
        <w:t xml:space="preserve">precipitación total </w:t>
      </w:r>
      <w:r w:rsidRPr="00907363">
        <w:rPr>
          <w:rFonts w:ascii="Century Gothic" w:hAnsi="Century Gothic"/>
          <w:spacing w:val="-6"/>
          <w:sz w:val="22"/>
          <w:szCs w:val="22"/>
        </w:rPr>
        <w:t>anual</w:t>
      </w:r>
      <w:r w:rsidRPr="00907363">
        <w:rPr>
          <w:rFonts w:ascii="Century Gothic" w:hAnsi="Century Gothic"/>
          <w:spacing w:val="-16"/>
          <w:sz w:val="22"/>
          <w:szCs w:val="22"/>
        </w:rPr>
        <w:t xml:space="preserve"> </w:t>
      </w:r>
      <w:r w:rsidRPr="00907363">
        <w:rPr>
          <w:rFonts w:ascii="Century Gothic" w:hAnsi="Century Gothic"/>
          <w:spacing w:val="-6"/>
          <w:sz w:val="22"/>
          <w:szCs w:val="22"/>
        </w:rPr>
        <w:t>supera</w:t>
      </w:r>
      <w:r w:rsidRPr="00907363">
        <w:rPr>
          <w:rFonts w:ascii="Century Gothic" w:hAnsi="Century Gothic"/>
          <w:spacing w:val="-15"/>
          <w:sz w:val="22"/>
          <w:szCs w:val="22"/>
        </w:rPr>
        <w:t xml:space="preserve"> </w:t>
      </w:r>
      <w:r w:rsidRPr="00907363">
        <w:rPr>
          <w:rFonts w:ascii="Century Gothic" w:hAnsi="Century Gothic"/>
          <w:spacing w:val="-6"/>
          <w:sz w:val="22"/>
          <w:szCs w:val="22"/>
        </w:rPr>
        <w:t>ligeramente</w:t>
      </w:r>
      <w:r w:rsidRPr="00907363">
        <w:rPr>
          <w:rFonts w:ascii="Century Gothic" w:hAnsi="Century Gothic"/>
          <w:spacing w:val="-15"/>
          <w:sz w:val="22"/>
          <w:szCs w:val="22"/>
        </w:rPr>
        <w:t xml:space="preserve"> </w:t>
      </w:r>
      <w:r w:rsidRPr="00907363">
        <w:rPr>
          <w:rFonts w:ascii="Century Gothic" w:hAnsi="Century Gothic"/>
          <w:spacing w:val="-6"/>
          <w:sz w:val="22"/>
          <w:szCs w:val="22"/>
        </w:rPr>
        <w:t>los</w:t>
      </w:r>
      <w:r w:rsidRPr="00907363">
        <w:rPr>
          <w:rFonts w:ascii="Century Gothic" w:hAnsi="Century Gothic"/>
          <w:spacing w:val="-15"/>
          <w:sz w:val="22"/>
          <w:szCs w:val="22"/>
        </w:rPr>
        <w:t xml:space="preserve"> </w:t>
      </w:r>
      <w:r w:rsidRPr="00907363">
        <w:rPr>
          <w:rFonts w:ascii="Century Gothic" w:hAnsi="Century Gothic"/>
          <w:spacing w:val="-6"/>
          <w:sz w:val="22"/>
          <w:szCs w:val="22"/>
        </w:rPr>
        <w:t>800</w:t>
      </w:r>
      <w:r w:rsidRPr="00907363">
        <w:rPr>
          <w:rFonts w:ascii="Century Gothic" w:hAnsi="Century Gothic"/>
          <w:spacing w:val="-15"/>
          <w:sz w:val="22"/>
          <w:szCs w:val="22"/>
        </w:rPr>
        <w:t xml:space="preserve"> </w:t>
      </w:r>
      <w:r w:rsidRPr="00907363">
        <w:rPr>
          <w:rFonts w:ascii="Century Gothic" w:hAnsi="Century Gothic"/>
          <w:spacing w:val="-6"/>
          <w:sz w:val="22"/>
          <w:szCs w:val="22"/>
        </w:rPr>
        <w:t>milímetros</w:t>
      </w:r>
      <w:r w:rsidRPr="00907363">
        <w:rPr>
          <w:rFonts w:ascii="Century Gothic" w:hAnsi="Century Gothic"/>
          <w:spacing w:val="-15"/>
          <w:sz w:val="22"/>
          <w:szCs w:val="22"/>
        </w:rPr>
        <w:t xml:space="preserve"> </w:t>
      </w:r>
      <w:r w:rsidRPr="00907363">
        <w:rPr>
          <w:rFonts w:ascii="Century Gothic" w:hAnsi="Century Gothic"/>
          <w:spacing w:val="-6"/>
          <w:sz w:val="22"/>
          <w:szCs w:val="22"/>
        </w:rPr>
        <w:t>de</w:t>
      </w:r>
      <w:r w:rsidRPr="00907363">
        <w:rPr>
          <w:rFonts w:ascii="Century Gothic" w:hAnsi="Century Gothic"/>
          <w:spacing w:val="-15"/>
          <w:sz w:val="22"/>
          <w:szCs w:val="22"/>
        </w:rPr>
        <w:t xml:space="preserve"> </w:t>
      </w:r>
      <w:r w:rsidRPr="00907363">
        <w:rPr>
          <w:rFonts w:ascii="Century Gothic" w:hAnsi="Century Gothic"/>
          <w:spacing w:val="-6"/>
          <w:sz w:val="22"/>
          <w:szCs w:val="22"/>
        </w:rPr>
        <w:t xml:space="preserve">lluvia </w:t>
      </w:r>
      <w:r w:rsidRPr="00907363">
        <w:rPr>
          <w:rFonts w:ascii="Century Gothic" w:hAnsi="Century Gothic"/>
          <w:sz w:val="22"/>
          <w:szCs w:val="22"/>
        </w:rPr>
        <w:t>y</w:t>
      </w:r>
      <w:r w:rsidRPr="00907363">
        <w:rPr>
          <w:rFonts w:ascii="Century Gothic" w:hAnsi="Century Gothic"/>
          <w:spacing w:val="-7"/>
          <w:sz w:val="22"/>
          <w:szCs w:val="22"/>
        </w:rPr>
        <w:t xml:space="preserve"> </w:t>
      </w:r>
      <w:r w:rsidRPr="00907363">
        <w:rPr>
          <w:rFonts w:ascii="Century Gothic" w:hAnsi="Century Gothic"/>
          <w:sz w:val="22"/>
          <w:szCs w:val="22"/>
        </w:rPr>
        <w:t>la</w:t>
      </w:r>
      <w:r w:rsidRPr="00907363">
        <w:rPr>
          <w:rFonts w:ascii="Century Gothic" w:hAnsi="Century Gothic"/>
          <w:spacing w:val="-6"/>
          <w:sz w:val="22"/>
          <w:szCs w:val="22"/>
        </w:rPr>
        <w:t xml:space="preserve"> </w:t>
      </w:r>
      <w:r w:rsidRPr="00907363">
        <w:rPr>
          <w:rFonts w:ascii="Century Gothic" w:hAnsi="Century Gothic"/>
          <w:sz w:val="22"/>
          <w:szCs w:val="22"/>
        </w:rPr>
        <w:t>temperatura</w:t>
      </w:r>
      <w:r w:rsidRPr="00907363">
        <w:rPr>
          <w:rFonts w:ascii="Century Gothic" w:hAnsi="Century Gothic"/>
          <w:spacing w:val="-6"/>
          <w:sz w:val="22"/>
          <w:szCs w:val="22"/>
        </w:rPr>
        <w:t xml:space="preserve"> </w:t>
      </w:r>
      <w:r w:rsidRPr="00907363">
        <w:rPr>
          <w:rFonts w:ascii="Century Gothic" w:hAnsi="Century Gothic"/>
          <w:sz w:val="22"/>
          <w:szCs w:val="22"/>
        </w:rPr>
        <w:t>media</w:t>
      </w:r>
      <w:r w:rsidRPr="00907363">
        <w:rPr>
          <w:rFonts w:ascii="Century Gothic" w:hAnsi="Century Gothic"/>
          <w:spacing w:val="-6"/>
          <w:sz w:val="22"/>
          <w:szCs w:val="22"/>
        </w:rPr>
        <w:t xml:space="preserve"> </w:t>
      </w:r>
      <w:r w:rsidRPr="00907363">
        <w:rPr>
          <w:rFonts w:ascii="Century Gothic" w:hAnsi="Century Gothic"/>
          <w:sz w:val="22"/>
          <w:szCs w:val="22"/>
        </w:rPr>
        <w:t>anual</w:t>
      </w:r>
      <w:r w:rsidRPr="00907363">
        <w:rPr>
          <w:rFonts w:ascii="Century Gothic" w:hAnsi="Century Gothic"/>
          <w:spacing w:val="-1"/>
          <w:sz w:val="22"/>
          <w:szCs w:val="22"/>
        </w:rPr>
        <w:t xml:space="preserve"> </w:t>
      </w:r>
      <w:r w:rsidRPr="00907363">
        <w:rPr>
          <w:rFonts w:ascii="Century Gothic" w:hAnsi="Century Gothic"/>
          <w:sz w:val="22"/>
          <w:szCs w:val="22"/>
        </w:rPr>
        <w:t>se</w:t>
      </w:r>
      <w:r w:rsidRPr="00907363">
        <w:rPr>
          <w:rFonts w:ascii="Century Gothic" w:hAnsi="Century Gothic"/>
          <w:spacing w:val="-5"/>
          <w:sz w:val="22"/>
          <w:szCs w:val="22"/>
        </w:rPr>
        <w:t xml:space="preserve"> </w:t>
      </w:r>
      <w:r w:rsidRPr="00907363">
        <w:rPr>
          <w:rFonts w:ascii="Century Gothic" w:hAnsi="Century Gothic"/>
          <w:sz w:val="22"/>
          <w:szCs w:val="22"/>
        </w:rPr>
        <w:t>encuentra</w:t>
      </w:r>
      <w:r w:rsidRPr="00907363">
        <w:rPr>
          <w:rFonts w:ascii="Century Gothic" w:hAnsi="Century Gothic"/>
          <w:spacing w:val="-6"/>
          <w:sz w:val="22"/>
          <w:szCs w:val="22"/>
        </w:rPr>
        <w:t xml:space="preserve"> </w:t>
      </w:r>
      <w:r w:rsidRPr="00907363">
        <w:rPr>
          <w:rFonts w:ascii="Century Gothic" w:hAnsi="Century Gothic"/>
          <w:sz w:val="22"/>
          <w:szCs w:val="22"/>
        </w:rPr>
        <w:t>con</w:t>
      </w:r>
      <w:r w:rsidRPr="00907363">
        <w:rPr>
          <w:rFonts w:ascii="Century Gothic" w:hAnsi="Century Gothic"/>
          <w:spacing w:val="-5"/>
          <w:sz w:val="22"/>
          <w:szCs w:val="22"/>
        </w:rPr>
        <w:t xml:space="preserve"> </w:t>
      </w:r>
      <w:r w:rsidRPr="00907363">
        <w:rPr>
          <w:rFonts w:ascii="Century Gothic" w:hAnsi="Century Gothic"/>
          <w:sz w:val="22"/>
          <w:szCs w:val="22"/>
        </w:rPr>
        <w:t>un rango de</w:t>
      </w:r>
      <w:r w:rsidRPr="00907363">
        <w:rPr>
          <w:rFonts w:ascii="Century Gothic" w:hAnsi="Century Gothic"/>
          <w:spacing w:val="40"/>
          <w:sz w:val="22"/>
          <w:szCs w:val="22"/>
        </w:rPr>
        <w:t xml:space="preserve"> </w:t>
      </w:r>
      <w:r w:rsidRPr="00907363">
        <w:rPr>
          <w:rFonts w:ascii="Century Gothic" w:hAnsi="Century Gothic"/>
          <w:sz w:val="22"/>
          <w:szCs w:val="22"/>
        </w:rPr>
        <w:t>12 y 16 grados Celsius; la máxima incidencia</w:t>
      </w:r>
      <w:r w:rsidRPr="00907363">
        <w:rPr>
          <w:rFonts w:ascii="Century Gothic" w:hAnsi="Century Gothic"/>
          <w:spacing w:val="-15"/>
          <w:sz w:val="22"/>
          <w:szCs w:val="22"/>
        </w:rPr>
        <w:t xml:space="preserve"> </w:t>
      </w:r>
      <w:r w:rsidRPr="00907363">
        <w:rPr>
          <w:rFonts w:ascii="Century Gothic" w:hAnsi="Century Gothic"/>
          <w:sz w:val="22"/>
          <w:szCs w:val="22"/>
        </w:rPr>
        <w:t>de</w:t>
      </w:r>
      <w:r w:rsidRPr="00907363">
        <w:rPr>
          <w:rFonts w:ascii="Century Gothic" w:hAnsi="Century Gothic"/>
          <w:spacing w:val="-17"/>
          <w:sz w:val="22"/>
          <w:szCs w:val="22"/>
        </w:rPr>
        <w:t xml:space="preserve"> </w:t>
      </w:r>
      <w:r w:rsidRPr="00907363">
        <w:rPr>
          <w:rFonts w:ascii="Century Gothic" w:hAnsi="Century Gothic"/>
          <w:sz w:val="22"/>
          <w:szCs w:val="22"/>
        </w:rPr>
        <w:t>lluvias</w:t>
      </w:r>
      <w:r w:rsidRPr="00907363">
        <w:rPr>
          <w:rFonts w:ascii="Century Gothic" w:hAnsi="Century Gothic"/>
          <w:spacing w:val="-16"/>
          <w:sz w:val="22"/>
          <w:szCs w:val="22"/>
        </w:rPr>
        <w:t xml:space="preserve"> </w:t>
      </w:r>
      <w:r w:rsidRPr="00907363">
        <w:rPr>
          <w:rFonts w:ascii="Century Gothic" w:hAnsi="Century Gothic"/>
          <w:sz w:val="22"/>
          <w:szCs w:val="22"/>
        </w:rPr>
        <w:t>se</w:t>
      </w:r>
      <w:r w:rsidRPr="00907363">
        <w:rPr>
          <w:rFonts w:ascii="Century Gothic" w:hAnsi="Century Gothic"/>
          <w:spacing w:val="-15"/>
          <w:sz w:val="22"/>
          <w:szCs w:val="22"/>
        </w:rPr>
        <w:t xml:space="preserve"> </w:t>
      </w:r>
      <w:r w:rsidRPr="00907363">
        <w:rPr>
          <w:rFonts w:ascii="Century Gothic" w:hAnsi="Century Gothic"/>
          <w:sz w:val="22"/>
          <w:szCs w:val="22"/>
        </w:rPr>
        <w:t>presenta</w:t>
      </w:r>
      <w:r w:rsidRPr="00907363">
        <w:rPr>
          <w:rFonts w:ascii="Century Gothic" w:hAnsi="Century Gothic"/>
          <w:spacing w:val="-15"/>
          <w:sz w:val="22"/>
          <w:szCs w:val="22"/>
        </w:rPr>
        <w:t xml:space="preserve"> </w:t>
      </w:r>
      <w:r w:rsidRPr="00907363">
        <w:rPr>
          <w:rFonts w:ascii="Century Gothic" w:hAnsi="Century Gothic"/>
          <w:sz w:val="22"/>
          <w:szCs w:val="22"/>
        </w:rPr>
        <w:t>en</w:t>
      </w:r>
      <w:r w:rsidRPr="00907363">
        <w:rPr>
          <w:rFonts w:ascii="Century Gothic" w:hAnsi="Century Gothic"/>
          <w:spacing w:val="-15"/>
          <w:sz w:val="22"/>
          <w:szCs w:val="22"/>
        </w:rPr>
        <w:t xml:space="preserve"> </w:t>
      </w:r>
      <w:r w:rsidRPr="00907363">
        <w:rPr>
          <w:rFonts w:ascii="Century Gothic" w:hAnsi="Century Gothic"/>
          <w:sz w:val="22"/>
          <w:szCs w:val="22"/>
        </w:rPr>
        <w:t>el</w:t>
      </w:r>
      <w:r w:rsidRPr="00907363">
        <w:rPr>
          <w:rFonts w:ascii="Century Gothic" w:hAnsi="Century Gothic"/>
          <w:spacing w:val="-13"/>
          <w:sz w:val="22"/>
          <w:szCs w:val="22"/>
        </w:rPr>
        <w:t xml:space="preserve"> </w:t>
      </w:r>
      <w:r w:rsidRPr="00907363">
        <w:rPr>
          <w:rFonts w:ascii="Century Gothic" w:hAnsi="Century Gothic"/>
          <w:sz w:val="22"/>
          <w:szCs w:val="22"/>
        </w:rPr>
        <w:t>mes</w:t>
      </w:r>
      <w:r w:rsidRPr="00907363">
        <w:rPr>
          <w:rFonts w:ascii="Century Gothic" w:hAnsi="Century Gothic"/>
          <w:spacing w:val="-15"/>
          <w:sz w:val="22"/>
          <w:szCs w:val="22"/>
        </w:rPr>
        <w:t xml:space="preserve"> </w:t>
      </w:r>
      <w:r w:rsidRPr="00907363">
        <w:rPr>
          <w:rFonts w:ascii="Century Gothic" w:hAnsi="Century Gothic"/>
          <w:sz w:val="22"/>
          <w:szCs w:val="22"/>
        </w:rPr>
        <w:t>de</w:t>
      </w:r>
      <w:r w:rsidRPr="00907363">
        <w:rPr>
          <w:rFonts w:ascii="Century Gothic" w:hAnsi="Century Gothic"/>
          <w:spacing w:val="-15"/>
          <w:sz w:val="22"/>
          <w:szCs w:val="22"/>
        </w:rPr>
        <w:t xml:space="preserve"> </w:t>
      </w:r>
      <w:r w:rsidRPr="00907363">
        <w:rPr>
          <w:rFonts w:ascii="Century Gothic" w:hAnsi="Century Gothic"/>
          <w:sz w:val="22"/>
          <w:szCs w:val="22"/>
        </w:rPr>
        <w:t xml:space="preserve">julio, </w:t>
      </w:r>
      <w:r w:rsidRPr="00907363">
        <w:rPr>
          <w:rFonts w:ascii="Century Gothic" w:hAnsi="Century Gothic"/>
          <w:w w:val="90"/>
          <w:sz w:val="22"/>
          <w:szCs w:val="22"/>
        </w:rPr>
        <w:t xml:space="preserve">con valores que oscilan entre los 150 y 160 milímetros; </w:t>
      </w:r>
      <w:r w:rsidRPr="00907363">
        <w:rPr>
          <w:rFonts w:ascii="Century Gothic" w:hAnsi="Century Gothic"/>
          <w:sz w:val="22"/>
          <w:szCs w:val="22"/>
        </w:rPr>
        <w:t xml:space="preserve">el mes más cálido es mayo con una temperatura </w:t>
      </w:r>
      <w:r w:rsidRPr="00907363">
        <w:rPr>
          <w:rFonts w:ascii="Century Gothic" w:hAnsi="Century Gothic"/>
          <w:spacing w:val="-2"/>
          <w:sz w:val="22"/>
          <w:szCs w:val="22"/>
        </w:rPr>
        <w:t>entre</w:t>
      </w:r>
      <w:r w:rsidRPr="00907363">
        <w:rPr>
          <w:rFonts w:ascii="Century Gothic" w:hAnsi="Century Gothic"/>
          <w:spacing w:val="-15"/>
          <w:sz w:val="22"/>
          <w:szCs w:val="22"/>
        </w:rPr>
        <w:t xml:space="preserve"> </w:t>
      </w:r>
      <w:r w:rsidRPr="00907363">
        <w:rPr>
          <w:rFonts w:ascii="Century Gothic" w:hAnsi="Century Gothic"/>
          <w:spacing w:val="-2"/>
          <w:sz w:val="22"/>
          <w:szCs w:val="22"/>
        </w:rPr>
        <w:t>14°C</w:t>
      </w:r>
      <w:r w:rsidRPr="00907363">
        <w:rPr>
          <w:rFonts w:ascii="Century Gothic" w:hAnsi="Century Gothic"/>
          <w:spacing w:val="-16"/>
          <w:sz w:val="22"/>
          <w:szCs w:val="22"/>
        </w:rPr>
        <w:t xml:space="preserve"> </w:t>
      </w:r>
      <w:r w:rsidRPr="00907363">
        <w:rPr>
          <w:rFonts w:ascii="Century Gothic" w:hAnsi="Century Gothic"/>
          <w:spacing w:val="-2"/>
          <w:sz w:val="22"/>
          <w:szCs w:val="22"/>
        </w:rPr>
        <w:t>y</w:t>
      </w:r>
      <w:r w:rsidRPr="00907363">
        <w:rPr>
          <w:rFonts w:ascii="Century Gothic" w:hAnsi="Century Gothic"/>
          <w:spacing w:val="-16"/>
          <w:sz w:val="22"/>
          <w:szCs w:val="22"/>
        </w:rPr>
        <w:t xml:space="preserve"> </w:t>
      </w:r>
      <w:r w:rsidRPr="00907363">
        <w:rPr>
          <w:rFonts w:ascii="Century Gothic" w:hAnsi="Century Gothic"/>
          <w:spacing w:val="-2"/>
          <w:sz w:val="22"/>
          <w:szCs w:val="22"/>
        </w:rPr>
        <w:t>15°C;</w:t>
      </w:r>
      <w:r w:rsidRPr="00907363">
        <w:rPr>
          <w:rFonts w:ascii="Century Gothic" w:hAnsi="Century Gothic"/>
          <w:spacing w:val="-17"/>
          <w:sz w:val="22"/>
          <w:szCs w:val="22"/>
        </w:rPr>
        <w:t xml:space="preserve"> </w:t>
      </w:r>
      <w:r w:rsidRPr="00907363">
        <w:rPr>
          <w:rFonts w:ascii="Century Gothic" w:hAnsi="Century Gothic"/>
          <w:spacing w:val="-2"/>
          <w:sz w:val="22"/>
          <w:szCs w:val="22"/>
        </w:rPr>
        <w:t>debido</w:t>
      </w:r>
      <w:r w:rsidRPr="00907363">
        <w:rPr>
          <w:rFonts w:ascii="Century Gothic" w:hAnsi="Century Gothic"/>
          <w:spacing w:val="-16"/>
          <w:sz w:val="22"/>
          <w:szCs w:val="22"/>
        </w:rPr>
        <w:t xml:space="preserve"> </w:t>
      </w:r>
      <w:r w:rsidRPr="00907363">
        <w:rPr>
          <w:rFonts w:ascii="Century Gothic" w:hAnsi="Century Gothic"/>
          <w:spacing w:val="-2"/>
          <w:sz w:val="22"/>
          <w:szCs w:val="22"/>
        </w:rPr>
        <w:t>a</w:t>
      </w:r>
      <w:r w:rsidRPr="00907363">
        <w:rPr>
          <w:rFonts w:ascii="Century Gothic" w:hAnsi="Century Gothic"/>
          <w:spacing w:val="-16"/>
          <w:sz w:val="22"/>
          <w:szCs w:val="22"/>
        </w:rPr>
        <w:t xml:space="preserve"> </w:t>
      </w:r>
      <w:r w:rsidRPr="00907363">
        <w:rPr>
          <w:rFonts w:ascii="Century Gothic" w:hAnsi="Century Gothic"/>
          <w:spacing w:val="-2"/>
          <w:sz w:val="22"/>
          <w:szCs w:val="22"/>
        </w:rPr>
        <w:t>esta</w:t>
      </w:r>
      <w:r w:rsidRPr="00907363">
        <w:rPr>
          <w:rFonts w:ascii="Century Gothic" w:hAnsi="Century Gothic"/>
          <w:spacing w:val="-16"/>
          <w:sz w:val="22"/>
          <w:szCs w:val="22"/>
        </w:rPr>
        <w:t xml:space="preserve"> </w:t>
      </w:r>
      <w:r w:rsidRPr="00907363">
        <w:rPr>
          <w:rFonts w:ascii="Century Gothic" w:hAnsi="Century Gothic"/>
          <w:spacing w:val="-2"/>
          <w:sz w:val="22"/>
          <w:szCs w:val="22"/>
        </w:rPr>
        <w:t>oscilación</w:t>
      </w:r>
      <w:r w:rsidRPr="00907363">
        <w:rPr>
          <w:rFonts w:ascii="Century Gothic" w:hAnsi="Century Gothic"/>
          <w:spacing w:val="-15"/>
          <w:sz w:val="22"/>
          <w:szCs w:val="22"/>
        </w:rPr>
        <w:t xml:space="preserve"> </w:t>
      </w:r>
      <w:r w:rsidRPr="00907363">
        <w:rPr>
          <w:rFonts w:ascii="Century Gothic" w:hAnsi="Century Gothic"/>
          <w:spacing w:val="-2"/>
          <w:sz w:val="22"/>
          <w:szCs w:val="22"/>
        </w:rPr>
        <w:t>entre</w:t>
      </w:r>
      <w:r w:rsidRPr="00907363">
        <w:rPr>
          <w:rFonts w:ascii="Century Gothic" w:hAnsi="Century Gothic"/>
          <w:spacing w:val="-15"/>
          <w:sz w:val="22"/>
          <w:szCs w:val="22"/>
        </w:rPr>
        <w:t xml:space="preserve"> </w:t>
      </w:r>
      <w:r w:rsidRPr="00907363">
        <w:rPr>
          <w:rFonts w:ascii="Century Gothic" w:hAnsi="Century Gothic"/>
          <w:spacing w:val="-2"/>
          <w:sz w:val="22"/>
          <w:szCs w:val="22"/>
        </w:rPr>
        <w:t xml:space="preserve">el </w:t>
      </w:r>
      <w:r w:rsidRPr="00907363">
        <w:rPr>
          <w:rFonts w:ascii="Century Gothic" w:hAnsi="Century Gothic"/>
          <w:sz w:val="22"/>
          <w:szCs w:val="22"/>
        </w:rPr>
        <w:t>mes</w:t>
      </w:r>
      <w:r w:rsidRPr="00907363">
        <w:rPr>
          <w:rFonts w:ascii="Century Gothic" w:hAnsi="Century Gothic"/>
          <w:spacing w:val="-10"/>
          <w:sz w:val="22"/>
          <w:szCs w:val="22"/>
        </w:rPr>
        <w:t xml:space="preserve"> </w:t>
      </w:r>
      <w:r w:rsidRPr="00907363">
        <w:rPr>
          <w:rFonts w:ascii="Century Gothic" w:hAnsi="Century Gothic"/>
          <w:sz w:val="22"/>
          <w:szCs w:val="22"/>
        </w:rPr>
        <w:t>más</w:t>
      </w:r>
      <w:r w:rsidRPr="00907363">
        <w:rPr>
          <w:rFonts w:ascii="Century Gothic" w:hAnsi="Century Gothic"/>
          <w:spacing w:val="-10"/>
          <w:sz w:val="22"/>
          <w:szCs w:val="22"/>
        </w:rPr>
        <w:t xml:space="preserve"> </w:t>
      </w:r>
      <w:r w:rsidRPr="00907363">
        <w:rPr>
          <w:rFonts w:ascii="Century Gothic" w:hAnsi="Century Gothic"/>
          <w:sz w:val="22"/>
          <w:szCs w:val="22"/>
        </w:rPr>
        <w:t>cálido</w:t>
      </w:r>
      <w:r w:rsidRPr="00907363">
        <w:rPr>
          <w:rFonts w:ascii="Century Gothic" w:hAnsi="Century Gothic"/>
          <w:spacing w:val="-9"/>
          <w:sz w:val="22"/>
          <w:szCs w:val="22"/>
        </w:rPr>
        <w:t xml:space="preserve"> </w:t>
      </w:r>
      <w:r w:rsidRPr="00907363">
        <w:rPr>
          <w:rFonts w:ascii="Century Gothic" w:hAnsi="Century Gothic"/>
          <w:sz w:val="22"/>
          <w:szCs w:val="22"/>
        </w:rPr>
        <w:t>y</w:t>
      </w:r>
      <w:r w:rsidRPr="00907363">
        <w:rPr>
          <w:rFonts w:ascii="Century Gothic" w:hAnsi="Century Gothic"/>
          <w:spacing w:val="-9"/>
          <w:sz w:val="22"/>
          <w:szCs w:val="22"/>
        </w:rPr>
        <w:t xml:space="preserve"> </w:t>
      </w:r>
      <w:r w:rsidRPr="00907363">
        <w:rPr>
          <w:rFonts w:ascii="Century Gothic" w:hAnsi="Century Gothic"/>
          <w:sz w:val="22"/>
          <w:szCs w:val="22"/>
        </w:rPr>
        <w:t>el</w:t>
      </w:r>
      <w:r w:rsidRPr="00907363">
        <w:rPr>
          <w:rFonts w:ascii="Century Gothic" w:hAnsi="Century Gothic"/>
          <w:spacing w:val="-7"/>
          <w:sz w:val="22"/>
          <w:szCs w:val="22"/>
        </w:rPr>
        <w:t xml:space="preserve"> </w:t>
      </w:r>
      <w:r w:rsidRPr="00907363">
        <w:rPr>
          <w:rFonts w:ascii="Century Gothic" w:hAnsi="Century Gothic"/>
          <w:sz w:val="22"/>
          <w:szCs w:val="22"/>
        </w:rPr>
        <w:t>mes</w:t>
      </w:r>
      <w:r w:rsidRPr="00907363">
        <w:rPr>
          <w:rFonts w:ascii="Century Gothic" w:hAnsi="Century Gothic"/>
          <w:spacing w:val="-10"/>
          <w:sz w:val="22"/>
          <w:szCs w:val="22"/>
        </w:rPr>
        <w:t xml:space="preserve"> </w:t>
      </w:r>
      <w:r w:rsidRPr="00907363">
        <w:rPr>
          <w:rFonts w:ascii="Century Gothic" w:hAnsi="Century Gothic"/>
          <w:sz w:val="22"/>
          <w:szCs w:val="22"/>
        </w:rPr>
        <w:t>más</w:t>
      </w:r>
      <w:r w:rsidRPr="00907363">
        <w:rPr>
          <w:rFonts w:ascii="Century Gothic" w:hAnsi="Century Gothic"/>
          <w:spacing w:val="40"/>
          <w:sz w:val="22"/>
          <w:szCs w:val="22"/>
        </w:rPr>
        <w:t xml:space="preserve"> </w:t>
      </w:r>
      <w:r w:rsidRPr="00907363">
        <w:rPr>
          <w:rFonts w:ascii="Century Gothic" w:hAnsi="Century Gothic"/>
          <w:sz w:val="22"/>
          <w:szCs w:val="22"/>
        </w:rPr>
        <w:t>frío</w:t>
      </w:r>
      <w:r w:rsidRPr="00907363">
        <w:rPr>
          <w:rFonts w:ascii="Century Gothic" w:hAnsi="Century Gothic"/>
          <w:spacing w:val="40"/>
          <w:sz w:val="22"/>
          <w:szCs w:val="22"/>
        </w:rPr>
        <w:t xml:space="preserve"> </w:t>
      </w:r>
      <w:r w:rsidRPr="00907363">
        <w:rPr>
          <w:rFonts w:ascii="Century Gothic" w:hAnsi="Century Gothic"/>
          <w:sz w:val="22"/>
          <w:szCs w:val="22"/>
        </w:rPr>
        <w:t>se</w:t>
      </w:r>
      <w:r w:rsidRPr="00907363">
        <w:rPr>
          <w:rFonts w:ascii="Century Gothic" w:hAnsi="Century Gothic"/>
          <w:spacing w:val="-8"/>
          <w:sz w:val="22"/>
          <w:szCs w:val="22"/>
        </w:rPr>
        <w:t xml:space="preserve"> </w:t>
      </w:r>
      <w:r w:rsidRPr="00907363">
        <w:rPr>
          <w:rFonts w:ascii="Century Gothic" w:hAnsi="Century Gothic"/>
          <w:sz w:val="22"/>
          <w:szCs w:val="22"/>
        </w:rPr>
        <w:t>considera</w:t>
      </w:r>
      <w:r w:rsidRPr="00907363">
        <w:rPr>
          <w:rFonts w:ascii="Century Gothic" w:hAnsi="Century Gothic"/>
          <w:spacing w:val="-9"/>
          <w:sz w:val="22"/>
          <w:szCs w:val="22"/>
        </w:rPr>
        <w:t xml:space="preserve"> </w:t>
      </w:r>
      <w:r w:rsidRPr="00907363">
        <w:rPr>
          <w:rFonts w:ascii="Century Gothic" w:hAnsi="Century Gothic"/>
          <w:sz w:val="22"/>
          <w:szCs w:val="22"/>
        </w:rPr>
        <w:t>un clima</w:t>
      </w:r>
      <w:r w:rsidRPr="00907363">
        <w:rPr>
          <w:rFonts w:ascii="Century Gothic" w:hAnsi="Century Gothic"/>
          <w:spacing w:val="-3"/>
          <w:sz w:val="22"/>
          <w:szCs w:val="22"/>
        </w:rPr>
        <w:t xml:space="preserve"> </w:t>
      </w:r>
      <w:r w:rsidRPr="00907363">
        <w:rPr>
          <w:rFonts w:ascii="Century Gothic" w:hAnsi="Century Gothic"/>
          <w:sz w:val="22"/>
          <w:szCs w:val="22"/>
        </w:rPr>
        <w:t>mesotérmico, es decir, sin gran variación en cuanto a temperatura.</w:t>
      </w:r>
    </w:p>
    <w:p w14:paraId="4C4DF0AC" w14:textId="77777777" w:rsidR="00907363" w:rsidRPr="00907363" w:rsidRDefault="00907363" w:rsidP="00907363">
      <w:pPr>
        <w:spacing w:before="176" w:line="360" w:lineRule="auto"/>
        <w:ind w:right="1" w:firstLine="708"/>
        <w:jc w:val="both"/>
        <w:rPr>
          <w:rFonts w:ascii="Century Gothic" w:hAnsi="Century Gothic"/>
          <w:sz w:val="22"/>
          <w:szCs w:val="22"/>
        </w:rPr>
      </w:pPr>
      <w:r w:rsidRPr="00907363">
        <w:rPr>
          <w:rFonts w:ascii="Century Gothic" w:hAnsi="Century Gothic"/>
          <w:b/>
          <w:color w:val="025850"/>
          <w:sz w:val="22"/>
          <w:szCs w:val="22"/>
        </w:rPr>
        <w:t>Orografía.</w:t>
      </w:r>
      <w:r w:rsidRPr="00907363">
        <w:rPr>
          <w:rFonts w:ascii="Century Gothic" w:hAnsi="Century Gothic"/>
          <w:b/>
          <w:color w:val="6F2F9F"/>
          <w:spacing w:val="40"/>
          <w:sz w:val="22"/>
          <w:szCs w:val="22"/>
        </w:rPr>
        <w:t xml:space="preserve"> </w:t>
      </w:r>
      <w:r w:rsidRPr="00907363">
        <w:rPr>
          <w:rFonts w:ascii="Century Gothic" w:hAnsi="Century Gothic"/>
          <w:sz w:val="22"/>
          <w:szCs w:val="22"/>
        </w:rPr>
        <w:t xml:space="preserve">San Antonio la Isla se encuentra localizado en el Sistema Volcánico transversal, sin embargo, carece de formaciones orográficas notables y no existen vestigios de que esta zona </w:t>
      </w:r>
      <w:r w:rsidRPr="00907363">
        <w:rPr>
          <w:rFonts w:ascii="Century Gothic" w:hAnsi="Century Gothic"/>
          <w:spacing w:val="-4"/>
          <w:sz w:val="22"/>
          <w:szCs w:val="22"/>
        </w:rPr>
        <w:t>pertenezca</w:t>
      </w:r>
      <w:r w:rsidRPr="00907363">
        <w:rPr>
          <w:rFonts w:ascii="Century Gothic" w:hAnsi="Century Gothic"/>
          <w:spacing w:val="-25"/>
          <w:sz w:val="22"/>
          <w:szCs w:val="22"/>
        </w:rPr>
        <w:t xml:space="preserve"> </w:t>
      </w:r>
      <w:r w:rsidRPr="00907363">
        <w:rPr>
          <w:rFonts w:ascii="Century Gothic" w:hAnsi="Century Gothic"/>
          <w:spacing w:val="-4"/>
          <w:sz w:val="22"/>
          <w:szCs w:val="22"/>
        </w:rPr>
        <w:t>a</w:t>
      </w:r>
      <w:r w:rsidRPr="00907363">
        <w:rPr>
          <w:rFonts w:ascii="Century Gothic" w:hAnsi="Century Gothic"/>
          <w:spacing w:val="-21"/>
          <w:sz w:val="22"/>
          <w:szCs w:val="22"/>
        </w:rPr>
        <w:t xml:space="preserve"> </w:t>
      </w:r>
      <w:r w:rsidRPr="00907363">
        <w:rPr>
          <w:rFonts w:ascii="Century Gothic" w:hAnsi="Century Gothic"/>
          <w:spacing w:val="-4"/>
          <w:sz w:val="22"/>
          <w:szCs w:val="22"/>
        </w:rPr>
        <w:t>tiempos</w:t>
      </w:r>
      <w:r w:rsidRPr="00907363">
        <w:rPr>
          <w:rFonts w:ascii="Century Gothic" w:hAnsi="Century Gothic"/>
          <w:spacing w:val="-23"/>
          <w:sz w:val="22"/>
          <w:szCs w:val="22"/>
        </w:rPr>
        <w:t xml:space="preserve"> </w:t>
      </w:r>
      <w:r w:rsidRPr="00907363">
        <w:rPr>
          <w:rFonts w:ascii="Century Gothic" w:hAnsi="Century Gothic"/>
          <w:spacing w:val="-4"/>
          <w:sz w:val="22"/>
          <w:szCs w:val="22"/>
        </w:rPr>
        <w:t>anteriores</w:t>
      </w:r>
      <w:r w:rsidRPr="00907363">
        <w:rPr>
          <w:rFonts w:ascii="Century Gothic" w:hAnsi="Century Gothic"/>
          <w:spacing w:val="-21"/>
          <w:sz w:val="22"/>
          <w:szCs w:val="22"/>
        </w:rPr>
        <w:t xml:space="preserve"> </w:t>
      </w:r>
      <w:r w:rsidRPr="00907363">
        <w:rPr>
          <w:rFonts w:ascii="Century Gothic" w:hAnsi="Century Gothic"/>
          <w:spacing w:val="-4"/>
          <w:sz w:val="22"/>
          <w:szCs w:val="22"/>
        </w:rPr>
        <w:t>a</w:t>
      </w:r>
      <w:r w:rsidRPr="00907363">
        <w:rPr>
          <w:rFonts w:ascii="Century Gothic" w:hAnsi="Century Gothic"/>
          <w:spacing w:val="-24"/>
          <w:sz w:val="22"/>
          <w:szCs w:val="22"/>
        </w:rPr>
        <w:t xml:space="preserve"> </w:t>
      </w:r>
      <w:r w:rsidRPr="00907363">
        <w:rPr>
          <w:rFonts w:ascii="Century Gothic" w:hAnsi="Century Gothic"/>
          <w:spacing w:val="-4"/>
          <w:sz w:val="22"/>
          <w:szCs w:val="22"/>
        </w:rPr>
        <w:t>la</w:t>
      </w:r>
      <w:r w:rsidRPr="00907363">
        <w:rPr>
          <w:rFonts w:ascii="Century Gothic" w:hAnsi="Century Gothic"/>
          <w:spacing w:val="-24"/>
          <w:sz w:val="22"/>
          <w:szCs w:val="22"/>
        </w:rPr>
        <w:t xml:space="preserve"> </w:t>
      </w:r>
      <w:r w:rsidRPr="00907363">
        <w:rPr>
          <w:rFonts w:ascii="Century Gothic" w:hAnsi="Century Gothic"/>
          <w:spacing w:val="-4"/>
          <w:sz w:val="22"/>
          <w:szCs w:val="22"/>
        </w:rPr>
        <w:t>última</w:t>
      </w:r>
      <w:r w:rsidRPr="00907363">
        <w:rPr>
          <w:rFonts w:ascii="Century Gothic" w:hAnsi="Century Gothic"/>
          <w:spacing w:val="-25"/>
          <w:sz w:val="22"/>
          <w:szCs w:val="22"/>
        </w:rPr>
        <w:t xml:space="preserve"> </w:t>
      </w:r>
      <w:r w:rsidRPr="00907363">
        <w:rPr>
          <w:rFonts w:ascii="Century Gothic" w:hAnsi="Century Gothic"/>
          <w:spacing w:val="-4"/>
          <w:sz w:val="22"/>
          <w:szCs w:val="22"/>
        </w:rPr>
        <w:t>parte</w:t>
      </w:r>
      <w:r w:rsidRPr="00907363">
        <w:rPr>
          <w:rFonts w:ascii="Century Gothic" w:hAnsi="Century Gothic"/>
          <w:spacing w:val="-24"/>
          <w:sz w:val="22"/>
          <w:szCs w:val="22"/>
        </w:rPr>
        <w:t xml:space="preserve"> </w:t>
      </w:r>
      <w:r w:rsidRPr="00907363">
        <w:rPr>
          <w:rFonts w:ascii="Century Gothic" w:hAnsi="Century Gothic"/>
          <w:spacing w:val="-5"/>
          <w:sz w:val="22"/>
          <w:szCs w:val="22"/>
        </w:rPr>
        <w:t xml:space="preserve">del </w:t>
      </w:r>
      <w:r w:rsidRPr="00907363">
        <w:rPr>
          <w:rFonts w:ascii="Century Gothic" w:hAnsi="Century Gothic"/>
          <w:sz w:val="22"/>
          <w:szCs w:val="22"/>
        </w:rPr>
        <w:t xml:space="preserve">terciario, donde se definieron montañas como el Nevado de Toluca. Área formada por depósitos de aluviones propicios para el cultivo, todos los </w:t>
      </w:r>
      <w:r w:rsidRPr="00907363">
        <w:rPr>
          <w:rFonts w:ascii="Century Gothic" w:hAnsi="Century Gothic"/>
          <w:spacing w:val="-2"/>
          <w:sz w:val="22"/>
          <w:szCs w:val="22"/>
        </w:rPr>
        <w:t>productos</w:t>
      </w:r>
      <w:r w:rsidRPr="00907363">
        <w:rPr>
          <w:rFonts w:ascii="Century Gothic" w:hAnsi="Century Gothic"/>
          <w:spacing w:val="-20"/>
          <w:sz w:val="22"/>
          <w:szCs w:val="22"/>
        </w:rPr>
        <w:t xml:space="preserve"> </w:t>
      </w:r>
      <w:r w:rsidRPr="00907363">
        <w:rPr>
          <w:rFonts w:ascii="Century Gothic" w:hAnsi="Century Gothic"/>
          <w:spacing w:val="-2"/>
          <w:sz w:val="22"/>
          <w:szCs w:val="22"/>
        </w:rPr>
        <w:t>cineríticos</w:t>
      </w:r>
      <w:r w:rsidRPr="00907363">
        <w:rPr>
          <w:rFonts w:ascii="Century Gothic" w:hAnsi="Century Gothic"/>
          <w:spacing w:val="-19"/>
          <w:sz w:val="22"/>
          <w:szCs w:val="22"/>
        </w:rPr>
        <w:t xml:space="preserve"> </w:t>
      </w:r>
      <w:r w:rsidRPr="00907363">
        <w:rPr>
          <w:rFonts w:ascii="Century Gothic" w:hAnsi="Century Gothic"/>
          <w:spacing w:val="-2"/>
          <w:sz w:val="22"/>
          <w:szCs w:val="22"/>
        </w:rPr>
        <w:t>originados</w:t>
      </w:r>
      <w:r w:rsidRPr="00907363">
        <w:rPr>
          <w:rFonts w:ascii="Century Gothic" w:hAnsi="Century Gothic"/>
          <w:spacing w:val="-19"/>
          <w:sz w:val="22"/>
          <w:szCs w:val="22"/>
        </w:rPr>
        <w:t xml:space="preserve"> </w:t>
      </w:r>
      <w:r w:rsidRPr="00907363">
        <w:rPr>
          <w:rFonts w:ascii="Century Gothic" w:hAnsi="Century Gothic"/>
          <w:spacing w:val="-2"/>
          <w:sz w:val="22"/>
          <w:szCs w:val="22"/>
        </w:rPr>
        <w:t>por</w:t>
      </w:r>
      <w:r w:rsidRPr="00907363">
        <w:rPr>
          <w:rFonts w:ascii="Century Gothic" w:hAnsi="Century Gothic"/>
          <w:spacing w:val="-19"/>
          <w:sz w:val="22"/>
          <w:szCs w:val="22"/>
        </w:rPr>
        <w:t xml:space="preserve"> </w:t>
      </w:r>
      <w:r w:rsidRPr="00907363">
        <w:rPr>
          <w:rFonts w:ascii="Century Gothic" w:hAnsi="Century Gothic"/>
          <w:spacing w:val="-2"/>
          <w:sz w:val="22"/>
          <w:szCs w:val="22"/>
        </w:rPr>
        <w:t>las</w:t>
      </w:r>
      <w:r w:rsidRPr="00907363">
        <w:rPr>
          <w:rFonts w:ascii="Century Gothic" w:hAnsi="Century Gothic"/>
          <w:spacing w:val="-19"/>
          <w:sz w:val="22"/>
          <w:szCs w:val="22"/>
        </w:rPr>
        <w:t xml:space="preserve"> </w:t>
      </w:r>
      <w:r w:rsidRPr="00907363">
        <w:rPr>
          <w:rFonts w:ascii="Century Gothic" w:hAnsi="Century Gothic"/>
          <w:spacing w:val="-2"/>
          <w:sz w:val="22"/>
          <w:szCs w:val="22"/>
        </w:rPr>
        <w:t>tres</w:t>
      </w:r>
      <w:r w:rsidRPr="00907363">
        <w:rPr>
          <w:rFonts w:ascii="Century Gothic" w:hAnsi="Century Gothic"/>
          <w:spacing w:val="-19"/>
          <w:sz w:val="22"/>
          <w:szCs w:val="22"/>
        </w:rPr>
        <w:t xml:space="preserve"> </w:t>
      </w:r>
      <w:r w:rsidRPr="00907363">
        <w:rPr>
          <w:rFonts w:ascii="Century Gothic" w:hAnsi="Century Gothic"/>
          <w:spacing w:val="-2"/>
          <w:sz w:val="22"/>
          <w:szCs w:val="22"/>
        </w:rPr>
        <w:t xml:space="preserve">grandes </w:t>
      </w:r>
      <w:r w:rsidRPr="00907363">
        <w:rPr>
          <w:rFonts w:ascii="Century Gothic" w:hAnsi="Century Gothic"/>
          <w:sz w:val="22"/>
          <w:szCs w:val="22"/>
        </w:rPr>
        <w:t>series</w:t>
      </w:r>
      <w:r w:rsidRPr="00907363">
        <w:rPr>
          <w:rFonts w:ascii="Century Gothic" w:hAnsi="Century Gothic"/>
          <w:spacing w:val="-22"/>
          <w:sz w:val="22"/>
          <w:szCs w:val="22"/>
        </w:rPr>
        <w:t xml:space="preserve"> </w:t>
      </w:r>
      <w:r w:rsidRPr="00907363">
        <w:rPr>
          <w:rFonts w:ascii="Century Gothic" w:hAnsi="Century Gothic"/>
          <w:sz w:val="22"/>
          <w:szCs w:val="22"/>
        </w:rPr>
        <w:t>de</w:t>
      </w:r>
      <w:r w:rsidRPr="00907363">
        <w:rPr>
          <w:rFonts w:ascii="Century Gothic" w:hAnsi="Century Gothic"/>
          <w:spacing w:val="-21"/>
          <w:sz w:val="22"/>
          <w:szCs w:val="22"/>
        </w:rPr>
        <w:t xml:space="preserve"> </w:t>
      </w:r>
      <w:r w:rsidRPr="00907363">
        <w:rPr>
          <w:rFonts w:ascii="Century Gothic" w:hAnsi="Century Gothic"/>
          <w:sz w:val="22"/>
          <w:szCs w:val="22"/>
        </w:rPr>
        <w:t>erupciones</w:t>
      </w:r>
      <w:r w:rsidRPr="00907363">
        <w:rPr>
          <w:rFonts w:ascii="Century Gothic" w:hAnsi="Century Gothic"/>
          <w:spacing w:val="-21"/>
          <w:sz w:val="22"/>
          <w:szCs w:val="22"/>
        </w:rPr>
        <w:t xml:space="preserve"> </w:t>
      </w:r>
      <w:r w:rsidRPr="00907363">
        <w:rPr>
          <w:rFonts w:ascii="Century Gothic" w:hAnsi="Century Gothic"/>
          <w:sz w:val="22"/>
          <w:szCs w:val="22"/>
        </w:rPr>
        <w:t>volcánicas</w:t>
      </w:r>
      <w:r w:rsidRPr="00907363">
        <w:rPr>
          <w:rFonts w:ascii="Century Gothic" w:hAnsi="Century Gothic"/>
          <w:spacing w:val="-21"/>
          <w:sz w:val="22"/>
          <w:szCs w:val="22"/>
        </w:rPr>
        <w:t xml:space="preserve"> </w:t>
      </w:r>
      <w:r w:rsidRPr="00907363">
        <w:rPr>
          <w:rFonts w:ascii="Century Gothic" w:hAnsi="Century Gothic"/>
          <w:sz w:val="22"/>
          <w:szCs w:val="22"/>
        </w:rPr>
        <w:t>que</w:t>
      </w:r>
      <w:r w:rsidRPr="00907363">
        <w:rPr>
          <w:rFonts w:ascii="Century Gothic" w:hAnsi="Century Gothic"/>
          <w:spacing w:val="-21"/>
          <w:sz w:val="22"/>
          <w:szCs w:val="22"/>
        </w:rPr>
        <w:t xml:space="preserve"> </w:t>
      </w:r>
      <w:r w:rsidRPr="00907363">
        <w:rPr>
          <w:rFonts w:ascii="Century Gothic" w:hAnsi="Century Gothic"/>
          <w:sz w:val="22"/>
          <w:szCs w:val="22"/>
        </w:rPr>
        <w:t>abarcaron</w:t>
      </w:r>
      <w:r w:rsidRPr="00907363">
        <w:rPr>
          <w:rFonts w:ascii="Century Gothic" w:hAnsi="Century Gothic"/>
          <w:spacing w:val="-21"/>
          <w:sz w:val="22"/>
          <w:szCs w:val="22"/>
        </w:rPr>
        <w:t xml:space="preserve"> </w:t>
      </w:r>
      <w:r w:rsidRPr="00907363">
        <w:rPr>
          <w:rFonts w:ascii="Century Gothic" w:hAnsi="Century Gothic"/>
          <w:sz w:val="22"/>
          <w:szCs w:val="22"/>
        </w:rPr>
        <w:t>todo el</w:t>
      </w:r>
      <w:r w:rsidRPr="00907363">
        <w:rPr>
          <w:rFonts w:ascii="Century Gothic" w:hAnsi="Century Gothic"/>
          <w:spacing w:val="-10"/>
          <w:sz w:val="22"/>
          <w:szCs w:val="22"/>
        </w:rPr>
        <w:t xml:space="preserve"> </w:t>
      </w:r>
      <w:r w:rsidRPr="00907363">
        <w:rPr>
          <w:rFonts w:ascii="Century Gothic" w:hAnsi="Century Gothic"/>
          <w:sz w:val="22"/>
          <w:szCs w:val="22"/>
        </w:rPr>
        <w:t>período</w:t>
      </w:r>
      <w:r w:rsidRPr="00907363">
        <w:rPr>
          <w:rFonts w:ascii="Century Gothic" w:hAnsi="Century Gothic"/>
          <w:spacing w:val="-16"/>
          <w:sz w:val="22"/>
          <w:szCs w:val="22"/>
        </w:rPr>
        <w:t xml:space="preserve"> </w:t>
      </w:r>
      <w:r w:rsidRPr="00907363">
        <w:rPr>
          <w:rFonts w:ascii="Century Gothic" w:hAnsi="Century Gothic"/>
          <w:sz w:val="22"/>
          <w:szCs w:val="22"/>
        </w:rPr>
        <w:t>de</w:t>
      </w:r>
      <w:r w:rsidRPr="00907363">
        <w:rPr>
          <w:rFonts w:ascii="Century Gothic" w:hAnsi="Century Gothic"/>
          <w:spacing w:val="-15"/>
          <w:sz w:val="22"/>
          <w:szCs w:val="22"/>
        </w:rPr>
        <w:t xml:space="preserve"> </w:t>
      </w:r>
      <w:r w:rsidRPr="00907363">
        <w:rPr>
          <w:rFonts w:ascii="Century Gothic" w:hAnsi="Century Gothic"/>
          <w:sz w:val="22"/>
          <w:szCs w:val="22"/>
        </w:rPr>
        <w:t>formaciones</w:t>
      </w:r>
      <w:r w:rsidRPr="00907363">
        <w:rPr>
          <w:rFonts w:ascii="Century Gothic" w:hAnsi="Century Gothic"/>
          <w:spacing w:val="-15"/>
          <w:sz w:val="22"/>
          <w:szCs w:val="22"/>
        </w:rPr>
        <w:t xml:space="preserve"> </w:t>
      </w:r>
      <w:r w:rsidRPr="00907363">
        <w:rPr>
          <w:rFonts w:ascii="Century Gothic" w:hAnsi="Century Gothic"/>
          <w:sz w:val="22"/>
          <w:szCs w:val="22"/>
        </w:rPr>
        <w:t>geológicas</w:t>
      </w:r>
      <w:r w:rsidRPr="00907363">
        <w:rPr>
          <w:rFonts w:ascii="Century Gothic" w:hAnsi="Century Gothic"/>
          <w:spacing w:val="-15"/>
          <w:sz w:val="22"/>
          <w:szCs w:val="22"/>
        </w:rPr>
        <w:t xml:space="preserve"> </w:t>
      </w:r>
      <w:r w:rsidRPr="00907363">
        <w:rPr>
          <w:rFonts w:ascii="Century Gothic" w:hAnsi="Century Gothic"/>
          <w:sz w:val="22"/>
          <w:szCs w:val="22"/>
        </w:rPr>
        <w:t>del</w:t>
      </w:r>
      <w:r w:rsidRPr="00907363">
        <w:rPr>
          <w:rFonts w:ascii="Century Gothic" w:hAnsi="Century Gothic"/>
          <w:spacing w:val="-10"/>
          <w:sz w:val="22"/>
          <w:szCs w:val="22"/>
        </w:rPr>
        <w:t xml:space="preserve"> </w:t>
      </w:r>
      <w:r w:rsidRPr="00907363">
        <w:rPr>
          <w:rFonts w:ascii="Century Gothic" w:hAnsi="Century Gothic"/>
          <w:sz w:val="22"/>
          <w:szCs w:val="22"/>
        </w:rPr>
        <w:t>Estado</w:t>
      </w:r>
      <w:r w:rsidRPr="00907363">
        <w:rPr>
          <w:rFonts w:ascii="Century Gothic" w:hAnsi="Century Gothic"/>
          <w:spacing w:val="-16"/>
          <w:sz w:val="22"/>
          <w:szCs w:val="22"/>
        </w:rPr>
        <w:t xml:space="preserve"> </w:t>
      </w:r>
      <w:r w:rsidRPr="00907363">
        <w:rPr>
          <w:rFonts w:ascii="Century Gothic" w:hAnsi="Century Gothic"/>
          <w:sz w:val="22"/>
          <w:szCs w:val="22"/>
        </w:rPr>
        <w:t xml:space="preserve">de México, se depositaron y sirvieron de relleno a las enormes cavidades que existían, debido al hundimiento de grandes extensiones de terrenos entre los cuales se hallaba el actual territorio </w:t>
      </w:r>
      <w:r w:rsidRPr="00907363">
        <w:rPr>
          <w:rFonts w:ascii="Century Gothic" w:hAnsi="Century Gothic"/>
          <w:spacing w:val="-2"/>
          <w:sz w:val="22"/>
          <w:szCs w:val="22"/>
        </w:rPr>
        <w:t>municipal.</w:t>
      </w:r>
    </w:p>
    <w:p w14:paraId="6516E18E" w14:textId="77777777" w:rsidR="00907363" w:rsidRPr="00907363" w:rsidRDefault="00907363" w:rsidP="00907363">
      <w:pPr>
        <w:spacing w:before="176" w:line="360" w:lineRule="auto"/>
        <w:ind w:right="1" w:firstLine="708"/>
        <w:jc w:val="both"/>
        <w:rPr>
          <w:rFonts w:ascii="Century Gothic" w:hAnsi="Century Gothic"/>
          <w:sz w:val="22"/>
          <w:szCs w:val="22"/>
        </w:rPr>
      </w:pPr>
      <w:r w:rsidRPr="00907363">
        <w:rPr>
          <w:rFonts w:ascii="Century Gothic" w:hAnsi="Century Gothic"/>
          <w:b/>
          <w:color w:val="025850"/>
          <w:sz w:val="22"/>
          <w:szCs w:val="22"/>
        </w:rPr>
        <w:t xml:space="preserve">Geomorfología. </w:t>
      </w:r>
      <w:r w:rsidRPr="00907363">
        <w:rPr>
          <w:rFonts w:ascii="Century Gothic" w:hAnsi="Century Gothic"/>
          <w:sz w:val="22"/>
          <w:szCs w:val="22"/>
        </w:rPr>
        <w:t>Gran parte del territorio municipal</w:t>
      </w:r>
      <w:r w:rsidRPr="00907363">
        <w:rPr>
          <w:rFonts w:ascii="Century Gothic" w:hAnsi="Century Gothic"/>
          <w:spacing w:val="-22"/>
          <w:sz w:val="22"/>
          <w:szCs w:val="22"/>
        </w:rPr>
        <w:t xml:space="preserve"> </w:t>
      </w:r>
      <w:r w:rsidRPr="00907363">
        <w:rPr>
          <w:rFonts w:ascii="Century Gothic" w:hAnsi="Century Gothic"/>
          <w:sz w:val="22"/>
          <w:szCs w:val="22"/>
        </w:rPr>
        <w:t>presenta</w:t>
      </w:r>
      <w:r w:rsidRPr="00907363">
        <w:rPr>
          <w:rFonts w:ascii="Century Gothic" w:hAnsi="Century Gothic"/>
          <w:spacing w:val="-21"/>
          <w:sz w:val="22"/>
          <w:szCs w:val="22"/>
        </w:rPr>
        <w:t xml:space="preserve"> </w:t>
      </w:r>
      <w:r w:rsidRPr="00907363">
        <w:rPr>
          <w:rFonts w:ascii="Century Gothic" w:hAnsi="Century Gothic"/>
          <w:sz w:val="22"/>
          <w:szCs w:val="22"/>
        </w:rPr>
        <w:t>características</w:t>
      </w:r>
      <w:r w:rsidRPr="00907363">
        <w:rPr>
          <w:rFonts w:ascii="Century Gothic" w:hAnsi="Century Gothic"/>
          <w:spacing w:val="-21"/>
          <w:sz w:val="22"/>
          <w:szCs w:val="22"/>
        </w:rPr>
        <w:t xml:space="preserve"> </w:t>
      </w:r>
      <w:r w:rsidRPr="00907363">
        <w:rPr>
          <w:rFonts w:ascii="Century Gothic" w:hAnsi="Century Gothic"/>
          <w:sz w:val="22"/>
          <w:szCs w:val="22"/>
        </w:rPr>
        <w:t xml:space="preserve">geomorfológicas </w:t>
      </w:r>
      <w:r w:rsidRPr="00907363">
        <w:rPr>
          <w:rFonts w:ascii="Century Gothic" w:hAnsi="Century Gothic"/>
          <w:spacing w:val="-2"/>
          <w:sz w:val="22"/>
          <w:szCs w:val="22"/>
        </w:rPr>
        <w:t>planas,</w:t>
      </w:r>
      <w:r w:rsidRPr="00907363">
        <w:rPr>
          <w:rFonts w:ascii="Century Gothic" w:hAnsi="Century Gothic"/>
          <w:spacing w:val="-15"/>
          <w:sz w:val="22"/>
          <w:szCs w:val="22"/>
        </w:rPr>
        <w:t xml:space="preserve"> </w:t>
      </w:r>
      <w:r w:rsidRPr="00907363">
        <w:rPr>
          <w:rFonts w:ascii="Century Gothic" w:hAnsi="Century Gothic"/>
          <w:spacing w:val="-2"/>
          <w:sz w:val="22"/>
          <w:szCs w:val="22"/>
        </w:rPr>
        <w:t>es</w:t>
      </w:r>
      <w:r w:rsidRPr="00907363">
        <w:rPr>
          <w:rFonts w:ascii="Century Gothic" w:hAnsi="Century Gothic"/>
          <w:spacing w:val="-13"/>
          <w:sz w:val="22"/>
          <w:szCs w:val="22"/>
        </w:rPr>
        <w:t xml:space="preserve"> </w:t>
      </w:r>
      <w:r w:rsidRPr="00907363">
        <w:rPr>
          <w:rFonts w:ascii="Century Gothic" w:hAnsi="Century Gothic"/>
          <w:spacing w:val="-2"/>
          <w:sz w:val="22"/>
          <w:szCs w:val="22"/>
        </w:rPr>
        <w:t>decir</w:t>
      </w:r>
      <w:r w:rsidRPr="00907363">
        <w:rPr>
          <w:rFonts w:ascii="Century Gothic" w:hAnsi="Century Gothic"/>
          <w:spacing w:val="-16"/>
          <w:sz w:val="22"/>
          <w:szCs w:val="22"/>
        </w:rPr>
        <w:t xml:space="preserve"> </w:t>
      </w:r>
      <w:r w:rsidRPr="00907363">
        <w:rPr>
          <w:rFonts w:ascii="Century Gothic" w:hAnsi="Century Gothic"/>
          <w:spacing w:val="-2"/>
          <w:sz w:val="22"/>
          <w:szCs w:val="22"/>
        </w:rPr>
        <w:t>se</w:t>
      </w:r>
      <w:r w:rsidRPr="00907363">
        <w:rPr>
          <w:rFonts w:ascii="Century Gothic" w:hAnsi="Century Gothic"/>
          <w:spacing w:val="-13"/>
          <w:sz w:val="22"/>
          <w:szCs w:val="22"/>
        </w:rPr>
        <w:t xml:space="preserve"> </w:t>
      </w:r>
      <w:r w:rsidRPr="00907363">
        <w:rPr>
          <w:rFonts w:ascii="Century Gothic" w:hAnsi="Century Gothic"/>
          <w:spacing w:val="-2"/>
          <w:sz w:val="22"/>
          <w:szCs w:val="22"/>
        </w:rPr>
        <w:t>encuentran</w:t>
      </w:r>
      <w:r w:rsidRPr="00907363">
        <w:rPr>
          <w:rFonts w:ascii="Century Gothic" w:hAnsi="Century Gothic"/>
          <w:spacing w:val="-14"/>
          <w:sz w:val="22"/>
          <w:szCs w:val="22"/>
        </w:rPr>
        <w:t xml:space="preserve"> </w:t>
      </w:r>
      <w:r w:rsidRPr="00907363">
        <w:rPr>
          <w:rFonts w:ascii="Century Gothic" w:hAnsi="Century Gothic"/>
          <w:spacing w:val="-2"/>
          <w:sz w:val="22"/>
          <w:szCs w:val="22"/>
        </w:rPr>
        <w:t>pendientes</w:t>
      </w:r>
      <w:r w:rsidRPr="00907363">
        <w:rPr>
          <w:rFonts w:ascii="Century Gothic" w:hAnsi="Century Gothic"/>
          <w:spacing w:val="-16"/>
          <w:sz w:val="22"/>
          <w:szCs w:val="22"/>
        </w:rPr>
        <w:t xml:space="preserve"> </w:t>
      </w:r>
      <w:r w:rsidRPr="00907363">
        <w:rPr>
          <w:rFonts w:ascii="Century Gothic" w:hAnsi="Century Gothic"/>
          <w:spacing w:val="-2"/>
          <w:sz w:val="22"/>
          <w:szCs w:val="22"/>
        </w:rPr>
        <w:t xml:space="preserve">máximas </w:t>
      </w:r>
      <w:r w:rsidRPr="00907363">
        <w:rPr>
          <w:rFonts w:ascii="Century Gothic" w:hAnsi="Century Gothic"/>
          <w:sz w:val="22"/>
          <w:szCs w:val="22"/>
        </w:rPr>
        <w:t>del 3 % presentando un desnivel no mayor de 50 metros</w:t>
      </w:r>
      <w:r w:rsidRPr="00907363">
        <w:rPr>
          <w:rFonts w:ascii="Century Gothic" w:hAnsi="Century Gothic"/>
          <w:spacing w:val="-22"/>
          <w:sz w:val="22"/>
          <w:szCs w:val="22"/>
        </w:rPr>
        <w:t xml:space="preserve"> </w:t>
      </w:r>
      <w:r w:rsidRPr="00907363">
        <w:rPr>
          <w:rFonts w:ascii="Century Gothic" w:hAnsi="Century Gothic"/>
          <w:sz w:val="22"/>
          <w:szCs w:val="22"/>
        </w:rPr>
        <w:t>a</w:t>
      </w:r>
      <w:r w:rsidRPr="00907363">
        <w:rPr>
          <w:rFonts w:ascii="Century Gothic" w:hAnsi="Century Gothic"/>
          <w:spacing w:val="-21"/>
          <w:sz w:val="22"/>
          <w:szCs w:val="22"/>
        </w:rPr>
        <w:t xml:space="preserve"> </w:t>
      </w:r>
      <w:r w:rsidRPr="00907363">
        <w:rPr>
          <w:rFonts w:ascii="Century Gothic" w:hAnsi="Century Gothic"/>
          <w:sz w:val="22"/>
          <w:szCs w:val="22"/>
        </w:rPr>
        <w:t>lo</w:t>
      </w:r>
      <w:r w:rsidRPr="00907363">
        <w:rPr>
          <w:rFonts w:ascii="Century Gothic" w:hAnsi="Century Gothic"/>
          <w:spacing w:val="-21"/>
          <w:sz w:val="22"/>
          <w:szCs w:val="22"/>
        </w:rPr>
        <w:t xml:space="preserve"> </w:t>
      </w:r>
      <w:r w:rsidRPr="00907363">
        <w:rPr>
          <w:rFonts w:ascii="Century Gothic" w:hAnsi="Century Gothic"/>
          <w:sz w:val="22"/>
          <w:szCs w:val="22"/>
        </w:rPr>
        <w:t>largo</w:t>
      </w:r>
      <w:r w:rsidRPr="00907363">
        <w:rPr>
          <w:rFonts w:ascii="Century Gothic" w:hAnsi="Century Gothic"/>
          <w:spacing w:val="-21"/>
          <w:sz w:val="22"/>
          <w:szCs w:val="22"/>
        </w:rPr>
        <w:t xml:space="preserve"> </w:t>
      </w:r>
      <w:r w:rsidRPr="00907363">
        <w:rPr>
          <w:rFonts w:ascii="Century Gothic" w:hAnsi="Century Gothic"/>
          <w:sz w:val="22"/>
          <w:szCs w:val="22"/>
        </w:rPr>
        <w:t>del</w:t>
      </w:r>
      <w:r w:rsidRPr="00907363">
        <w:rPr>
          <w:rFonts w:ascii="Century Gothic" w:hAnsi="Century Gothic"/>
          <w:spacing w:val="-21"/>
          <w:sz w:val="22"/>
          <w:szCs w:val="22"/>
        </w:rPr>
        <w:t xml:space="preserve"> </w:t>
      </w:r>
      <w:r w:rsidRPr="00907363">
        <w:rPr>
          <w:rFonts w:ascii="Century Gothic" w:hAnsi="Century Gothic"/>
          <w:sz w:val="22"/>
          <w:szCs w:val="22"/>
        </w:rPr>
        <w:t>territorio.</w:t>
      </w:r>
    </w:p>
    <w:p w14:paraId="39D7F414" w14:textId="77777777" w:rsidR="00907363" w:rsidRPr="00907363" w:rsidRDefault="00907363" w:rsidP="00907363">
      <w:pPr>
        <w:spacing w:before="166" w:line="360" w:lineRule="auto"/>
        <w:ind w:firstLine="684"/>
        <w:jc w:val="both"/>
        <w:rPr>
          <w:rFonts w:ascii="Century Gothic" w:hAnsi="Century Gothic"/>
          <w:sz w:val="22"/>
          <w:szCs w:val="22"/>
        </w:rPr>
      </w:pPr>
      <w:r w:rsidRPr="00907363">
        <w:rPr>
          <w:rFonts w:ascii="Century Gothic" w:hAnsi="Century Gothic"/>
          <w:b/>
          <w:color w:val="025850"/>
          <w:spacing w:val="-6"/>
          <w:sz w:val="22"/>
          <w:szCs w:val="22"/>
        </w:rPr>
        <w:t>Hidrología.</w:t>
      </w:r>
      <w:r w:rsidRPr="00907363">
        <w:rPr>
          <w:rFonts w:ascii="Century Gothic" w:hAnsi="Century Gothic"/>
          <w:b/>
          <w:color w:val="025850"/>
          <w:spacing w:val="-10"/>
          <w:sz w:val="22"/>
          <w:szCs w:val="22"/>
        </w:rPr>
        <w:t xml:space="preserve">  </w:t>
      </w:r>
      <w:r w:rsidRPr="00907363">
        <w:rPr>
          <w:rFonts w:ascii="Century Gothic" w:hAnsi="Century Gothic"/>
          <w:spacing w:val="-6"/>
          <w:sz w:val="22"/>
          <w:szCs w:val="22"/>
        </w:rPr>
        <w:t>San</w:t>
      </w:r>
      <w:r w:rsidRPr="00907363">
        <w:rPr>
          <w:rFonts w:ascii="Century Gothic" w:hAnsi="Century Gothic"/>
          <w:spacing w:val="-14"/>
          <w:sz w:val="22"/>
          <w:szCs w:val="22"/>
        </w:rPr>
        <w:t xml:space="preserve"> </w:t>
      </w:r>
      <w:r w:rsidRPr="00907363">
        <w:rPr>
          <w:rFonts w:ascii="Century Gothic" w:hAnsi="Century Gothic"/>
          <w:spacing w:val="-6"/>
          <w:sz w:val="22"/>
          <w:szCs w:val="22"/>
        </w:rPr>
        <w:t>Antonio</w:t>
      </w:r>
      <w:r w:rsidRPr="00907363">
        <w:rPr>
          <w:rFonts w:ascii="Century Gothic" w:hAnsi="Century Gothic"/>
          <w:spacing w:val="-16"/>
          <w:sz w:val="22"/>
          <w:szCs w:val="22"/>
        </w:rPr>
        <w:t xml:space="preserve"> </w:t>
      </w:r>
      <w:r w:rsidRPr="00907363">
        <w:rPr>
          <w:rFonts w:ascii="Century Gothic" w:hAnsi="Century Gothic"/>
          <w:spacing w:val="-6"/>
          <w:sz w:val="22"/>
          <w:szCs w:val="22"/>
        </w:rPr>
        <w:t>la</w:t>
      </w:r>
      <w:r w:rsidRPr="00907363">
        <w:rPr>
          <w:rFonts w:ascii="Century Gothic" w:hAnsi="Century Gothic"/>
          <w:spacing w:val="-15"/>
          <w:sz w:val="22"/>
          <w:szCs w:val="22"/>
        </w:rPr>
        <w:t xml:space="preserve"> </w:t>
      </w:r>
      <w:r w:rsidRPr="00907363">
        <w:rPr>
          <w:rFonts w:ascii="Century Gothic" w:hAnsi="Century Gothic"/>
          <w:spacing w:val="-6"/>
          <w:sz w:val="22"/>
          <w:szCs w:val="22"/>
        </w:rPr>
        <w:t>Isla</w:t>
      </w:r>
      <w:r w:rsidRPr="00907363">
        <w:rPr>
          <w:rFonts w:ascii="Century Gothic" w:hAnsi="Century Gothic"/>
          <w:spacing w:val="-15"/>
          <w:sz w:val="22"/>
          <w:szCs w:val="22"/>
        </w:rPr>
        <w:t xml:space="preserve"> </w:t>
      </w:r>
      <w:r w:rsidRPr="00907363">
        <w:rPr>
          <w:rFonts w:ascii="Century Gothic" w:hAnsi="Century Gothic"/>
          <w:spacing w:val="-6"/>
          <w:sz w:val="22"/>
          <w:szCs w:val="22"/>
        </w:rPr>
        <w:t>constituye</w:t>
      </w:r>
      <w:r w:rsidRPr="00907363">
        <w:rPr>
          <w:rFonts w:ascii="Century Gothic" w:hAnsi="Century Gothic"/>
          <w:spacing w:val="-11"/>
          <w:sz w:val="22"/>
          <w:szCs w:val="22"/>
        </w:rPr>
        <w:t xml:space="preserve"> </w:t>
      </w:r>
      <w:r w:rsidRPr="00907363">
        <w:rPr>
          <w:rFonts w:ascii="Century Gothic" w:hAnsi="Century Gothic"/>
          <w:spacing w:val="-6"/>
          <w:sz w:val="22"/>
          <w:szCs w:val="22"/>
        </w:rPr>
        <w:t xml:space="preserve">parte </w:t>
      </w:r>
      <w:r w:rsidRPr="00907363">
        <w:rPr>
          <w:rFonts w:ascii="Century Gothic" w:hAnsi="Century Gothic"/>
          <w:sz w:val="22"/>
          <w:szCs w:val="22"/>
        </w:rPr>
        <w:t>de</w:t>
      </w:r>
      <w:r w:rsidRPr="00907363">
        <w:rPr>
          <w:rFonts w:ascii="Century Gothic" w:hAnsi="Century Gothic"/>
          <w:spacing w:val="-4"/>
          <w:sz w:val="22"/>
          <w:szCs w:val="22"/>
        </w:rPr>
        <w:t xml:space="preserve"> </w:t>
      </w:r>
      <w:r w:rsidRPr="00907363">
        <w:rPr>
          <w:rFonts w:ascii="Century Gothic" w:hAnsi="Century Gothic"/>
          <w:sz w:val="22"/>
          <w:szCs w:val="22"/>
        </w:rPr>
        <w:t>la</w:t>
      </w:r>
      <w:r w:rsidRPr="00907363">
        <w:rPr>
          <w:rFonts w:ascii="Century Gothic" w:hAnsi="Century Gothic"/>
          <w:spacing w:val="-2"/>
          <w:sz w:val="22"/>
          <w:szCs w:val="22"/>
        </w:rPr>
        <w:t xml:space="preserve"> </w:t>
      </w:r>
      <w:r w:rsidRPr="00907363">
        <w:rPr>
          <w:rFonts w:ascii="Century Gothic" w:hAnsi="Century Gothic"/>
          <w:sz w:val="22"/>
          <w:szCs w:val="22"/>
        </w:rPr>
        <w:t>cuenca</w:t>
      </w:r>
      <w:r w:rsidRPr="00907363">
        <w:rPr>
          <w:rFonts w:ascii="Century Gothic" w:hAnsi="Century Gothic"/>
          <w:spacing w:val="-2"/>
          <w:sz w:val="22"/>
          <w:szCs w:val="22"/>
        </w:rPr>
        <w:t xml:space="preserve"> </w:t>
      </w:r>
      <w:r w:rsidRPr="00907363">
        <w:rPr>
          <w:rFonts w:ascii="Century Gothic" w:hAnsi="Century Gothic"/>
          <w:sz w:val="22"/>
          <w:szCs w:val="22"/>
        </w:rPr>
        <w:t>alta</w:t>
      </w:r>
      <w:r w:rsidRPr="00907363">
        <w:rPr>
          <w:rFonts w:ascii="Century Gothic" w:hAnsi="Century Gothic"/>
          <w:spacing w:val="-2"/>
          <w:sz w:val="22"/>
          <w:szCs w:val="22"/>
        </w:rPr>
        <w:t xml:space="preserve"> </w:t>
      </w:r>
      <w:r w:rsidRPr="00907363">
        <w:rPr>
          <w:rFonts w:ascii="Century Gothic" w:hAnsi="Century Gothic"/>
          <w:sz w:val="22"/>
          <w:szCs w:val="22"/>
        </w:rPr>
        <w:t>del Río</w:t>
      </w:r>
      <w:r w:rsidRPr="00907363">
        <w:rPr>
          <w:rFonts w:ascii="Century Gothic" w:hAnsi="Century Gothic"/>
          <w:spacing w:val="-2"/>
          <w:sz w:val="22"/>
          <w:szCs w:val="22"/>
        </w:rPr>
        <w:t xml:space="preserve"> </w:t>
      </w:r>
      <w:r w:rsidRPr="00907363">
        <w:rPr>
          <w:rFonts w:ascii="Century Gothic" w:hAnsi="Century Gothic"/>
          <w:sz w:val="22"/>
          <w:szCs w:val="22"/>
        </w:rPr>
        <w:t>Lerma</w:t>
      </w:r>
      <w:r w:rsidRPr="00907363">
        <w:rPr>
          <w:rFonts w:ascii="Century Gothic" w:hAnsi="Century Gothic"/>
          <w:spacing w:val="-4"/>
          <w:sz w:val="22"/>
          <w:szCs w:val="22"/>
        </w:rPr>
        <w:t xml:space="preserve"> </w:t>
      </w:r>
      <w:r w:rsidRPr="00907363">
        <w:rPr>
          <w:rFonts w:ascii="Century Gothic" w:hAnsi="Century Gothic"/>
          <w:sz w:val="22"/>
          <w:szCs w:val="22"/>
        </w:rPr>
        <w:t>la</w:t>
      </w:r>
      <w:r w:rsidRPr="00907363">
        <w:rPr>
          <w:rFonts w:ascii="Century Gothic" w:hAnsi="Century Gothic"/>
          <w:spacing w:val="-2"/>
          <w:sz w:val="22"/>
          <w:szCs w:val="22"/>
        </w:rPr>
        <w:t xml:space="preserve"> </w:t>
      </w:r>
      <w:r w:rsidRPr="00907363">
        <w:rPr>
          <w:rFonts w:ascii="Century Gothic" w:hAnsi="Century Gothic"/>
          <w:sz w:val="22"/>
          <w:szCs w:val="22"/>
        </w:rPr>
        <w:t>cual</w:t>
      </w:r>
      <w:r w:rsidRPr="00907363">
        <w:rPr>
          <w:rFonts w:ascii="Century Gothic" w:hAnsi="Century Gothic"/>
          <w:spacing w:val="-2"/>
          <w:sz w:val="22"/>
          <w:szCs w:val="22"/>
        </w:rPr>
        <w:t xml:space="preserve"> </w:t>
      </w:r>
      <w:r w:rsidRPr="00907363">
        <w:rPr>
          <w:rFonts w:ascii="Century Gothic" w:hAnsi="Century Gothic"/>
          <w:sz w:val="22"/>
          <w:szCs w:val="22"/>
        </w:rPr>
        <w:t>se enlaza</w:t>
      </w:r>
      <w:r w:rsidRPr="00907363">
        <w:rPr>
          <w:rFonts w:ascii="Century Gothic" w:hAnsi="Century Gothic"/>
          <w:spacing w:val="-2"/>
          <w:sz w:val="22"/>
          <w:szCs w:val="22"/>
        </w:rPr>
        <w:t xml:space="preserve"> </w:t>
      </w:r>
      <w:r w:rsidRPr="00907363">
        <w:rPr>
          <w:rFonts w:ascii="Century Gothic" w:hAnsi="Century Gothic"/>
          <w:sz w:val="22"/>
          <w:szCs w:val="22"/>
        </w:rPr>
        <w:t>a la Región Hidrológica Lerma - Chapala. La disponibilidad</w:t>
      </w:r>
      <w:r w:rsidRPr="00907363">
        <w:rPr>
          <w:rFonts w:ascii="Century Gothic" w:hAnsi="Century Gothic"/>
          <w:spacing w:val="-7"/>
          <w:sz w:val="22"/>
          <w:szCs w:val="22"/>
        </w:rPr>
        <w:t xml:space="preserve"> </w:t>
      </w:r>
      <w:r w:rsidRPr="00907363">
        <w:rPr>
          <w:rFonts w:ascii="Century Gothic" w:hAnsi="Century Gothic"/>
          <w:sz w:val="22"/>
          <w:szCs w:val="22"/>
        </w:rPr>
        <w:t>de</w:t>
      </w:r>
      <w:r w:rsidRPr="00907363">
        <w:rPr>
          <w:rFonts w:ascii="Century Gothic" w:hAnsi="Century Gothic"/>
          <w:spacing w:val="-8"/>
          <w:sz w:val="22"/>
          <w:szCs w:val="22"/>
        </w:rPr>
        <w:t xml:space="preserve"> </w:t>
      </w:r>
      <w:r w:rsidRPr="00907363">
        <w:rPr>
          <w:rFonts w:ascii="Century Gothic" w:hAnsi="Century Gothic"/>
          <w:sz w:val="22"/>
          <w:szCs w:val="22"/>
        </w:rPr>
        <w:t>recursos</w:t>
      </w:r>
      <w:r w:rsidRPr="00907363">
        <w:rPr>
          <w:rFonts w:ascii="Century Gothic" w:hAnsi="Century Gothic"/>
          <w:spacing w:val="-6"/>
          <w:sz w:val="22"/>
          <w:szCs w:val="22"/>
        </w:rPr>
        <w:t xml:space="preserve"> </w:t>
      </w:r>
      <w:r w:rsidRPr="00907363">
        <w:rPr>
          <w:rFonts w:ascii="Century Gothic" w:hAnsi="Century Gothic"/>
          <w:sz w:val="22"/>
          <w:szCs w:val="22"/>
        </w:rPr>
        <w:t>hidrológicos</w:t>
      </w:r>
      <w:r w:rsidRPr="00907363">
        <w:rPr>
          <w:rFonts w:ascii="Century Gothic" w:hAnsi="Century Gothic"/>
          <w:spacing w:val="-8"/>
          <w:sz w:val="22"/>
          <w:szCs w:val="22"/>
        </w:rPr>
        <w:t xml:space="preserve"> </w:t>
      </w:r>
      <w:r w:rsidRPr="00907363">
        <w:rPr>
          <w:rFonts w:ascii="Century Gothic" w:hAnsi="Century Gothic"/>
          <w:sz w:val="22"/>
          <w:szCs w:val="22"/>
        </w:rPr>
        <w:t>se</w:t>
      </w:r>
      <w:r w:rsidRPr="00907363">
        <w:rPr>
          <w:rFonts w:ascii="Century Gothic" w:hAnsi="Century Gothic"/>
          <w:spacing w:val="-6"/>
          <w:sz w:val="22"/>
          <w:szCs w:val="22"/>
        </w:rPr>
        <w:t xml:space="preserve"> </w:t>
      </w:r>
      <w:r w:rsidRPr="00907363">
        <w:rPr>
          <w:rFonts w:ascii="Century Gothic" w:hAnsi="Century Gothic"/>
          <w:sz w:val="22"/>
          <w:szCs w:val="22"/>
        </w:rPr>
        <w:t>reduce</w:t>
      </w:r>
      <w:r w:rsidRPr="00907363">
        <w:rPr>
          <w:rFonts w:ascii="Century Gothic" w:hAnsi="Century Gothic"/>
          <w:spacing w:val="-8"/>
          <w:sz w:val="22"/>
          <w:szCs w:val="22"/>
        </w:rPr>
        <w:t xml:space="preserve"> </w:t>
      </w:r>
      <w:r w:rsidRPr="00907363">
        <w:rPr>
          <w:rFonts w:ascii="Century Gothic" w:hAnsi="Century Gothic"/>
          <w:sz w:val="22"/>
          <w:szCs w:val="22"/>
        </w:rPr>
        <w:t xml:space="preserve">a un manantial localizado en la cabecera municipal </w:t>
      </w:r>
      <w:r w:rsidRPr="00907363">
        <w:rPr>
          <w:rFonts w:ascii="Century Gothic" w:hAnsi="Century Gothic"/>
          <w:spacing w:val="-2"/>
          <w:sz w:val="22"/>
          <w:szCs w:val="22"/>
        </w:rPr>
        <w:t>con un aforo mínimo que se desplaza por medio de canales abiertos; cabe mencionar que los mantos freáticos se encuentran a menos de dos metros de profundidad también existen tres pozos profundos uno en la cabecera municipal, otro en la comunidad de San Lucas Tepemajalco y el último en el Complejo Agro - Industrial Floracopio.</w:t>
      </w:r>
    </w:p>
    <w:p w14:paraId="2CBB87E5"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lastRenderedPageBreak/>
        <w:t>Actualmente el suministro de agua potable se obtiene de la explotación del pozo que se encuentra en la cabecera municipal, el cual tiene un grado de explotación del 50%, por lo que todavía se tiene disponibilidad para satisfacer la demanda futura de la población, este pozo cuenta con una planta para la cloración del agua, lo que hace que el agua que se suministra a la población sea de buena calidad.</w:t>
      </w:r>
    </w:p>
    <w:p w14:paraId="315933DC"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San Antonio la Isla, cuenta con una superficie total de 2,415 distribuidos en condiciones climáticas, la orografía del terreno y la situación geográfica con que cuenta el municipio, contribuyen a generar condiciones favorables para el desarrollo de actividades agrícolas, pecuarias, forestales entre otras.</w:t>
      </w:r>
    </w:p>
    <w:p w14:paraId="46274654"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b/>
          <w:bCs/>
          <w:color w:val="025850"/>
          <w:spacing w:val="-2"/>
          <w:sz w:val="22"/>
          <w:szCs w:val="22"/>
        </w:rPr>
        <w:t>Flora.</w:t>
      </w:r>
      <w:r w:rsidRPr="00907363">
        <w:rPr>
          <w:rFonts w:ascii="Century Gothic" w:hAnsi="Century Gothic"/>
          <w:spacing w:val="-2"/>
          <w:sz w:val="22"/>
          <w:szCs w:val="22"/>
        </w:rPr>
        <w:t xml:space="preserve"> Por pertenecer a un valle eminentemente agrícola, el municipio carece de bosques, pero cuenta con una gran diversidad de plantas y árboles:</w:t>
      </w:r>
    </w:p>
    <w:p w14:paraId="6BC1E253"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 xml:space="preserve"> </w:t>
      </w:r>
      <w:r w:rsidRPr="00907363">
        <w:rPr>
          <w:rFonts w:ascii="Century Gothic" w:hAnsi="Century Gothic"/>
          <w:b/>
          <w:bCs/>
          <w:color w:val="025850"/>
          <w:spacing w:val="-2"/>
          <w:sz w:val="22"/>
          <w:szCs w:val="22"/>
        </w:rPr>
        <w:t>Arboles:</w:t>
      </w:r>
      <w:r w:rsidRPr="00907363">
        <w:rPr>
          <w:rFonts w:ascii="Century Gothic" w:hAnsi="Century Gothic"/>
          <w:spacing w:val="-2"/>
          <w:sz w:val="22"/>
          <w:szCs w:val="22"/>
        </w:rPr>
        <w:t xml:space="preserve"> sauce llorón, mimbre, trueno, cedro, eucalipto, además de una gran variedad de frutales como ciruelo, manzano, peral, tejocote y capulín.</w:t>
      </w:r>
    </w:p>
    <w:p w14:paraId="081473E1"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color w:val="025850"/>
          <w:spacing w:val="-2"/>
          <w:sz w:val="22"/>
          <w:szCs w:val="22"/>
        </w:rPr>
        <w:t xml:space="preserve"> </w:t>
      </w:r>
      <w:r w:rsidRPr="00907363">
        <w:rPr>
          <w:rFonts w:ascii="Century Gothic" w:hAnsi="Century Gothic"/>
          <w:b/>
          <w:bCs/>
          <w:color w:val="025850"/>
          <w:spacing w:val="-2"/>
          <w:sz w:val="22"/>
          <w:szCs w:val="22"/>
        </w:rPr>
        <w:t>Hierbas comestibles</w:t>
      </w:r>
      <w:r w:rsidRPr="00907363">
        <w:rPr>
          <w:rFonts w:ascii="Century Gothic" w:hAnsi="Century Gothic"/>
          <w:b/>
          <w:bCs/>
          <w:spacing w:val="-2"/>
          <w:sz w:val="22"/>
          <w:szCs w:val="22"/>
        </w:rPr>
        <w:t>:</w:t>
      </w:r>
      <w:r w:rsidRPr="00907363">
        <w:rPr>
          <w:rFonts w:ascii="Century Gothic" w:hAnsi="Century Gothic"/>
          <w:spacing w:val="-2"/>
          <w:sz w:val="22"/>
          <w:szCs w:val="22"/>
        </w:rPr>
        <w:t xml:space="preserve"> se tiene una gran variedad de quelites como el huahua zontle, nabo, verdolaga, quintonil, malva, vinagrera, chiva titos, oreja de ratón, berro, cresón, palmita, jara y papa de agua entre otras. Hierbas medicinales: manzanilla, hinojo, apio, árnica, ruda, ámbar, siempreviva, salvia, estafiate, ajenjo, epazote de perro, cedrón, yerba de Santa María, chica lota, toronjil, menta, mirto, albahaca, carricillo, jarilla, rosa de castilla, yerbabuena, pericón, ruda, y sábila.</w:t>
      </w:r>
    </w:p>
    <w:p w14:paraId="13AE3D9B"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b/>
          <w:bCs/>
          <w:color w:val="025850"/>
          <w:spacing w:val="-2"/>
          <w:sz w:val="22"/>
          <w:szCs w:val="22"/>
        </w:rPr>
        <w:t xml:space="preserve"> Flores:</w:t>
      </w:r>
      <w:r w:rsidRPr="00907363">
        <w:rPr>
          <w:rFonts w:ascii="Century Gothic" w:hAnsi="Century Gothic"/>
          <w:color w:val="025850"/>
          <w:spacing w:val="-2"/>
          <w:sz w:val="22"/>
          <w:szCs w:val="22"/>
        </w:rPr>
        <w:t xml:space="preserve"> </w:t>
      </w:r>
      <w:r w:rsidRPr="00907363">
        <w:rPr>
          <w:rFonts w:ascii="Century Gothic" w:hAnsi="Century Gothic"/>
          <w:spacing w:val="-2"/>
          <w:sz w:val="22"/>
          <w:szCs w:val="22"/>
        </w:rPr>
        <w:t>Rosa, clavel, dalia, crisantemo, malvón, geranio, mastuerzo, pajarito, perrito, campánula, cempasúchil, nube, tuberosa, nopalito, alcatraz, chica lota, y otras variedades que han sido introducidas a través de los años.</w:t>
      </w:r>
    </w:p>
    <w:p w14:paraId="1E7E25FF"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b/>
          <w:bCs/>
          <w:spacing w:val="-2"/>
          <w:sz w:val="22"/>
          <w:szCs w:val="22"/>
        </w:rPr>
        <w:t xml:space="preserve"> </w:t>
      </w:r>
      <w:r w:rsidRPr="00907363">
        <w:rPr>
          <w:rFonts w:ascii="Century Gothic" w:hAnsi="Century Gothic"/>
          <w:b/>
          <w:bCs/>
          <w:color w:val="025850"/>
          <w:spacing w:val="-2"/>
          <w:sz w:val="22"/>
          <w:szCs w:val="22"/>
        </w:rPr>
        <w:t>Fauna:</w:t>
      </w:r>
      <w:r w:rsidRPr="00907363">
        <w:rPr>
          <w:rFonts w:ascii="Century Gothic" w:hAnsi="Century Gothic"/>
          <w:spacing w:val="-2"/>
          <w:sz w:val="22"/>
          <w:szCs w:val="22"/>
        </w:rPr>
        <w:t xml:space="preserve"> Podemos encontrar ratas de campo, tlacuache, sapos, culebras, víboras de cascabel, tejones, ranas, ajolotes, tórtolas, gorriones, calandrias, golondrinas, azulejos, tordos, canarios, zopilotes, gavilanes, lechuza, gavilancillos, clan tuza, así como el insecto llamado fraile.</w:t>
      </w:r>
    </w:p>
    <w:p w14:paraId="68847470" w14:textId="77777777" w:rsidR="00907363" w:rsidRPr="00907363" w:rsidRDefault="00907363" w:rsidP="00907363">
      <w:pPr>
        <w:spacing w:before="166" w:line="360" w:lineRule="auto"/>
        <w:ind w:firstLine="708"/>
        <w:jc w:val="both"/>
        <w:rPr>
          <w:rFonts w:ascii="Century Gothic" w:hAnsi="Century Gothic"/>
          <w:spacing w:val="-2"/>
          <w:sz w:val="22"/>
          <w:szCs w:val="22"/>
        </w:rPr>
      </w:pPr>
      <w:r w:rsidRPr="00907363">
        <w:rPr>
          <w:rFonts w:ascii="Century Gothic" w:hAnsi="Century Gothic"/>
          <w:spacing w:val="-2"/>
          <w:sz w:val="22"/>
          <w:szCs w:val="22"/>
        </w:rPr>
        <w:t xml:space="preserve">Los usos del suelo en el municipio predominan los dedicados a las actividades agropecuarias que ocupan el </w:t>
      </w:r>
      <w:r w:rsidRPr="00907363">
        <w:rPr>
          <w:rFonts w:ascii="Century Gothic" w:hAnsi="Century Gothic"/>
          <w:spacing w:val="-2"/>
          <w:sz w:val="22"/>
          <w:szCs w:val="22"/>
        </w:rPr>
        <w:lastRenderedPageBreak/>
        <w:t>87.04% de la superficie total municipal, le siguen de suelo urbano con 4.06%, el industrial con 0.18% y con el 8.89% otros usos. Del uso agrícola, el 100% son de temporal y el 3.2% son terrenos ociosos, siendo el maíz el principal producto y en menores proporciones el chícharo, haba, frijol y zanahoria. En la actividad pecuaria se reduce a la cría de animales domésticos tales como: borregos, cerdos, vacas y aves.</w:t>
      </w:r>
    </w:p>
    <w:p w14:paraId="3C73CD7F" w14:textId="3487F13B" w:rsidR="00907363" w:rsidRDefault="00907363">
      <w:pPr>
        <w:rPr>
          <w:rFonts w:ascii="Corbel" w:hAnsi="Corbel"/>
          <w:spacing w:val="-2"/>
        </w:rPr>
      </w:pPr>
      <w:r>
        <w:rPr>
          <w:rFonts w:ascii="Corbel" w:hAnsi="Corbel"/>
          <w:spacing w:val="-2"/>
        </w:rPr>
        <w:br w:type="page"/>
      </w:r>
    </w:p>
    <w:p w14:paraId="0DB4E1BB" w14:textId="77777777" w:rsidR="001A3040" w:rsidRDefault="001A3040" w:rsidP="00907363">
      <w:pPr>
        <w:spacing w:before="166" w:line="360" w:lineRule="auto"/>
        <w:rPr>
          <w:rFonts w:ascii="Century Gothic" w:hAnsi="Century Gothic"/>
          <w:b/>
          <w:bCs/>
          <w:color w:val="025850"/>
          <w:spacing w:val="-2"/>
          <w:sz w:val="96"/>
          <w:szCs w:val="96"/>
        </w:rPr>
      </w:pPr>
    </w:p>
    <w:p w14:paraId="310685BD" w14:textId="77777777" w:rsidR="001A3040" w:rsidRDefault="001A3040" w:rsidP="00907363">
      <w:pPr>
        <w:spacing w:before="166" w:line="360" w:lineRule="auto"/>
        <w:rPr>
          <w:rFonts w:ascii="Century Gothic" w:hAnsi="Century Gothic"/>
          <w:b/>
          <w:bCs/>
          <w:color w:val="025850"/>
          <w:spacing w:val="-2"/>
          <w:sz w:val="96"/>
          <w:szCs w:val="96"/>
        </w:rPr>
      </w:pPr>
    </w:p>
    <w:p w14:paraId="1E962D0E" w14:textId="77777777" w:rsidR="001A3040" w:rsidRDefault="001A3040" w:rsidP="00907363">
      <w:pPr>
        <w:spacing w:before="166" w:line="360" w:lineRule="auto"/>
        <w:rPr>
          <w:rFonts w:ascii="Century Gothic" w:hAnsi="Century Gothic"/>
          <w:b/>
          <w:bCs/>
          <w:color w:val="025850"/>
          <w:spacing w:val="-2"/>
          <w:sz w:val="96"/>
          <w:szCs w:val="96"/>
        </w:rPr>
      </w:pPr>
    </w:p>
    <w:p w14:paraId="19234905" w14:textId="77777777" w:rsidR="001A3040" w:rsidRDefault="001A3040" w:rsidP="00907363">
      <w:pPr>
        <w:spacing w:before="166" w:line="360" w:lineRule="auto"/>
        <w:rPr>
          <w:rFonts w:ascii="Century Gothic" w:hAnsi="Century Gothic"/>
          <w:b/>
          <w:bCs/>
          <w:color w:val="025850"/>
          <w:spacing w:val="-2"/>
          <w:sz w:val="96"/>
          <w:szCs w:val="96"/>
        </w:rPr>
      </w:pPr>
    </w:p>
    <w:p w14:paraId="30DF6451" w14:textId="77777777" w:rsidR="001A3040" w:rsidRDefault="001A3040" w:rsidP="00907363">
      <w:pPr>
        <w:spacing w:before="166" w:line="360" w:lineRule="auto"/>
        <w:rPr>
          <w:rFonts w:ascii="Century Gothic" w:hAnsi="Century Gothic"/>
          <w:b/>
          <w:bCs/>
          <w:color w:val="025850"/>
          <w:spacing w:val="-2"/>
          <w:sz w:val="96"/>
          <w:szCs w:val="96"/>
        </w:rPr>
      </w:pPr>
    </w:p>
    <w:p w14:paraId="0DFB9185" w14:textId="77777777" w:rsidR="001A3040" w:rsidRDefault="001A3040" w:rsidP="00907363">
      <w:pPr>
        <w:spacing w:before="166" w:line="360" w:lineRule="auto"/>
        <w:rPr>
          <w:rFonts w:ascii="Century Gothic" w:hAnsi="Century Gothic"/>
          <w:b/>
          <w:bCs/>
          <w:color w:val="025850"/>
          <w:spacing w:val="-2"/>
          <w:sz w:val="96"/>
          <w:szCs w:val="96"/>
        </w:rPr>
      </w:pPr>
    </w:p>
    <w:p w14:paraId="337D3C66" w14:textId="77777777" w:rsidR="001A3040" w:rsidRDefault="001A3040" w:rsidP="00907363">
      <w:pPr>
        <w:spacing w:before="166" w:line="360" w:lineRule="auto"/>
        <w:rPr>
          <w:rFonts w:ascii="Century Gothic" w:hAnsi="Century Gothic"/>
          <w:b/>
          <w:bCs/>
          <w:color w:val="025850"/>
          <w:spacing w:val="-2"/>
          <w:sz w:val="96"/>
          <w:szCs w:val="96"/>
        </w:rPr>
      </w:pPr>
    </w:p>
    <w:p w14:paraId="5E3E3248" w14:textId="6682E9CC" w:rsidR="00907363" w:rsidRPr="00907363" w:rsidRDefault="00907363" w:rsidP="00907363">
      <w:pPr>
        <w:spacing w:before="166" w:line="360" w:lineRule="auto"/>
        <w:rPr>
          <w:rFonts w:ascii="Century Gothic" w:hAnsi="Century Gothic"/>
          <w:b/>
          <w:bCs/>
          <w:color w:val="025850"/>
          <w:spacing w:val="-2"/>
          <w:sz w:val="96"/>
          <w:szCs w:val="96"/>
        </w:rPr>
      </w:pPr>
      <w:r w:rsidRPr="00907363">
        <w:rPr>
          <w:rFonts w:ascii="Century Gothic" w:hAnsi="Century Gothic"/>
          <w:b/>
          <w:bCs/>
          <w:color w:val="025850"/>
          <w:spacing w:val="-2"/>
          <w:sz w:val="96"/>
          <w:szCs w:val="96"/>
        </w:rPr>
        <w:t xml:space="preserve">Ejes del Cambio </w:t>
      </w:r>
    </w:p>
    <w:p w14:paraId="41A395C3" w14:textId="77777777" w:rsidR="00907363" w:rsidRPr="00907363" w:rsidRDefault="00907363" w:rsidP="00907363">
      <w:pPr>
        <w:spacing w:before="166" w:line="360" w:lineRule="auto"/>
        <w:ind w:firstLine="708"/>
        <w:jc w:val="both"/>
        <w:rPr>
          <w:rFonts w:ascii="Century Gothic" w:hAnsi="Century Gothic"/>
          <w:iCs/>
          <w:spacing w:val="-2"/>
          <w:sz w:val="22"/>
          <w:szCs w:val="22"/>
        </w:rPr>
      </w:pPr>
    </w:p>
    <w:p w14:paraId="26DD3452" w14:textId="09D364C5" w:rsidR="00907363" w:rsidRDefault="00907363">
      <w:pPr>
        <w:rPr>
          <w:rFonts w:ascii="Century Gothic" w:hAnsi="Century Gothic"/>
          <w:sz w:val="18"/>
          <w:szCs w:val="18"/>
          <w:lang w:val="es-ES"/>
        </w:rPr>
      </w:pPr>
      <w:r>
        <w:rPr>
          <w:rFonts w:ascii="Century Gothic" w:hAnsi="Century Gothic"/>
          <w:sz w:val="18"/>
          <w:szCs w:val="18"/>
          <w:lang w:val="es-ES"/>
        </w:rPr>
        <w:br w:type="page"/>
      </w:r>
    </w:p>
    <w:p w14:paraId="206C99DC" w14:textId="77777777" w:rsidR="00203CA0" w:rsidRDefault="00203CA0" w:rsidP="00203CA0">
      <w:pPr>
        <w:spacing w:before="166" w:line="362" w:lineRule="auto"/>
        <w:jc w:val="right"/>
        <w:rPr>
          <w:color w:val="8DD873" w:themeColor="accent6" w:themeTint="99"/>
          <w:sz w:val="36"/>
          <w:szCs w:val="36"/>
        </w:rPr>
      </w:pPr>
    </w:p>
    <w:p w14:paraId="0F30EDFC" w14:textId="77777777" w:rsidR="00203CA0" w:rsidRDefault="00203CA0" w:rsidP="00203CA0">
      <w:pPr>
        <w:spacing w:before="166" w:line="362" w:lineRule="auto"/>
        <w:jc w:val="right"/>
        <w:rPr>
          <w:color w:val="8DD873" w:themeColor="accent6" w:themeTint="99"/>
          <w:sz w:val="36"/>
          <w:szCs w:val="36"/>
        </w:rPr>
      </w:pPr>
    </w:p>
    <w:p w14:paraId="58679F40" w14:textId="77777777" w:rsidR="00203CA0" w:rsidRDefault="00203CA0" w:rsidP="00203CA0">
      <w:pPr>
        <w:spacing w:before="166" w:line="362" w:lineRule="auto"/>
        <w:jc w:val="right"/>
        <w:rPr>
          <w:color w:val="8DD873" w:themeColor="accent6" w:themeTint="99"/>
          <w:sz w:val="36"/>
          <w:szCs w:val="36"/>
        </w:rPr>
      </w:pPr>
    </w:p>
    <w:p w14:paraId="532EF758" w14:textId="77777777" w:rsidR="00203CA0" w:rsidRDefault="00203CA0" w:rsidP="00203CA0">
      <w:pPr>
        <w:spacing w:before="166" w:line="362" w:lineRule="auto"/>
        <w:jc w:val="right"/>
        <w:rPr>
          <w:color w:val="8DD873" w:themeColor="accent6" w:themeTint="99"/>
          <w:sz w:val="36"/>
          <w:szCs w:val="36"/>
        </w:rPr>
      </w:pPr>
    </w:p>
    <w:p w14:paraId="16F2A236" w14:textId="77777777" w:rsidR="00203CA0" w:rsidRDefault="00203CA0" w:rsidP="00203CA0">
      <w:pPr>
        <w:spacing w:before="166" w:line="362" w:lineRule="auto"/>
        <w:jc w:val="right"/>
        <w:rPr>
          <w:color w:val="8DD873" w:themeColor="accent6" w:themeTint="99"/>
          <w:sz w:val="36"/>
          <w:szCs w:val="36"/>
        </w:rPr>
      </w:pPr>
    </w:p>
    <w:p w14:paraId="0AA7C93B" w14:textId="77777777" w:rsidR="00203CA0" w:rsidRDefault="00203CA0" w:rsidP="00203CA0">
      <w:pPr>
        <w:spacing w:before="166" w:line="362" w:lineRule="auto"/>
        <w:jc w:val="right"/>
        <w:rPr>
          <w:color w:val="8DD873" w:themeColor="accent6" w:themeTint="99"/>
          <w:sz w:val="36"/>
          <w:szCs w:val="36"/>
        </w:rPr>
      </w:pPr>
    </w:p>
    <w:p w14:paraId="5B698F3E" w14:textId="77777777" w:rsidR="00203CA0" w:rsidRDefault="00203CA0" w:rsidP="00203CA0">
      <w:pPr>
        <w:spacing w:before="166" w:line="362" w:lineRule="auto"/>
        <w:jc w:val="right"/>
        <w:rPr>
          <w:color w:val="8DD873" w:themeColor="accent6" w:themeTint="99"/>
          <w:sz w:val="36"/>
          <w:szCs w:val="36"/>
        </w:rPr>
      </w:pPr>
    </w:p>
    <w:p w14:paraId="22F1C570" w14:textId="77777777" w:rsidR="00203CA0" w:rsidRDefault="00203CA0" w:rsidP="00203CA0">
      <w:pPr>
        <w:spacing w:before="166" w:line="362" w:lineRule="auto"/>
        <w:jc w:val="right"/>
        <w:rPr>
          <w:color w:val="8DD873" w:themeColor="accent6" w:themeTint="99"/>
          <w:sz w:val="36"/>
          <w:szCs w:val="36"/>
        </w:rPr>
      </w:pPr>
    </w:p>
    <w:p w14:paraId="43721C82" w14:textId="77777777" w:rsidR="00203CA0" w:rsidRDefault="00203CA0" w:rsidP="00203CA0">
      <w:pPr>
        <w:spacing w:before="166" w:line="362" w:lineRule="auto"/>
        <w:jc w:val="right"/>
        <w:rPr>
          <w:color w:val="8DD873" w:themeColor="accent6" w:themeTint="99"/>
          <w:sz w:val="36"/>
          <w:szCs w:val="36"/>
        </w:rPr>
      </w:pPr>
    </w:p>
    <w:p w14:paraId="5B5F6773" w14:textId="77777777" w:rsidR="00203CA0" w:rsidRDefault="00203CA0" w:rsidP="00203CA0">
      <w:pPr>
        <w:spacing w:before="166" w:line="362" w:lineRule="auto"/>
        <w:jc w:val="right"/>
        <w:rPr>
          <w:color w:val="8DD873" w:themeColor="accent6" w:themeTint="99"/>
          <w:sz w:val="36"/>
          <w:szCs w:val="36"/>
        </w:rPr>
      </w:pPr>
    </w:p>
    <w:p w14:paraId="716B0758" w14:textId="77777777" w:rsidR="00203CA0" w:rsidRDefault="00203CA0" w:rsidP="00203CA0">
      <w:pPr>
        <w:spacing w:before="166" w:line="362" w:lineRule="auto"/>
        <w:jc w:val="right"/>
        <w:rPr>
          <w:color w:val="8DD873" w:themeColor="accent6" w:themeTint="99"/>
          <w:sz w:val="36"/>
          <w:szCs w:val="36"/>
        </w:rPr>
      </w:pPr>
    </w:p>
    <w:p w14:paraId="2026E187" w14:textId="77777777" w:rsidR="00203CA0" w:rsidRDefault="00203CA0" w:rsidP="00203CA0">
      <w:pPr>
        <w:spacing w:before="166" w:line="362" w:lineRule="auto"/>
        <w:jc w:val="right"/>
        <w:rPr>
          <w:color w:val="8DD873" w:themeColor="accent6" w:themeTint="99"/>
          <w:sz w:val="36"/>
          <w:szCs w:val="36"/>
        </w:rPr>
      </w:pPr>
    </w:p>
    <w:p w14:paraId="2DC95F90" w14:textId="77777777" w:rsidR="00203CA0" w:rsidRDefault="00203CA0" w:rsidP="00203CA0">
      <w:pPr>
        <w:spacing w:before="166" w:line="362" w:lineRule="auto"/>
        <w:jc w:val="right"/>
        <w:rPr>
          <w:color w:val="8DD873" w:themeColor="accent6" w:themeTint="99"/>
          <w:sz w:val="36"/>
          <w:szCs w:val="36"/>
        </w:rPr>
      </w:pPr>
    </w:p>
    <w:p w14:paraId="4BEB6EA1" w14:textId="77777777" w:rsidR="00203CA0" w:rsidRDefault="00203CA0" w:rsidP="00203CA0">
      <w:pPr>
        <w:spacing w:before="166" w:line="362" w:lineRule="auto"/>
        <w:jc w:val="right"/>
        <w:rPr>
          <w:color w:val="8DD873" w:themeColor="accent6" w:themeTint="99"/>
          <w:sz w:val="36"/>
          <w:szCs w:val="36"/>
        </w:rPr>
      </w:pPr>
    </w:p>
    <w:p w14:paraId="74740402" w14:textId="77777777" w:rsidR="00203CA0" w:rsidRDefault="00203CA0" w:rsidP="00203CA0">
      <w:pPr>
        <w:spacing w:before="166" w:line="362" w:lineRule="auto"/>
        <w:jc w:val="right"/>
        <w:rPr>
          <w:color w:val="8DD873" w:themeColor="accent6" w:themeTint="99"/>
          <w:sz w:val="36"/>
          <w:szCs w:val="36"/>
        </w:rPr>
      </w:pPr>
    </w:p>
    <w:p w14:paraId="7BAB6CF2" w14:textId="77777777" w:rsidR="00203CA0" w:rsidRDefault="00203CA0" w:rsidP="00203CA0">
      <w:pPr>
        <w:spacing w:before="166" w:line="362" w:lineRule="auto"/>
        <w:rPr>
          <w:rFonts w:ascii="Century Gothic" w:hAnsi="Century Gothic"/>
          <w:color w:val="8DD873" w:themeColor="accent6" w:themeTint="99"/>
          <w:sz w:val="28"/>
          <w:szCs w:val="28"/>
        </w:rPr>
      </w:pPr>
    </w:p>
    <w:p w14:paraId="0911044A" w14:textId="21CAC9C6" w:rsidR="00203CA0" w:rsidRPr="00203CA0" w:rsidRDefault="00203CA0" w:rsidP="00203CA0">
      <w:pPr>
        <w:spacing w:before="166" w:line="362" w:lineRule="auto"/>
        <w:rPr>
          <w:rFonts w:ascii="Century Gothic" w:hAnsi="Century Gothic"/>
          <w:b/>
          <w:bCs/>
          <w:color w:val="025850"/>
          <w:sz w:val="28"/>
          <w:szCs w:val="28"/>
        </w:rPr>
      </w:pPr>
      <w:r w:rsidRPr="00203CA0">
        <w:rPr>
          <w:rFonts w:ascii="Century Gothic" w:hAnsi="Century Gothic"/>
          <w:b/>
          <w:bCs/>
          <w:color w:val="025850"/>
          <w:sz w:val="28"/>
          <w:szCs w:val="28"/>
        </w:rPr>
        <w:t>EJE 1: CERO CORRUPCIÓN Y GOBIERNO DEL PUEBLO Y PARA EL PUEBLO</w:t>
      </w:r>
    </w:p>
    <w:p w14:paraId="6CDE3B6F" w14:textId="77777777" w:rsidR="00203CA0" w:rsidRPr="00203CA0" w:rsidRDefault="00203CA0" w:rsidP="00203CA0">
      <w:pPr>
        <w:spacing w:before="166" w:line="362" w:lineRule="auto"/>
        <w:rPr>
          <w:rFonts w:ascii="Century Gothic" w:hAnsi="Century Gothic"/>
          <w:b/>
          <w:bCs/>
          <w:color w:val="025850"/>
          <w:sz w:val="28"/>
          <w:szCs w:val="28"/>
        </w:rPr>
      </w:pPr>
      <w:r w:rsidRPr="00203CA0">
        <w:rPr>
          <w:rFonts w:ascii="Century Gothic" w:hAnsi="Century Gothic"/>
          <w:b/>
          <w:bCs/>
          <w:color w:val="025850"/>
          <w:sz w:val="28"/>
          <w:szCs w:val="28"/>
        </w:rPr>
        <w:t>“Estado de Derecho y austeridad”</w:t>
      </w:r>
    </w:p>
    <w:p w14:paraId="249B0624" w14:textId="77777777" w:rsidR="00203CA0" w:rsidRPr="00203CA0" w:rsidRDefault="00203CA0" w:rsidP="00203CA0">
      <w:pPr>
        <w:spacing w:before="166" w:line="362" w:lineRule="auto"/>
        <w:jc w:val="center"/>
        <w:rPr>
          <w:rFonts w:ascii="Century Gothic" w:hAnsi="Century Gothic"/>
          <w:color w:val="025850"/>
          <w:sz w:val="22"/>
          <w:szCs w:val="22"/>
        </w:rPr>
      </w:pPr>
    </w:p>
    <w:p w14:paraId="6A474D72" w14:textId="7A7F6CB5" w:rsidR="00203CA0" w:rsidRPr="00203CA0" w:rsidRDefault="00203CA0" w:rsidP="00203CA0">
      <w:pPr>
        <w:ind w:left="720"/>
        <w:jc w:val="center"/>
        <w:rPr>
          <w:rFonts w:ascii="Century Gothic" w:hAnsi="Century Gothic"/>
          <w:color w:val="025850"/>
          <w:sz w:val="22"/>
          <w:szCs w:val="22"/>
          <w:lang w:val="es-US"/>
        </w:rPr>
      </w:pPr>
      <w:r w:rsidRPr="00203CA0">
        <w:rPr>
          <w:rFonts w:ascii="Century Gothic" w:hAnsi="Century Gothic"/>
          <w:color w:val="025850"/>
          <w:sz w:val="22"/>
          <w:szCs w:val="22"/>
          <w:lang w:val="es-US"/>
        </w:rPr>
        <w:t>“El Estado de Derecho no es solo una cuestión de normas y procedimientos, sino también una cuestión de poder y relaciones sociales”.</w:t>
      </w:r>
    </w:p>
    <w:p w14:paraId="4C72FB5C" w14:textId="1B3547F3" w:rsidR="00203CA0" w:rsidRPr="00203CA0" w:rsidRDefault="00203CA0" w:rsidP="00203CA0">
      <w:pPr>
        <w:ind w:left="720"/>
        <w:jc w:val="center"/>
        <w:rPr>
          <w:rFonts w:ascii="Century Gothic" w:hAnsi="Century Gothic"/>
          <w:color w:val="025850"/>
          <w:sz w:val="22"/>
          <w:szCs w:val="22"/>
          <w:lang w:val="es-US"/>
        </w:rPr>
      </w:pPr>
      <w:r w:rsidRPr="00203CA0">
        <w:rPr>
          <w:rFonts w:ascii="Century Gothic" w:hAnsi="Century Gothic"/>
          <w:color w:val="025850"/>
          <w:sz w:val="22"/>
          <w:szCs w:val="22"/>
          <w:lang w:val="es-US"/>
        </w:rPr>
        <w:t>Antropólogo, Pierre Bourdieu</w:t>
      </w:r>
    </w:p>
    <w:p w14:paraId="6615ED66" w14:textId="77777777" w:rsidR="00203CA0" w:rsidRDefault="00203CA0">
      <w:pPr>
        <w:rPr>
          <w:rFonts w:ascii="Corbel" w:hAnsi="Corbel"/>
          <w:color w:val="8DD873" w:themeColor="accent6" w:themeTint="99"/>
          <w:lang w:val="es-US"/>
        </w:rPr>
      </w:pPr>
      <w:r>
        <w:rPr>
          <w:rFonts w:ascii="Corbel" w:hAnsi="Corbel"/>
          <w:color w:val="8DD873" w:themeColor="accent6" w:themeTint="99"/>
          <w:lang w:val="es-US"/>
        </w:rPr>
        <w:br w:type="page"/>
      </w:r>
    </w:p>
    <w:p w14:paraId="6F4B4166" w14:textId="165A7D3C" w:rsidR="000D726B" w:rsidRPr="000D726B" w:rsidRDefault="00203CA0" w:rsidP="005A1ADF">
      <w:pPr>
        <w:pStyle w:val="Prrafodelista"/>
        <w:widowControl w:val="0"/>
        <w:numPr>
          <w:ilvl w:val="0"/>
          <w:numId w:val="16"/>
        </w:numPr>
        <w:autoSpaceDE w:val="0"/>
        <w:autoSpaceDN w:val="0"/>
        <w:spacing w:after="0" w:line="360" w:lineRule="auto"/>
        <w:rPr>
          <w:rFonts w:ascii="Century Gothic" w:hAnsi="Century Gothic"/>
          <w:b/>
          <w:color w:val="025850"/>
          <w:sz w:val="22"/>
          <w:szCs w:val="22"/>
        </w:rPr>
      </w:pPr>
      <w:r w:rsidRPr="00203CA0">
        <w:rPr>
          <w:rFonts w:ascii="Century Gothic" w:hAnsi="Century Gothic"/>
          <w:b/>
          <w:color w:val="025850"/>
          <w:sz w:val="22"/>
          <w:szCs w:val="22"/>
        </w:rPr>
        <w:lastRenderedPageBreak/>
        <w:t>Un gobierno cercano a la gente, “el poder de servir”</w:t>
      </w:r>
    </w:p>
    <w:p w14:paraId="13F5E8E6" w14:textId="77777777" w:rsidR="000D726B" w:rsidRDefault="000D726B" w:rsidP="000D726B">
      <w:pPr>
        <w:spacing w:line="360" w:lineRule="auto"/>
        <w:jc w:val="both"/>
        <w:rPr>
          <w:rFonts w:ascii="Century Gothic" w:hAnsi="Century Gothic"/>
        </w:rPr>
      </w:pPr>
    </w:p>
    <w:p w14:paraId="3518E37C" w14:textId="48A59946" w:rsidR="000D726B" w:rsidRPr="000D726B" w:rsidRDefault="000D726B" w:rsidP="000D726B">
      <w:pPr>
        <w:spacing w:line="360" w:lineRule="auto"/>
        <w:jc w:val="both"/>
        <w:rPr>
          <w:rFonts w:ascii="Century Gothic" w:hAnsi="Century Gothic"/>
        </w:rPr>
      </w:pPr>
      <w:r w:rsidRPr="000D726B">
        <w:rPr>
          <w:rFonts w:ascii="Century Gothic" w:hAnsi="Century Gothic"/>
        </w:rPr>
        <w:t>Un gobierno verdaderamente comprometido con el bienestar de la ciudadanía debe caracterizarse por su cercanía con la población y su vocación de servicio. Para lograrlo, es fundamental que las autoridades actúen con transparencia, fomenten la participación activa de la sociedad en la toma de decisiones y proporcionen mecanismos efectivos para que los ciudadanos expresen sus necesidades y opiniones.</w:t>
      </w:r>
    </w:p>
    <w:p w14:paraId="16DBE896" w14:textId="77777777" w:rsidR="000D726B" w:rsidRPr="000D726B" w:rsidRDefault="000D726B" w:rsidP="000D726B">
      <w:pPr>
        <w:spacing w:line="360" w:lineRule="auto"/>
        <w:jc w:val="both"/>
        <w:rPr>
          <w:rFonts w:ascii="Century Gothic" w:hAnsi="Century Gothic"/>
        </w:rPr>
      </w:pPr>
      <w:r w:rsidRPr="000D726B">
        <w:rPr>
          <w:rFonts w:ascii="Century Gothic" w:hAnsi="Century Gothic"/>
        </w:rPr>
        <w:t>La cercanía con la gente es un compromiso emocional profundo con la comunidad. Implica estar cerca de las personas, conocer sus historias, entender sus dificultades y trabajar juntos para mejorar su vida cotidiana. No es solo que las autoridades estén disponibles para escuchar, sino que demuestren, con sus acciones, que realmente les importa lo que les sucede a los vecinos.</w:t>
      </w:r>
    </w:p>
    <w:p w14:paraId="0D76827C" w14:textId="77777777" w:rsidR="000D726B" w:rsidRPr="000D726B" w:rsidRDefault="000D726B" w:rsidP="000D726B">
      <w:pPr>
        <w:spacing w:line="360" w:lineRule="auto"/>
        <w:jc w:val="both"/>
        <w:rPr>
          <w:rFonts w:ascii="Century Gothic" w:hAnsi="Century Gothic"/>
        </w:rPr>
      </w:pPr>
      <w:r w:rsidRPr="000D726B">
        <w:rPr>
          <w:rFonts w:ascii="Century Gothic" w:hAnsi="Century Gothic"/>
        </w:rPr>
        <w:t xml:space="preserve">Cuando las autoridades son cercanas a la gente, la comunidad siente que sus voces son escuchadas, que sus preocupaciones no se pierden entre trámites y burocracia. Es atender las pequeñas cosas: una calle sin luz, una plaza </w:t>
      </w:r>
      <w:r w:rsidRPr="000D726B">
        <w:rPr>
          <w:rFonts w:ascii="Century Gothic" w:hAnsi="Century Gothic"/>
        </w:rPr>
        <w:t>sin mantenimiento, un niño que necesita apoyo educativo. Ser cercano significa saber que cada gesto cuenta y que cada vecino es importante.</w:t>
      </w:r>
    </w:p>
    <w:p w14:paraId="1678872C" w14:textId="77777777" w:rsidR="000D726B" w:rsidRPr="000D726B" w:rsidRDefault="000D726B" w:rsidP="000D726B">
      <w:pPr>
        <w:spacing w:line="360" w:lineRule="auto"/>
        <w:jc w:val="both"/>
        <w:rPr>
          <w:rFonts w:ascii="Century Gothic" w:hAnsi="Century Gothic"/>
        </w:rPr>
      </w:pPr>
      <w:r w:rsidRPr="000D726B">
        <w:rPr>
          <w:rFonts w:ascii="Century Gothic" w:hAnsi="Century Gothic"/>
        </w:rPr>
        <w:t xml:space="preserve">En la actualidad, es frecuente escuchar que la colaboración de la sociedad es fundamental para el buen funcionamiento del gobierno, especialmente en asuntos como la lucha contra la corrupción, la reducción de la pobreza, la igualdad de género o la preservación del medio ambiente. </w:t>
      </w:r>
    </w:p>
    <w:p w14:paraId="28E65856" w14:textId="7C53542F" w:rsidR="000D726B" w:rsidRPr="000D726B" w:rsidRDefault="000D726B" w:rsidP="000D726B">
      <w:pPr>
        <w:spacing w:line="360" w:lineRule="auto"/>
        <w:jc w:val="both"/>
        <w:rPr>
          <w:rFonts w:ascii="Century Gothic" w:hAnsi="Century Gothic"/>
        </w:rPr>
      </w:pPr>
      <w:r w:rsidRPr="000D726B">
        <w:rPr>
          <w:rFonts w:ascii="Century Gothic" w:hAnsi="Century Gothic"/>
        </w:rPr>
        <w:t xml:space="preserve">De hecho, hoy en día resulta difícil concebir varios aspectos de la gestión pública sin considerar la participación ciudadana. </w:t>
      </w:r>
      <w:r w:rsidR="00B30646" w:rsidRPr="000D726B">
        <w:rPr>
          <w:rFonts w:ascii="Century Gothic" w:hAnsi="Century Gothic"/>
        </w:rPr>
        <w:t>Pero</w:t>
      </w:r>
      <w:r w:rsidR="00B30646">
        <w:rPr>
          <w:rFonts w:ascii="Century Gothic" w:hAnsi="Century Gothic"/>
        </w:rPr>
        <w:t xml:space="preserve"> </w:t>
      </w:r>
      <w:r w:rsidRPr="000D726B">
        <w:rPr>
          <w:rFonts w:ascii="Century Gothic" w:hAnsi="Century Gothic"/>
        </w:rPr>
        <w:t>¿qué significa realmente este concepto? La participación ciudadana se refiere a la capacidad de la sociedad para intervenir e incidir en las decisiones gubernamentales que impactan su vida.</w:t>
      </w:r>
    </w:p>
    <w:p w14:paraId="27D79B4F" w14:textId="77777777" w:rsidR="000D726B" w:rsidRPr="000D726B" w:rsidRDefault="000D726B" w:rsidP="000D726B">
      <w:pPr>
        <w:spacing w:line="360" w:lineRule="auto"/>
        <w:jc w:val="both"/>
        <w:rPr>
          <w:rFonts w:ascii="Century Gothic" w:hAnsi="Century Gothic"/>
        </w:rPr>
      </w:pPr>
      <w:r w:rsidRPr="000D726B">
        <w:rPr>
          <w:rFonts w:ascii="Century Gothic" w:hAnsi="Century Gothic"/>
        </w:rPr>
        <w:t>A pesar de los esfuerzos por parte de las autoridades, es necesario analizar cómo se ha logrado establecer un gobierno cercano a la gente, con base en el principio de “El poder de servir”. Este diagnóstico toma en cuenta varios aspectos clave que contribuyen a una mejor calidad de vida y a la relación entre los ciudadanos y sus gobernantes</w:t>
      </w:r>
    </w:p>
    <w:p w14:paraId="156DE4CB" w14:textId="77777777" w:rsidR="000D726B" w:rsidRPr="000D726B" w:rsidRDefault="000D726B" w:rsidP="000D726B">
      <w:pPr>
        <w:spacing w:line="360" w:lineRule="auto"/>
        <w:jc w:val="both"/>
        <w:rPr>
          <w:rFonts w:ascii="Century Gothic" w:hAnsi="Century Gothic"/>
        </w:rPr>
      </w:pPr>
      <w:r w:rsidRPr="000D726B">
        <w:rPr>
          <w:rFonts w:ascii="Century Gothic" w:hAnsi="Century Gothic"/>
        </w:rPr>
        <w:lastRenderedPageBreak/>
        <w:t>"La Comisión Intersecretarial para la Transparencia enuncia que el 68% de las dependencias e instituciones públicas aplican encuestas a las ciudadanas para detectar la percepción ciudadana sobre el quehacer público y otra manera de conocer la voz de los ciudadanos es mediante el seguimiento a los medios de comunicación, recabar percepciones de los ciudadanos y difundir entre los funcionarios los estudios realizados por agentes externos en torno al quehacer de la institución. Según los resultados obtenidos, el 77% de las dependencias y entidades hacen seguimiento de los medios de comunicación”.</w:t>
      </w:r>
    </w:p>
    <w:p w14:paraId="33EEF0FA" w14:textId="77777777" w:rsidR="000D726B" w:rsidRPr="000D726B" w:rsidRDefault="000D726B" w:rsidP="000D726B">
      <w:pPr>
        <w:spacing w:line="360" w:lineRule="auto"/>
        <w:jc w:val="both"/>
        <w:rPr>
          <w:rFonts w:ascii="Century Gothic" w:hAnsi="Century Gothic"/>
        </w:rPr>
      </w:pPr>
      <w:r w:rsidRPr="000D726B">
        <w:rPr>
          <w:rFonts w:ascii="Century Gothic" w:hAnsi="Century Gothic"/>
        </w:rPr>
        <w:t>Según datos de CONEVAL, el 45.5% de la población de Almoloya del Río vivía en situación de pobreza en 2010, con un 5% en pobreza extrema. Aunque el gobierno local ha implementado algunos programas de asistencia social, la pobreza sigue siendo un problema estructural que requiere atención urgente. Un gobierno cercano debe establecer políticas inclusivas que no solo den asistencia, sino también creen oportunidades de empleo, capacitación y emprendimiento que permitan a las personas mejorar sus condiciones de vida de manera sostenible.</w:t>
      </w:r>
    </w:p>
    <w:p w14:paraId="06CBA973" w14:textId="77777777" w:rsidR="000D726B" w:rsidRPr="000D726B" w:rsidRDefault="000D726B" w:rsidP="000D726B">
      <w:pPr>
        <w:widowControl w:val="0"/>
        <w:autoSpaceDE w:val="0"/>
        <w:autoSpaceDN w:val="0"/>
        <w:spacing w:after="0" w:line="360" w:lineRule="auto"/>
        <w:rPr>
          <w:rFonts w:ascii="Century Gothic" w:hAnsi="Century Gothic"/>
          <w:b/>
          <w:color w:val="025850"/>
          <w:sz w:val="22"/>
          <w:szCs w:val="22"/>
        </w:rPr>
      </w:pPr>
    </w:p>
    <w:p w14:paraId="540B91B6" w14:textId="77777777" w:rsidR="006E1C87" w:rsidRPr="006E1C87" w:rsidRDefault="006E1C87" w:rsidP="005A1ADF">
      <w:pPr>
        <w:pStyle w:val="Prrafodelista"/>
        <w:widowControl w:val="0"/>
        <w:numPr>
          <w:ilvl w:val="0"/>
          <w:numId w:val="16"/>
        </w:numPr>
        <w:autoSpaceDE w:val="0"/>
        <w:autoSpaceDN w:val="0"/>
        <w:spacing w:after="0" w:line="360" w:lineRule="auto"/>
        <w:jc w:val="both"/>
        <w:rPr>
          <w:rFonts w:ascii="Century Gothic" w:hAnsi="Century Gothic"/>
          <w:b/>
          <w:color w:val="025850"/>
          <w:sz w:val="22"/>
          <w:szCs w:val="22"/>
        </w:rPr>
      </w:pPr>
      <w:r w:rsidRPr="006E1C87">
        <w:rPr>
          <w:rFonts w:ascii="Century Gothic" w:hAnsi="Century Gothic"/>
          <w:b/>
          <w:color w:val="025850"/>
          <w:sz w:val="22"/>
          <w:szCs w:val="22"/>
        </w:rPr>
        <w:t xml:space="preserve">Combate a la corrupción      </w:t>
      </w:r>
    </w:p>
    <w:p w14:paraId="013F2145" w14:textId="1D4AA794" w:rsidR="006E1C87" w:rsidRPr="006E1C87" w:rsidRDefault="006E1C87" w:rsidP="006E1C87">
      <w:pPr>
        <w:widowControl w:val="0"/>
        <w:autoSpaceDE w:val="0"/>
        <w:autoSpaceDN w:val="0"/>
        <w:spacing w:after="0" w:line="360" w:lineRule="auto"/>
        <w:ind w:left="360"/>
        <w:jc w:val="both"/>
        <w:rPr>
          <w:rFonts w:ascii="Century Gothic" w:hAnsi="Century Gothic"/>
          <w:b/>
          <w:color w:val="8DD873" w:themeColor="accent6" w:themeTint="99"/>
          <w:sz w:val="22"/>
          <w:szCs w:val="22"/>
        </w:rPr>
      </w:pPr>
      <w:r w:rsidRPr="006E1C87">
        <w:rPr>
          <w:rFonts w:ascii="Century Gothic" w:hAnsi="Century Gothic"/>
          <w:b/>
          <w:color w:val="8DD873" w:themeColor="accent6" w:themeTint="99"/>
          <w:sz w:val="22"/>
          <w:szCs w:val="22"/>
        </w:rPr>
        <w:t xml:space="preserve">    </w:t>
      </w:r>
      <w:r w:rsidRPr="006E1C87">
        <w:rPr>
          <w:rFonts w:ascii="Century Gothic" w:hAnsi="Century Gothic"/>
          <w:b/>
          <w:color w:val="8DD873" w:themeColor="accent6" w:themeTint="99"/>
          <w:sz w:val="22"/>
          <w:szCs w:val="22"/>
          <w:shd w:val="clear" w:color="auto" w:fill="FFC000"/>
        </w:rPr>
        <w:t xml:space="preserve">                                           </w:t>
      </w:r>
      <w:r w:rsidRPr="006E1C87">
        <w:rPr>
          <w:rFonts w:ascii="Century Gothic" w:hAnsi="Century Gothic"/>
          <w:b/>
          <w:color w:val="8DD873" w:themeColor="accent6" w:themeTint="99"/>
          <w:sz w:val="22"/>
          <w:szCs w:val="22"/>
        </w:rPr>
        <w:t xml:space="preserve">     </w:t>
      </w:r>
    </w:p>
    <w:p w14:paraId="10E4C873" w14:textId="2006E594"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La importancia de la participación ciudadana en la lucha contra el abuso de poder y la corrupción en los gobiernos municipales. En el marco de los sistemas democráticos y de gobierno actual, la participación activa y la vigilancia ciudadana son elementos fundamentales para garantizar un contrapeso efectivo frente al abuso de poder. El abuso de poder es un fenómeno complejo y de gran relevancia, que se manifiesta cuando individuos o grupos que ostentan autoridad utilizan su posición para obtener beneficios personales o para causar daño a otros. Este tipo de conductas no solo es reprobable desde el punto de vista ético, sino que también socava los pilares de la justicia, la equidad y la confianza pública. El abuso de poder puede presentarse en diversos contextos, tales como el ámbito político, laboral, familiar, entre otros, lo cual hace que su prevención y control sean tareas urgentes y de interés general.</w:t>
      </w:r>
    </w:p>
    <w:p w14:paraId="4D5140E6" w14:textId="4FDDEDA7"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En consecuencia, la ciudadanía tiene la responsabilidad de participar activamente en los mecanismos de vigilancia y control, pues su </w:t>
      </w:r>
      <w:r w:rsidRPr="006E1C87">
        <w:rPr>
          <w:rFonts w:ascii="Century Gothic" w:hAnsi="Century Gothic"/>
          <w:bCs/>
          <w:sz w:val="22"/>
          <w:szCs w:val="22"/>
        </w:rPr>
        <w:lastRenderedPageBreak/>
        <w:t>involucramiento puede ser decisivo para garantizar el bienestar colectivo. En este sentido, se plantea la necesidad de fortalecer los sistemas de control interno en las administraciones públicas, mediante la instalación de sistemas adecuados de rendición de cuentas y de transparencia que permitan prevenir, detectar y sancionar las prácticas corruptas.</w:t>
      </w:r>
    </w:p>
    <w:p w14:paraId="75E438C1" w14:textId="0FF30BB8"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En este contexto, los Órganos Internos de Control (OIC) municipales desempeñan un papel crucial, ya que son responsables de supervisar las actividades dentro de las instituciones públicas, asegurando que las decisiones y acciones gubernamentales se alineen con los principios de transparencia, ética y legalidad. La efectividad de estos órganos es determinante para consolidar instituciones públicas más sólidas, eficaces, transparentes, éticas e íntegras, capaces de recuperar la confianza de la sociedad en sus gobiernos y de dignificar el servicio público.</w:t>
      </w:r>
    </w:p>
    <w:p w14:paraId="4F6227D8" w14:textId="77777777"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La lucha contra la corrupción no puede llevarse a cabo sin un diagnóstico profundo de las acciones ya emprendidas por los Órganos Internos de Control Municipales en el Estado de México. Realizar un análisis </w:t>
      </w:r>
      <w:r w:rsidRPr="006E1C87">
        <w:rPr>
          <w:rFonts w:ascii="Century Gothic" w:hAnsi="Century Gothic"/>
          <w:bCs/>
          <w:sz w:val="22"/>
          <w:szCs w:val="22"/>
        </w:rPr>
        <w:t>exhaustivo sobre las estrategias adoptadas, el cumplimiento normativo y la efectividad de las medidas anticorrupción es imprescindible para identificar áreas de oportunidad y reforzar las acciones preventivas.</w:t>
      </w:r>
    </w:p>
    <w:p w14:paraId="1358AEE5" w14:textId="7A154278"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Por otro lado, la administración municipal también debe cumplir con lo establecido por la Ley del Sistema Anticorrupción del Estado de México y Municipios, en particular con lo dispuesto en su artículo 62, que establece la obligación de crear e instalar los Comités Coordinadores Municipal y de Participación Ciudadana. Estos comités son fundamentales para la implementación de políticas integrales que fortalezcan la cultura de la integridad en el servicio público y promuevan la rendición de cuentas en un marco de estricta transparencia. La correcta integración de estos comités permite además asegurar que los servidores públicos se comporten con ética, apegándose a los principios de legalidad, transparencia y justicia que exige la sociedad.</w:t>
      </w:r>
    </w:p>
    <w:p w14:paraId="4C3A3605" w14:textId="77777777"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Asimismo, es de suma importancia resaltar la función de los Contralores Sociales, quienes deben ser elegidos de manera libre y democrática por la ciudadanía. A estos contralores se les encomienda la </w:t>
      </w:r>
      <w:r w:rsidRPr="006E1C87">
        <w:rPr>
          <w:rFonts w:ascii="Century Gothic" w:hAnsi="Century Gothic"/>
          <w:bCs/>
          <w:sz w:val="22"/>
          <w:szCs w:val="22"/>
        </w:rPr>
        <w:lastRenderedPageBreak/>
        <w:t>responsabilidad de supervisar la utilización de los recursos públicos, en especial aquellos provenientes de los niveles federales, estatales y municipales, destinados al progreso social del municipio. Esta función de vigilancia es vital para garantizar la ejecución honesta, transparente y eficaz de las obras y proyectos que impactan directamente a la población.</w:t>
      </w:r>
    </w:p>
    <w:p w14:paraId="70374BCF" w14:textId="77777777" w:rsidR="006E1C87" w:rsidRPr="006E1C87" w:rsidRDefault="006E1C87" w:rsidP="006E1C87">
      <w:pPr>
        <w:spacing w:line="360" w:lineRule="auto"/>
        <w:ind w:firstLine="708"/>
        <w:jc w:val="both"/>
        <w:rPr>
          <w:rFonts w:ascii="Century Gothic" w:hAnsi="Century Gothic"/>
          <w:bCs/>
          <w:sz w:val="22"/>
          <w:szCs w:val="22"/>
        </w:rPr>
      </w:pPr>
    </w:p>
    <w:p w14:paraId="639B8C71" w14:textId="1CA3F161"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El Sistema Municipal Anticorrupción de San Antonio la Isla tiene como premisa fundamental establecer las bases y principios generales que guíen las políticas públicas para la prevención, detección y sanción de faltas administrativas y actos de corrupción. De igual manera, se ocupa de la fiscalización y control de los recursos públicos, contribuyendo a fortalecer la transparencia y la confianza en la administración pública.</w:t>
      </w:r>
    </w:p>
    <w:p w14:paraId="63160F01" w14:textId="586FCC69"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En conclusión, el fortalecimiento de los sistemas de control interno, la participación ciudadana activa y el cumplimiento de las normativas anticorrupción son esenciales para erradicar el abuso de poder y la corrupción en el ámbito municipal. Es responsabilidad de </w:t>
      </w:r>
      <w:r w:rsidRPr="006E1C87">
        <w:rPr>
          <w:rFonts w:ascii="Century Gothic" w:hAnsi="Century Gothic"/>
          <w:bCs/>
          <w:sz w:val="22"/>
          <w:szCs w:val="22"/>
        </w:rPr>
        <w:t>todos, tanto autoridades como ciudadanos, trabajar en conjunto para construir un entorno más justo, transparente y ético, donde el servicio público sea realmente un medio para el progreso social.</w:t>
      </w:r>
    </w:p>
    <w:p w14:paraId="2426B892" w14:textId="62331509" w:rsidR="006E1C87" w:rsidRPr="006E1C87" w:rsidRDefault="006E1C87" w:rsidP="005A1ADF">
      <w:pPr>
        <w:pStyle w:val="Prrafodelista"/>
        <w:widowControl w:val="0"/>
        <w:numPr>
          <w:ilvl w:val="0"/>
          <w:numId w:val="16"/>
        </w:numPr>
        <w:autoSpaceDE w:val="0"/>
        <w:autoSpaceDN w:val="0"/>
        <w:spacing w:after="0" w:line="360" w:lineRule="auto"/>
        <w:jc w:val="both"/>
        <w:rPr>
          <w:rFonts w:ascii="Century Gothic" w:hAnsi="Century Gothic"/>
          <w:b/>
          <w:color w:val="025850"/>
          <w:sz w:val="22"/>
          <w:szCs w:val="22"/>
        </w:rPr>
      </w:pPr>
      <w:r w:rsidRPr="006E1C87">
        <w:rPr>
          <w:rFonts w:ascii="Century Gothic" w:hAnsi="Century Gothic"/>
          <w:b/>
          <w:color w:val="025850"/>
          <w:sz w:val="22"/>
          <w:szCs w:val="22"/>
        </w:rPr>
        <w:t>Transparencia y rendición de cuentas</w:t>
      </w:r>
    </w:p>
    <w:p w14:paraId="7C838D68" w14:textId="77777777" w:rsidR="006E1C87" w:rsidRPr="006E1C87" w:rsidRDefault="006E1C87" w:rsidP="006E1C87">
      <w:pPr>
        <w:pStyle w:val="Prrafodelista"/>
        <w:spacing w:line="360" w:lineRule="auto"/>
        <w:jc w:val="both"/>
        <w:rPr>
          <w:rFonts w:ascii="Century Gothic" w:hAnsi="Century Gothic"/>
          <w:b/>
          <w:sz w:val="22"/>
          <w:szCs w:val="22"/>
        </w:rPr>
      </w:pPr>
    </w:p>
    <w:p w14:paraId="455DCA97" w14:textId="7DC43C2E"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En México, la transparencia y la rendición de cuentas son pilares imprescindibles de la gestión pública, ya que las decisiones que se tomen por parte del gobierno deben estar al alcance de los ciudadanos de una manera accesible, clara, veraz, lo que contribuye y favorece la constante vigilancia de los recursos públicos y que estos se ejerzan en estricto apego a la ley. Por otra parte, la rendición de cuentas es la obligación que tienen todas las autoridades de informar y justificar ante la ciudadanía sobre sus decisiones, es decir, abrirse al escrutinio público.</w:t>
      </w:r>
    </w:p>
    <w:p w14:paraId="26E0BF58" w14:textId="6C45BDCC"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El artículo 70 de la Ley General de Transparencia y Acceso a la Información Pública, nos menciona la obligación de los municipios de poner a disposición del </w:t>
      </w:r>
      <w:r w:rsidRPr="006E1C87">
        <w:rPr>
          <w:rFonts w:ascii="Century Gothic" w:hAnsi="Century Gothic"/>
          <w:bCs/>
          <w:sz w:val="22"/>
          <w:szCs w:val="22"/>
        </w:rPr>
        <w:lastRenderedPageBreak/>
        <w:t>público y mantener actualizada la información en los respectivos medios electrónicos</w:t>
      </w:r>
    </w:p>
    <w:p w14:paraId="449E3C50" w14:textId="4A8F3C83"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Durante el 2024, se recibieron 125 solicitudes de acceso a la información pública, de las cuales 22 fueron a través de la Plataforma Nacional de Transparencia y 103 a través del Sistema de Acceso a la Información Mexiquense SAIMEX, la cuales fueron atendidas en tiempo y forma.</w:t>
      </w:r>
    </w:p>
    <w:p w14:paraId="188834D8" w14:textId="64E17895"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De acuerdo con cifras del Instituto de Transparencia, Acceso a la Información Pública y Protección de Datos Personales del Estado de México y Municipios, de los 125 municipios que conforman el Estado de México, en el 2024 se recibieron 28, 456 solicitudes, con un porcentaje de atención del 78.56% y presentando 2,446 solicitudes atendidas a destiempo, lo que representa un 8.60%, presentando el municipio un cumplimiento total por debajo del promedio de atenciones a destiempo. </w:t>
      </w:r>
    </w:p>
    <w:p w14:paraId="3C6002C2" w14:textId="084A070A" w:rsidR="006E1C87" w:rsidRDefault="006E1C87" w:rsidP="000D726B">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Cabe mencionar que el Instituto de Transparencia y Acceso a la Información Pública del Estado de México y Municipios (INFOEM) anualmente realiza una </w:t>
      </w:r>
      <w:r w:rsidRPr="006E1C87">
        <w:rPr>
          <w:rFonts w:ascii="Century Gothic" w:hAnsi="Century Gothic"/>
          <w:bCs/>
          <w:sz w:val="22"/>
          <w:szCs w:val="22"/>
        </w:rPr>
        <w:t>verificación virtual oficiosa, para calificar el porcentaje de cumplimiento de los sujetos obligados en relación con la publicación de sus obligaciones de transparencia, en una escala de 0 a 100.  Al respecto, el municipio obtuvo un porcentaje de cumplimiento de obligaciones comunes y específicas del 100%, el cual se ha mantenido durante 3 años consecutivos.  Además, con Toluca y el Oro, son los municipios del Estado de México en alcanzar el máximo cumplimiento.</w:t>
      </w:r>
    </w:p>
    <w:tbl>
      <w:tblPr>
        <w:tblStyle w:val="Tablaconcuadrcula4-nfasis2"/>
        <w:tblW w:w="0" w:type="auto"/>
        <w:tblLook w:val="04A0" w:firstRow="1" w:lastRow="0" w:firstColumn="1" w:lastColumn="0" w:noHBand="0" w:noVBand="1"/>
      </w:tblPr>
      <w:tblGrid>
        <w:gridCol w:w="2744"/>
        <w:gridCol w:w="100"/>
        <w:gridCol w:w="949"/>
        <w:gridCol w:w="1119"/>
        <w:gridCol w:w="1204"/>
      </w:tblGrid>
      <w:tr w:rsidR="006E1C87" w14:paraId="53844365" w14:textId="77777777" w:rsidTr="000052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16" w:type="dxa"/>
            <w:gridSpan w:val="5"/>
          </w:tcPr>
          <w:p w14:paraId="74008892" w14:textId="77777777" w:rsidR="006E1C87" w:rsidRPr="00E4226A" w:rsidRDefault="006E1C87" w:rsidP="00AD104F">
            <w:pPr>
              <w:jc w:val="center"/>
              <w:rPr>
                <w:rFonts w:ascii="Corbel" w:hAnsi="Corbel" w:cs="Arial"/>
                <w:b w:val="0"/>
                <w:bCs w:val="0"/>
                <w:sz w:val="20"/>
                <w:szCs w:val="24"/>
              </w:rPr>
            </w:pPr>
            <w:r w:rsidRPr="00E4226A">
              <w:rPr>
                <w:rFonts w:ascii="Corbel" w:hAnsi="Corbel" w:cs="Arial"/>
                <w:bCs w:val="0"/>
                <w:szCs w:val="24"/>
              </w:rPr>
              <w:t>Atención de Solicitudes y Cumplimiento de Obligaciones de Transparencia</w:t>
            </w:r>
          </w:p>
        </w:tc>
      </w:tr>
      <w:tr w:rsidR="006E1C87" w14:paraId="5239C012" w14:textId="77777777" w:rsidTr="00005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44" w:type="dxa"/>
            <w:hideMark/>
          </w:tcPr>
          <w:p w14:paraId="141A6B5C" w14:textId="77777777" w:rsidR="006E1C87" w:rsidRPr="000A0B80" w:rsidRDefault="006E1C87" w:rsidP="00AD104F">
            <w:pPr>
              <w:jc w:val="center"/>
              <w:rPr>
                <w:rFonts w:ascii="Corbel" w:hAnsi="Corbel" w:cs="Arial"/>
                <w:bCs w:val="0"/>
                <w:sz w:val="20"/>
                <w:szCs w:val="24"/>
              </w:rPr>
            </w:pPr>
          </w:p>
        </w:tc>
        <w:tc>
          <w:tcPr>
            <w:tcW w:w="1049" w:type="dxa"/>
            <w:gridSpan w:val="2"/>
            <w:hideMark/>
          </w:tcPr>
          <w:p w14:paraId="549570F4" w14:textId="77777777" w:rsidR="006E1C87" w:rsidRPr="000A0B80" w:rsidRDefault="006E1C87" w:rsidP="00AD104F">
            <w:pPr>
              <w:jc w:val="center"/>
              <w:cnfStyle w:val="000000100000" w:firstRow="0" w:lastRow="0" w:firstColumn="0" w:lastColumn="0" w:oddVBand="0" w:evenVBand="0" w:oddHBand="1" w:evenHBand="0" w:firstRowFirstColumn="0" w:firstRowLastColumn="0" w:lastRowFirstColumn="0" w:lastRowLastColumn="0"/>
              <w:rPr>
                <w:rFonts w:ascii="Corbel" w:hAnsi="Corbel" w:cs="Arial"/>
                <w:b/>
                <w:bCs/>
                <w:sz w:val="20"/>
                <w:szCs w:val="24"/>
              </w:rPr>
            </w:pPr>
            <w:r w:rsidRPr="000A0B80">
              <w:rPr>
                <w:rFonts w:ascii="Corbel" w:hAnsi="Corbel" w:cs="Arial"/>
                <w:b/>
                <w:bCs/>
                <w:sz w:val="20"/>
                <w:szCs w:val="24"/>
              </w:rPr>
              <w:t>2022</w:t>
            </w:r>
          </w:p>
        </w:tc>
        <w:tc>
          <w:tcPr>
            <w:tcW w:w="1119" w:type="dxa"/>
            <w:hideMark/>
          </w:tcPr>
          <w:p w14:paraId="041B13E4" w14:textId="77777777" w:rsidR="006E1C87" w:rsidRPr="000A0B80" w:rsidRDefault="006E1C87" w:rsidP="00AD104F">
            <w:pPr>
              <w:jc w:val="center"/>
              <w:cnfStyle w:val="000000100000" w:firstRow="0" w:lastRow="0" w:firstColumn="0" w:lastColumn="0" w:oddVBand="0" w:evenVBand="0" w:oddHBand="1" w:evenHBand="0" w:firstRowFirstColumn="0" w:firstRowLastColumn="0" w:lastRowFirstColumn="0" w:lastRowLastColumn="0"/>
              <w:rPr>
                <w:rFonts w:ascii="Corbel" w:hAnsi="Corbel" w:cs="Arial"/>
                <w:b/>
                <w:bCs/>
                <w:sz w:val="20"/>
                <w:szCs w:val="24"/>
              </w:rPr>
            </w:pPr>
            <w:r w:rsidRPr="000A0B80">
              <w:rPr>
                <w:rFonts w:ascii="Corbel" w:hAnsi="Corbel" w:cs="Arial"/>
                <w:b/>
                <w:bCs/>
                <w:sz w:val="20"/>
                <w:szCs w:val="24"/>
              </w:rPr>
              <w:t>2023</w:t>
            </w:r>
          </w:p>
        </w:tc>
        <w:tc>
          <w:tcPr>
            <w:tcW w:w="1204" w:type="dxa"/>
            <w:hideMark/>
          </w:tcPr>
          <w:p w14:paraId="1DD6BDBD" w14:textId="77777777" w:rsidR="006E1C87" w:rsidRPr="000A0B80" w:rsidRDefault="006E1C87" w:rsidP="00AD104F">
            <w:pPr>
              <w:jc w:val="center"/>
              <w:cnfStyle w:val="000000100000" w:firstRow="0" w:lastRow="0" w:firstColumn="0" w:lastColumn="0" w:oddVBand="0" w:evenVBand="0" w:oddHBand="1" w:evenHBand="0" w:firstRowFirstColumn="0" w:firstRowLastColumn="0" w:lastRowFirstColumn="0" w:lastRowLastColumn="0"/>
              <w:rPr>
                <w:rFonts w:ascii="Corbel" w:hAnsi="Corbel" w:cs="Arial"/>
                <w:b/>
                <w:bCs/>
                <w:sz w:val="20"/>
                <w:szCs w:val="24"/>
              </w:rPr>
            </w:pPr>
            <w:r w:rsidRPr="000A0B80">
              <w:rPr>
                <w:rFonts w:ascii="Corbel" w:hAnsi="Corbel" w:cs="Arial"/>
                <w:b/>
                <w:bCs/>
                <w:sz w:val="20"/>
                <w:szCs w:val="24"/>
              </w:rPr>
              <w:t>2024</w:t>
            </w:r>
          </w:p>
        </w:tc>
      </w:tr>
      <w:tr w:rsidR="006E1C87" w14:paraId="3071DD44" w14:textId="77777777" w:rsidTr="00005299">
        <w:tc>
          <w:tcPr>
            <w:cnfStyle w:val="001000000000" w:firstRow="0" w:lastRow="0" w:firstColumn="1" w:lastColumn="0" w:oddVBand="0" w:evenVBand="0" w:oddHBand="0" w:evenHBand="0" w:firstRowFirstColumn="0" w:firstRowLastColumn="0" w:lastRowFirstColumn="0" w:lastRowLastColumn="0"/>
            <w:tcW w:w="2844" w:type="dxa"/>
            <w:gridSpan w:val="2"/>
            <w:hideMark/>
          </w:tcPr>
          <w:p w14:paraId="0C8A462A" w14:textId="77777777" w:rsidR="006E1C87" w:rsidRPr="00A42DD2" w:rsidRDefault="006E1C87" w:rsidP="00AD104F">
            <w:pPr>
              <w:rPr>
                <w:rFonts w:ascii="Corbel" w:hAnsi="Corbel" w:cs="Arial"/>
                <w:b w:val="0"/>
                <w:bCs w:val="0"/>
                <w:sz w:val="18"/>
                <w:szCs w:val="24"/>
              </w:rPr>
            </w:pPr>
            <w:r w:rsidRPr="00A42DD2">
              <w:rPr>
                <w:rFonts w:ascii="Corbel" w:hAnsi="Corbel" w:cs="Arial"/>
                <w:b w:val="0"/>
                <w:bCs w:val="0"/>
                <w:sz w:val="18"/>
                <w:szCs w:val="24"/>
              </w:rPr>
              <w:t>Solicitudes Recibidas</w:t>
            </w:r>
          </w:p>
        </w:tc>
        <w:tc>
          <w:tcPr>
            <w:tcW w:w="949" w:type="dxa"/>
            <w:hideMark/>
          </w:tcPr>
          <w:p w14:paraId="2FB261A5" w14:textId="77777777" w:rsidR="006E1C87" w:rsidRPr="00A42DD2" w:rsidRDefault="006E1C87" w:rsidP="00AD104F">
            <w:pPr>
              <w:jc w:val="center"/>
              <w:cnfStyle w:val="000000000000" w:firstRow="0" w:lastRow="0" w:firstColumn="0" w:lastColumn="0" w:oddVBand="0" w:evenVBand="0" w:oddHBand="0"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185</w:t>
            </w:r>
          </w:p>
        </w:tc>
        <w:tc>
          <w:tcPr>
            <w:tcW w:w="1119" w:type="dxa"/>
            <w:hideMark/>
          </w:tcPr>
          <w:p w14:paraId="6958CD1B" w14:textId="77777777" w:rsidR="006E1C87" w:rsidRPr="00A42DD2" w:rsidRDefault="006E1C87" w:rsidP="00AD104F">
            <w:pPr>
              <w:jc w:val="center"/>
              <w:cnfStyle w:val="000000000000" w:firstRow="0" w:lastRow="0" w:firstColumn="0" w:lastColumn="0" w:oddVBand="0" w:evenVBand="0" w:oddHBand="0"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154</w:t>
            </w:r>
          </w:p>
        </w:tc>
        <w:tc>
          <w:tcPr>
            <w:tcW w:w="1204" w:type="dxa"/>
            <w:hideMark/>
          </w:tcPr>
          <w:p w14:paraId="0EC180AB" w14:textId="77777777" w:rsidR="006E1C87" w:rsidRPr="00A42DD2" w:rsidRDefault="006E1C87" w:rsidP="00AD104F">
            <w:pPr>
              <w:jc w:val="center"/>
              <w:cnfStyle w:val="000000000000" w:firstRow="0" w:lastRow="0" w:firstColumn="0" w:lastColumn="0" w:oddVBand="0" w:evenVBand="0" w:oddHBand="0"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125</w:t>
            </w:r>
          </w:p>
        </w:tc>
      </w:tr>
      <w:tr w:rsidR="006E1C87" w14:paraId="74A6EC94" w14:textId="77777777" w:rsidTr="000052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4" w:type="dxa"/>
            <w:gridSpan w:val="2"/>
            <w:hideMark/>
          </w:tcPr>
          <w:p w14:paraId="1B423593" w14:textId="77777777" w:rsidR="006E1C87" w:rsidRPr="00A42DD2" w:rsidRDefault="006E1C87" w:rsidP="00AD104F">
            <w:pPr>
              <w:rPr>
                <w:rFonts w:ascii="Corbel" w:hAnsi="Corbel" w:cs="Arial"/>
                <w:bCs w:val="0"/>
                <w:sz w:val="18"/>
                <w:szCs w:val="24"/>
              </w:rPr>
            </w:pPr>
            <w:r w:rsidRPr="00A42DD2">
              <w:rPr>
                <w:rFonts w:ascii="Corbel" w:hAnsi="Corbel" w:cs="Arial"/>
                <w:b w:val="0"/>
                <w:bCs w:val="0"/>
                <w:sz w:val="18"/>
                <w:szCs w:val="24"/>
              </w:rPr>
              <w:t xml:space="preserve">Solicitudes Atendidas Extemporáneamente </w:t>
            </w:r>
          </w:p>
        </w:tc>
        <w:tc>
          <w:tcPr>
            <w:tcW w:w="949" w:type="dxa"/>
            <w:hideMark/>
          </w:tcPr>
          <w:p w14:paraId="560E00E6" w14:textId="77777777" w:rsidR="006E1C87" w:rsidRPr="00A42DD2" w:rsidRDefault="006E1C87" w:rsidP="00AD104F">
            <w:pPr>
              <w:jc w:val="center"/>
              <w:cnfStyle w:val="000000100000" w:firstRow="0" w:lastRow="0" w:firstColumn="0" w:lastColumn="0" w:oddVBand="0" w:evenVBand="0" w:oddHBand="1"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0%</w:t>
            </w:r>
          </w:p>
        </w:tc>
        <w:tc>
          <w:tcPr>
            <w:tcW w:w="1119" w:type="dxa"/>
            <w:hideMark/>
          </w:tcPr>
          <w:p w14:paraId="72454FBE" w14:textId="77777777" w:rsidR="006E1C87" w:rsidRPr="00A42DD2" w:rsidRDefault="006E1C87" w:rsidP="00AD104F">
            <w:pPr>
              <w:jc w:val="center"/>
              <w:cnfStyle w:val="000000100000" w:firstRow="0" w:lastRow="0" w:firstColumn="0" w:lastColumn="0" w:oddVBand="0" w:evenVBand="0" w:oddHBand="1"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0%</w:t>
            </w:r>
          </w:p>
        </w:tc>
        <w:tc>
          <w:tcPr>
            <w:tcW w:w="1204" w:type="dxa"/>
            <w:hideMark/>
          </w:tcPr>
          <w:p w14:paraId="68112435" w14:textId="77777777" w:rsidR="006E1C87" w:rsidRPr="00A42DD2" w:rsidRDefault="006E1C87" w:rsidP="00AD104F">
            <w:pPr>
              <w:jc w:val="center"/>
              <w:cnfStyle w:val="000000100000" w:firstRow="0" w:lastRow="0" w:firstColumn="0" w:lastColumn="0" w:oddVBand="0" w:evenVBand="0" w:oddHBand="1"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0%</w:t>
            </w:r>
          </w:p>
        </w:tc>
      </w:tr>
      <w:tr w:rsidR="006E1C87" w14:paraId="107DC9CB" w14:textId="77777777" w:rsidTr="00005299">
        <w:tc>
          <w:tcPr>
            <w:cnfStyle w:val="001000000000" w:firstRow="0" w:lastRow="0" w:firstColumn="1" w:lastColumn="0" w:oddVBand="0" w:evenVBand="0" w:oddHBand="0" w:evenHBand="0" w:firstRowFirstColumn="0" w:firstRowLastColumn="0" w:lastRowFirstColumn="0" w:lastRowLastColumn="0"/>
            <w:tcW w:w="2844" w:type="dxa"/>
            <w:gridSpan w:val="2"/>
            <w:hideMark/>
          </w:tcPr>
          <w:p w14:paraId="42CED61D" w14:textId="77777777" w:rsidR="006E1C87" w:rsidRPr="00A42DD2" w:rsidRDefault="006E1C87" w:rsidP="00AD104F">
            <w:pPr>
              <w:rPr>
                <w:rFonts w:ascii="Corbel" w:hAnsi="Corbel" w:cs="Arial"/>
                <w:b w:val="0"/>
                <w:bCs w:val="0"/>
                <w:sz w:val="18"/>
                <w:szCs w:val="24"/>
              </w:rPr>
            </w:pPr>
            <w:r w:rsidRPr="00A42DD2">
              <w:rPr>
                <w:rFonts w:ascii="Corbel" w:hAnsi="Corbel" w:cs="Arial"/>
                <w:b w:val="0"/>
                <w:bCs w:val="0"/>
                <w:sz w:val="18"/>
                <w:szCs w:val="24"/>
              </w:rPr>
              <w:t>Porcentaje de Cumplimiento</w:t>
            </w:r>
          </w:p>
        </w:tc>
        <w:tc>
          <w:tcPr>
            <w:tcW w:w="949" w:type="dxa"/>
            <w:hideMark/>
          </w:tcPr>
          <w:p w14:paraId="13F8E331" w14:textId="77777777" w:rsidR="006E1C87" w:rsidRPr="00A42DD2" w:rsidRDefault="006E1C87" w:rsidP="00AD104F">
            <w:pPr>
              <w:jc w:val="center"/>
              <w:cnfStyle w:val="000000000000" w:firstRow="0" w:lastRow="0" w:firstColumn="0" w:lastColumn="0" w:oddVBand="0" w:evenVBand="0" w:oddHBand="0"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100%</w:t>
            </w:r>
          </w:p>
        </w:tc>
        <w:tc>
          <w:tcPr>
            <w:tcW w:w="1119" w:type="dxa"/>
            <w:hideMark/>
          </w:tcPr>
          <w:p w14:paraId="4E307B4F" w14:textId="77777777" w:rsidR="006E1C87" w:rsidRPr="00A42DD2" w:rsidRDefault="006E1C87" w:rsidP="00AD104F">
            <w:pPr>
              <w:jc w:val="center"/>
              <w:cnfStyle w:val="000000000000" w:firstRow="0" w:lastRow="0" w:firstColumn="0" w:lastColumn="0" w:oddVBand="0" w:evenVBand="0" w:oddHBand="0"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100%</w:t>
            </w:r>
          </w:p>
        </w:tc>
        <w:tc>
          <w:tcPr>
            <w:tcW w:w="1204" w:type="dxa"/>
            <w:hideMark/>
          </w:tcPr>
          <w:p w14:paraId="34F75B7E" w14:textId="77777777" w:rsidR="006E1C87" w:rsidRPr="00A42DD2" w:rsidRDefault="006E1C87" w:rsidP="00AD104F">
            <w:pPr>
              <w:jc w:val="center"/>
              <w:cnfStyle w:val="000000000000" w:firstRow="0" w:lastRow="0" w:firstColumn="0" w:lastColumn="0" w:oddVBand="0" w:evenVBand="0" w:oddHBand="0" w:evenHBand="0" w:firstRowFirstColumn="0" w:firstRowLastColumn="0" w:lastRowFirstColumn="0" w:lastRowLastColumn="0"/>
              <w:rPr>
                <w:rFonts w:ascii="Corbel" w:hAnsi="Corbel" w:cs="Arial"/>
                <w:bCs/>
                <w:sz w:val="20"/>
                <w:szCs w:val="24"/>
              </w:rPr>
            </w:pPr>
            <w:r w:rsidRPr="00A42DD2">
              <w:rPr>
                <w:rFonts w:ascii="Corbel" w:hAnsi="Corbel" w:cs="Arial"/>
                <w:bCs/>
                <w:sz w:val="20"/>
                <w:szCs w:val="24"/>
              </w:rPr>
              <w:t>100%</w:t>
            </w:r>
          </w:p>
        </w:tc>
      </w:tr>
    </w:tbl>
    <w:p w14:paraId="69FBAAB3" w14:textId="77777777" w:rsidR="006E1C87" w:rsidRPr="00AF4B72" w:rsidRDefault="006E1C87" w:rsidP="006E1C87">
      <w:pPr>
        <w:jc w:val="both"/>
        <w:rPr>
          <w:rFonts w:ascii="Corbel" w:hAnsi="Corbel"/>
          <w:bCs/>
          <w:sz w:val="16"/>
          <w:szCs w:val="16"/>
        </w:rPr>
      </w:pPr>
      <w:r w:rsidRPr="00AF4B72">
        <w:rPr>
          <w:rFonts w:ascii="Corbel" w:hAnsi="Corbel"/>
          <w:bCs/>
          <w:sz w:val="16"/>
          <w:szCs w:val="16"/>
        </w:rPr>
        <w:t>Fuente: Unidad de Transparencia, San Antonio la Isla</w:t>
      </w:r>
    </w:p>
    <w:p w14:paraId="3FDEB717" w14:textId="77777777" w:rsidR="006E1C87" w:rsidRDefault="006E1C87" w:rsidP="006E1C87">
      <w:pPr>
        <w:spacing w:line="360" w:lineRule="auto"/>
        <w:ind w:firstLine="708"/>
        <w:jc w:val="both"/>
        <w:rPr>
          <w:rFonts w:ascii="Corbel" w:hAnsi="Corbel"/>
          <w:bCs/>
        </w:rPr>
      </w:pPr>
    </w:p>
    <w:p w14:paraId="42C2D90E" w14:textId="0C855A3C"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Adicionalmente, implementamos el Modelo Regional de Transparencia, que consta de 17 herramientas derivadas del Modelo Regional Latinoamericano de Transparencia, promovido por el Instituto de Transparencia y Acceso a la Información Pública del Estado de México y Municipios y somos uno </w:t>
      </w:r>
      <w:r w:rsidRPr="006E1C87">
        <w:rPr>
          <w:rFonts w:ascii="Century Gothic" w:hAnsi="Century Gothic"/>
          <w:bCs/>
          <w:sz w:val="22"/>
          <w:szCs w:val="22"/>
        </w:rPr>
        <w:lastRenderedPageBreak/>
        <w:t>de los primeros 18 municipios de la entidad en implementarlo.</w:t>
      </w:r>
    </w:p>
    <w:p w14:paraId="480DB5B8" w14:textId="77777777"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Reconocemos que la transparencia y la rendición de cuentas son fundamentales para garantizar la confianza, la legitimidad y la eficiencia de las instituciones públicas y privadas. En ese sentido, seguiremos trabajando arduamente, por el beneficio de los islenses, porque entendemos que “Unidos es Posible”.</w:t>
      </w:r>
    </w:p>
    <w:p w14:paraId="51012032" w14:textId="77777777" w:rsidR="006E1C87" w:rsidRPr="006E1C87" w:rsidRDefault="006E1C87" w:rsidP="006E1C87">
      <w:pPr>
        <w:spacing w:line="360" w:lineRule="auto"/>
        <w:ind w:firstLine="708"/>
        <w:jc w:val="both"/>
        <w:rPr>
          <w:rFonts w:ascii="Century Gothic" w:hAnsi="Century Gothic"/>
          <w:bCs/>
          <w:sz w:val="22"/>
          <w:szCs w:val="22"/>
        </w:rPr>
      </w:pPr>
    </w:p>
    <w:p w14:paraId="333CFB87" w14:textId="77777777"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El tema de las </w:t>
      </w:r>
      <w:r w:rsidRPr="006E1C87">
        <w:rPr>
          <w:rFonts w:ascii="Century Gothic" w:hAnsi="Century Gothic"/>
          <w:b/>
          <w:sz w:val="22"/>
          <w:szCs w:val="22"/>
        </w:rPr>
        <w:t>finanzas municipales</w:t>
      </w:r>
      <w:r w:rsidRPr="006E1C87">
        <w:rPr>
          <w:rFonts w:ascii="Century Gothic" w:hAnsi="Century Gothic"/>
          <w:bCs/>
          <w:sz w:val="22"/>
          <w:szCs w:val="22"/>
        </w:rPr>
        <w:t xml:space="preserve"> es quizás uno de los más apasionantes dentro de la vida de los municipios, delicado y cautivador, se puede reducir al simple cumplimiento de los requerimientos legales que los órganos fiscalizadores solicitan a los municipios o convertirse en el área sustantiva que vincula a las dependencias que hacen posible el óptimo funcionamiento de la Administración Pública Municipal. </w:t>
      </w:r>
    </w:p>
    <w:p w14:paraId="60787385" w14:textId="1B414520"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Las finanzas públicas sanas, son los recursos con los que un gobierno cuenta, para proyectar sus actividades, desarrollar proyectos, atender servicios y promover la dinámica económica municipal. El presupuesto de </w:t>
      </w:r>
      <w:r w:rsidRPr="006E1C87">
        <w:rPr>
          <w:rFonts w:ascii="Century Gothic" w:hAnsi="Century Gothic"/>
          <w:bCs/>
          <w:sz w:val="22"/>
          <w:szCs w:val="22"/>
        </w:rPr>
        <w:t>egresos orientará el gasto para el cumplimento de los objetivos de la administración municipal.</w:t>
      </w:r>
    </w:p>
    <w:p w14:paraId="4D0AB8DB" w14:textId="7474E711" w:rsidR="006E1C87" w:rsidRPr="006E1C87" w:rsidRDefault="006E1C87" w:rsidP="00B30646">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El conocer este proceso es fundamental para el buen funcionamiento de las haciendas municipales. La recaudación de ingresos es una fuente muy importante de recursos para tales propósitos. Por ello es necesario adoptar las políticas públicas que mejoren la recaudación, para ofrecer más y mejores servicios a la población. </w:t>
      </w:r>
    </w:p>
    <w:p w14:paraId="739C579A" w14:textId="3205A708" w:rsid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El cuidado de la hacienda municipal, el uso honesto y transparente de sus recursos, la aptitud y actitud de los servidores públicos, la responsabilidad en el cumplimiento de las funciones para atender las demandas de la población, han sido exigencias ineludibles en el servicio público municipal y es que las finanzas públicas son el principal soporte de los planes y proyectos de la acción gubernamental; de su buena administración y disciplina presupuestaria depende en gran medida la efectividad de la tarea pública. </w:t>
      </w:r>
    </w:p>
    <w:p w14:paraId="56A10D31" w14:textId="77777777" w:rsidR="00B30646" w:rsidRPr="006E1C87" w:rsidRDefault="00B30646" w:rsidP="006E1C87">
      <w:pPr>
        <w:spacing w:line="360" w:lineRule="auto"/>
        <w:ind w:firstLine="708"/>
        <w:jc w:val="both"/>
        <w:rPr>
          <w:rFonts w:ascii="Century Gothic" w:hAnsi="Century Gothic"/>
          <w:bCs/>
          <w:sz w:val="22"/>
          <w:szCs w:val="22"/>
        </w:rPr>
      </w:pPr>
    </w:p>
    <w:p w14:paraId="690AC5A0" w14:textId="7B83E577" w:rsidR="006E1C87" w:rsidRPr="006E1C87" w:rsidRDefault="006E1C87" w:rsidP="00B30646">
      <w:pPr>
        <w:spacing w:line="360" w:lineRule="auto"/>
        <w:ind w:firstLine="708"/>
        <w:jc w:val="both"/>
        <w:rPr>
          <w:rFonts w:ascii="Century Gothic" w:hAnsi="Century Gothic"/>
          <w:bCs/>
          <w:sz w:val="22"/>
          <w:szCs w:val="22"/>
        </w:rPr>
      </w:pPr>
      <w:r w:rsidRPr="006E1C87">
        <w:rPr>
          <w:rFonts w:ascii="Century Gothic" w:hAnsi="Century Gothic"/>
          <w:bCs/>
          <w:sz w:val="22"/>
          <w:szCs w:val="22"/>
        </w:rPr>
        <w:lastRenderedPageBreak/>
        <w:t xml:space="preserve">Particularmente se ha puesto esmero en la población vulnerable que necesita trato especial como son los jubilados, pensionados, discapacitados, adultos mayores y viudas sin ingreso fijo, a fin de que disfruten de los beneficios que la ley otorga. La búsqueda de equidad fiscal fue para los ingresos lo que la disciplina y el ahorro para los egresos. Ante el desafío de tener que hacer más con menos, desde el inicio de la administración procuramos estructurar el gasto en forma consecuente tanto con la capacidad financiera del municipio, como la jerarquización de las demandas sociales. </w:t>
      </w:r>
    </w:p>
    <w:p w14:paraId="5859B76D" w14:textId="1DE59F8C"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En tal virtud, a la disciplina financiera agregamos un escrupuloso orden y firmes medidas de contención, lo que nos permitió cumplir las metas que nos fijamos. Especial cuidado se ha tenido para cumplir en tiempo y forma con la entrega de los informes mensuales al Órgano Superior de Fiscalización del Estado de México (OSFEM), ofrecimos transparencia y honestidad en nuestra actuación y en el cuidado del erario municipal; deseamos mantener informada a la población de los resultados de la gestión, en forma constante y oportuna. </w:t>
      </w:r>
      <w:r w:rsidRPr="006E1C87">
        <w:rPr>
          <w:rFonts w:ascii="Century Gothic" w:hAnsi="Century Gothic"/>
          <w:bCs/>
          <w:sz w:val="22"/>
          <w:szCs w:val="22"/>
        </w:rPr>
        <w:t xml:space="preserve">Los recursos son de la comunidad, justo es que conozcan su destino. </w:t>
      </w:r>
    </w:p>
    <w:p w14:paraId="6D90B89B" w14:textId="0D2675D6" w:rsidR="006E1C87" w:rsidRPr="006E1C87" w:rsidRDefault="006E1C87" w:rsidP="006E1C87">
      <w:pPr>
        <w:spacing w:line="360" w:lineRule="auto"/>
        <w:ind w:firstLine="360"/>
        <w:jc w:val="both"/>
        <w:rPr>
          <w:rFonts w:ascii="Century Gothic" w:hAnsi="Century Gothic"/>
          <w:bCs/>
          <w:sz w:val="22"/>
          <w:szCs w:val="22"/>
        </w:rPr>
      </w:pPr>
      <w:r w:rsidRPr="006E1C87">
        <w:rPr>
          <w:rFonts w:ascii="Century Gothic" w:hAnsi="Century Gothic"/>
          <w:bCs/>
          <w:sz w:val="22"/>
          <w:szCs w:val="22"/>
        </w:rPr>
        <w:t>Cabe señalar que el municipio ha obtenido premios al Esfuerzo Hacendario, dicha distinción tiene como objetivo reconocer a nivel Estatal el esfuerzo de Mejora Continua en materia de Hacienda Pública donde se evaluaron áreas de la administración actual relacionadas al manejo adecuado de las finanzas públicas, Modernización Predial y Catastral, cumplimiento a las obligaciones en materia de Transparencia común y específica, de esta manera se representa las finanzas Públicas sanas del municipio.</w:t>
      </w:r>
    </w:p>
    <w:p w14:paraId="7DA325D0" w14:textId="733502E9" w:rsidR="006E1C87" w:rsidRPr="006E1C87" w:rsidRDefault="006E1C87" w:rsidP="005A1ADF">
      <w:pPr>
        <w:pStyle w:val="Prrafodelista"/>
        <w:widowControl w:val="0"/>
        <w:numPr>
          <w:ilvl w:val="0"/>
          <w:numId w:val="16"/>
        </w:numPr>
        <w:autoSpaceDE w:val="0"/>
        <w:autoSpaceDN w:val="0"/>
        <w:spacing w:after="0" w:line="360" w:lineRule="auto"/>
        <w:jc w:val="both"/>
        <w:rPr>
          <w:rFonts w:ascii="Century Gothic" w:hAnsi="Century Gothic"/>
          <w:b/>
          <w:color w:val="025850"/>
          <w:sz w:val="22"/>
          <w:szCs w:val="22"/>
        </w:rPr>
      </w:pPr>
      <w:r w:rsidRPr="006E1C87">
        <w:rPr>
          <w:rFonts w:ascii="Century Gothic" w:hAnsi="Century Gothic"/>
          <w:b/>
          <w:color w:val="025850"/>
          <w:sz w:val="22"/>
          <w:szCs w:val="22"/>
        </w:rPr>
        <w:t>Estado de Derecho y cultura de la legalidad</w:t>
      </w:r>
    </w:p>
    <w:p w14:paraId="3CEC66E9" w14:textId="53BD8AD9"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En 1992, se creó en México la Comisión Nacional de Derechos Humanos, sentando las bases para combatir la desigualdad, la corrupción y la violencia en nuestro país. Los Derechos Humanos están garantizados para toda la ciudadanía, sin distinciones; sin importar color, religión, inclinación política, sexo, lenguaje, origen social, preferencia sexual, nacionalidad.</w:t>
      </w:r>
    </w:p>
    <w:p w14:paraId="0964B1C2" w14:textId="29847762"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lastRenderedPageBreak/>
        <w:t>La defensa de los derechos humanos nos convierte en protagonistas y vigilantes de los mismos, es una acción colectiva, un compromiso de transformación social, construyendo lazos que fomenten la participación ciudadana ejerciéndolos.</w:t>
      </w:r>
    </w:p>
    <w:p w14:paraId="7177B666" w14:textId="59E4A831"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En nuestro país, estado y municipio, es importante promover una cultura de la legalidad que respalde y promueva los principios de la justicia, la igualdad y la seguridad, y que fomente la transparencia, la rendición de cuentas y la participación ciudadana. En ese entendido, el estado de derecho se refiere a un sistema político y jurídico en el que el poder está limitado por la ley y los derechos fundamentales de los ciudadanos están protegidos.</w:t>
      </w:r>
    </w:p>
    <w:p w14:paraId="65EBCA9F" w14:textId="3415457B"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Respecto a la cultura de la legalidad se refiere a la actitud y el comportamiento de los ciudadanos y las instituciones hacia la ley y el estado de derecho. El estado de derecho y la cultura de la legalidad están estrechamente relacionados. </w:t>
      </w:r>
    </w:p>
    <w:p w14:paraId="3F02B815" w14:textId="2F1745D1"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Un estado de derecho fuerte requiere una cultura de la legalidad que respalde y promueva los principios de </w:t>
      </w:r>
      <w:r w:rsidRPr="006E1C87">
        <w:rPr>
          <w:rFonts w:ascii="Century Gothic" w:hAnsi="Century Gothic"/>
          <w:bCs/>
          <w:sz w:val="22"/>
          <w:szCs w:val="22"/>
        </w:rPr>
        <w:t>la justicia, la igualdad y la seguridad; en contraste provoca corrupción, impunidad y desconfianza.</w:t>
      </w:r>
    </w:p>
    <w:p w14:paraId="14F92ECB" w14:textId="2ADE3D5E"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Actualmente el Ayuntamiento cuenta con una Defensoría de los Derechos Humanos que se encarga de recibir, analizar y dar seguimiento a las quejas, presuntas violaciones de los derechos humanos de la población. Mejorar las instituciones para asegurar la protección y atención a las víctimas de abusos por parte de las autoridades es un asunto pendiente y que requiere urgente atención, esto permitirá avanzar en las metas 16.5, 16.7, 16.10 y 16.b de la Agenda 2030.</w:t>
      </w:r>
    </w:p>
    <w:p w14:paraId="1FF4E8E4" w14:textId="2BEC0D0D"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El Ayuntamiento en materia de derechos humanos, debe garantizar el respeto a los derechos humanos, conforme a los principios de universalidad, interdependencia, indivisibilidad y progresividad; establecer las medidas conducentes para prevenir y erradicar la discriminación motivada por origen étnico o nacionalidad, género, edad, discapacidad, condición social, salud, religión, opinión, preferencia sexual, estado civil o cualquier otra que atente contra la dignidad humana y tenga por objeto privar o menoscabar los derechos y libertades de las personas; impulsar </w:t>
      </w:r>
      <w:r w:rsidRPr="006E1C87">
        <w:rPr>
          <w:rFonts w:ascii="Century Gothic" w:hAnsi="Century Gothic"/>
          <w:bCs/>
          <w:sz w:val="22"/>
          <w:szCs w:val="22"/>
        </w:rPr>
        <w:lastRenderedPageBreak/>
        <w:t xml:space="preserve">programas que difundan los derechos humanos; atender las recomendaciones que emitan los organismos de Derechos Humanos, en especial cuando estén vinculadas a derechos de niñas, niños, adolescentes y adultos mayores; capacitar a los servidores públicos de la Administración Pública Municipal en materia de derechos humanos; prevenir e investigar las violaciones a los derechos humanos, así como procurar la reparación de los daños causados que determinen las disposiciones correspondientes; proteger y tutelar los derechos de niñas, niños y adolescentes conforme a los principios de interés superior de la niñez, transversalidad en las políticas públicas, principio por persona, inclusión, universalidad, interdependencia, indivisibilidad, progresividad e integralidad; promover las medidas pertinentes para establecer los derechos de prioridad y participación de niñas, niños y adolescentes en la toma de decisiones de políticas públicas relativas a la niñez y la juventud; en las cuales  serán escuchados y tomados en cuenta para tal fin; impulsar programas que difundan los derechos de la infancia y adolescencia, observando la inclusión y participación de niñas, niños y adolescentes y prevenir vulneraciones a los derechos de la infancia y </w:t>
      </w:r>
      <w:r w:rsidRPr="006E1C87">
        <w:rPr>
          <w:rFonts w:ascii="Century Gothic" w:hAnsi="Century Gothic"/>
          <w:bCs/>
          <w:sz w:val="22"/>
          <w:szCs w:val="22"/>
        </w:rPr>
        <w:t>adolescencia, asistiendo en su caso a las víctimas para que, a través de las instancias competentes, sean restituidas en sus derechos, atendiendo a los principios de transversalidad e integridad.</w:t>
      </w:r>
    </w:p>
    <w:p w14:paraId="71CD0BAA" w14:textId="19BD81AB"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El gobierno municipal, en el ámbito de nuestras competencias, ha asumido la obligación de promover, respetar, proteger y garantizar los derechos humanos, mediante las siguientes actividades: instalación del módulo de visitaduría itinerante para las localidades del municipio, con servicios de asesoría jurídica y recepción de quejas por probables violaciones a derechos humanos. Se imparten mesas de diálogo en centros educativos dirigidos a estudiantes, padres de familia, adultos mayores y personas en situación de discapacidad en temas como: derechos humanos de las personas adultas mayores, prevención de adicciones, escuela para padres, violencia de género, derechos humanos de las mujeres indígenas, racismo, no discriminación, acoso</w:t>
      </w:r>
      <w:r w:rsidRPr="006E1C87">
        <w:rPr>
          <w:rFonts w:ascii="Century Gothic" w:hAnsi="Century Gothic"/>
          <w:sz w:val="22"/>
          <w:szCs w:val="22"/>
        </w:rPr>
        <w:t xml:space="preserve"> </w:t>
      </w:r>
      <w:r w:rsidRPr="006E1C87">
        <w:rPr>
          <w:rFonts w:ascii="Century Gothic" w:hAnsi="Century Gothic"/>
          <w:bCs/>
          <w:sz w:val="22"/>
          <w:szCs w:val="22"/>
        </w:rPr>
        <w:t>y derechos humanos de la niñez y se realizan diversas pláticas de sensibilización con temas como autoestima, no discriminación y convivencia escolar.</w:t>
      </w:r>
    </w:p>
    <w:p w14:paraId="1D1BF441" w14:textId="560F7C49" w:rsidR="006E1C87" w:rsidRPr="00B30646" w:rsidRDefault="006E1C87" w:rsidP="006E1C87">
      <w:pPr>
        <w:pStyle w:val="Prrafodelista"/>
        <w:widowControl w:val="0"/>
        <w:numPr>
          <w:ilvl w:val="0"/>
          <w:numId w:val="16"/>
        </w:numPr>
        <w:autoSpaceDE w:val="0"/>
        <w:autoSpaceDN w:val="0"/>
        <w:spacing w:after="0" w:line="360" w:lineRule="auto"/>
        <w:jc w:val="both"/>
        <w:rPr>
          <w:rFonts w:ascii="Century Gothic" w:hAnsi="Century Gothic"/>
          <w:b/>
          <w:color w:val="025850"/>
          <w:sz w:val="22"/>
          <w:szCs w:val="22"/>
        </w:rPr>
      </w:pPr>
      <w:r w:rsidRPr="006E1C87">
        <w:rPr>
          <w:rFonts w:ascii="Century Gothic" w:hAnsi="Century Gothic"/>
          <w:b/>
          <w:color w:val="025850"/>
          <w:sz w:val="22"/>
          <w:szCs w:val="22"/>
        </w:rPr>
        <w:lastRenderedPageBreak/>
        <w:t>Coordinación municipal e interestatal</w:t>
      </w:r>
    </w:p>
    <w:p w14:paraId="523BF7B5" w14:textId="2A6996BF"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En una sociedad cada vez más crítica que demanda a la administración pública municipal que se atiendan sus necesidades con oportunidad, calidad y excelencia, es necesario hacer cada vez más eficientes los procesos administrativos en los diferentes niveles de gobierno, además de hacer uso adecuado de los recursos, para así alcanzar las metas planteadas y generar confianza en los ciudadanos. </w:t>
      </w:r>
    </w:p>
    <w:p w14:paraId="069EE1F0" w14:textId="2FC8E28C"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De esta manera, a nivel municipal, disponer de las capacidades institucionales necesarias para lograr resultados con mayor impacto en beneficio de la población se ha vuelto cada vez más importante en los últimos años. Para ello, es fundamental determinar si los municipios cuentan con los instrumentos jurídico-administrativos necesarios, así como los recursos humanos, financieros, organizacionales y de equipamiento suficientes y adecuados para satisfacer las demandas ciudadanas. </w:t>
      </w:r>
    </w:p>
    <w:p w14:paraId="13F14AAA" w14:textId="48A7E170"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Los Manuales de Organización y Procedimientos son instrumentos administrativos esenciales para la gestión pública porque hacen visible la operación de las </w:t>
      </w:r>
      <w:r w:rsidRPr="006E1C87">
        <w:rPr>
          <w:rFonts w:ascii="Century Gothic" w:hAnsi="Century Gothic"/>
          <w:bCs/>
          <w:sz w:val="22"/>
          <w:szCs w:val="22"/>
        </w:rPr>
        <w:t xml:space="preserve">entidades gubernamentales y porque hacen evidente la conexión de su estructura organizacional con sus usuarios internos y externos, a través de las atribuciones que generan procesos, procedimientos y actividades específicas. </w:t>
      </w:r>
    </w:p>
    <w:p w14:paraId="25F09460" w14:textId="34C6E7C5"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Desde el punto de vista organizacional, la elaboración de estos manuales supone un ejercicio de simplificación de los procesos administrativos que debe hacer más ágil y eficiente la operación de las organizaciones. </w:t>
      </w:r>
    </w:p>
    <w:p w14:paraId="4DF88DDF" w14:textId="6B805196"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Desde el punto de vista legal, los Manuales de Organización y Procedimientos están destinados a llenar el vacío normativo que existe entre las definiciones que se establecen en los Reglamentos Internos y la generación de actos administrativamente válidos. Asimismo, establece una distribución vertical de responsabilidades, a lo largo de la cadena de mando y horizontal entre las unidades</w:t>
      </w:r>
      <w:r w:rsidRPr="006E1C87">
        <w:rPr>
          <w:rFonts w:ascii="Century Gothic" w:hAnsi="Century Gothic"/>
          <w:w w:val="90"/>
          <w:sz w:val="22"/>
          <w:szCs w:val="22"/>
        </w:rPr>
        <w:t xml:space="preserve"> </w:t>
      </w:r>
      <w:r w:rsidRPr="006E1C87">
        <w:rPr>
          <w:rFonts w:ascii="Century Gothic" w:hAnsi="Century Gothic"/>
          <w:bCs/>
          <w:sz w:val="22"/>
          <w:szCs w:val="22"/>
        </w:rPr>
        <w:t xml:space="preserve">administrativas para facilitar la supervisión jerárquica, así como la coordinación y la cooperación tanto en unidades administrativas entre sí, como entre las entidades públicas. </w:t>
      </w:r>
    </w:p>
    <w:p w14:paraId="47EE9C5A" w14:textId="4DB64935"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lastRenderedPageBreak/>
        <w:t>En virtud de lo anterior, el municipio deberá considerar la pertinencia de su integración en aquellas áreas donde las necesidades administrativas lo requieran o donde las funciones no se encuentren debidamente fundamentadas, lo que requerirá de una profunda revisión de las áreas, tanto en sus aspectos más generales como en aquellas funciones de mayor complejidad administrativa.</w:t>
      </w:r>
    </w:p>
    <w:p w14:paraId="66E391F2" w14:textId="7E52C5E5" w:rsidR="006E1C87" w:rsidRPr="006E1C87" w:rsidRDefault="006E1C87" w:rsidP="00B30646">
      <w:pPr>
        <w:spacing w:line="360" w:lineRule="auto"/>
        <w:ind w:firstLine="708"/>
        <w:jc w:val="both"/>
        <w:rPr>
          <w:rFonts w:ascii="Century Gothic" w:hAnsi="Century Gothic"/>
          <w:bCs/>
          <w:sz w:val="22"/>
          <w:szCs w:val="22"/>
        </w:rPr>
      </w:pPr>
      <w:r w:rsidRPr="006E1C87">
        <w:rPr>
          <w:rFonts w:ascii="Century Gothic" w:hAnsi="Century Gothic"/>
          <w:bCs/>
          <w:sz w:val="22"/>
          <w:szCs w:val="22"/>
        </w:rPr>
        <w:t>Referente a la profesionalización de los servidores públicos, significa la preparación antes y durante el desempeño del servidor público, para que cuente con las herramientas necesarias que le permitan actuar con el mayor nivel de eficiencia, eficacia y efectividad.</w:t>
      </w:r>
    </w:p>
    <w:p w14:paraId="40FD74CB" w14:textId="65234B85"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Es una realidad que en el orden municipal se presentan insuficiencias que debilitan la profesionalización del servicio público, a causa, de la elevada rotación del personal, los bajos niveles educativos de algunas de las personas que ocupan puestos de gobierno, así como la escasa o nula experiencia previa en las funciones propias que desempeñan los miembros de los ayuntamientos y de las administraciones públicas municipales.</w:t>
      </w:r>
    </w:p>
    <w:p w14:paraId="16EB9A9C" w14:textId="2B1FCEF1" w:rsidR="006E1C87" w:rsidRPr="006E1C87" w:rsidRDefault="006E1C87" w:rsidP="00B30646">
      <w:pPr>
        <w:spacing w:line="360" w:lineRule="auto"/>
        <w:ind w:firstLine="708"/>
        <w:jc w:val="both"/>
        <w:rPr>
          <w:rFonts w:ascii="Century Gothic" w:hAnsi="Century Gothic"/>
          <w:bCs/>
          <w:sz w:val="22"/>
          <w:szCs w:val="22"/>
        </w:rPr>
      </w:pPr>
      <w:r w:rsidRPr="006E1C87">
        <w:rPr>
          <w:rFonts w:ascii="Century Gothic" w:hAnsi="Century Gothic"/>
          <w:bCs/>
          <w:sz w:val="22"/>
          <w:szCs w:val="22"/>
        </w:rPr>
        <w:t>En el censo se informa que los ayuntamientos se integraron por 20,138 síndicos y regidores, de ellos, el 27% de los síndicos y 28% de los regidores tuvieron como empleo anterior un negocio propio, mientras que solo el 10% de los síndicos y el 14% de los regidores reportaron como su empleo anterior un cargo municipal.</w:t>
      </w:r>
    </w:p>
    <w:p w14:paraId="26D99CBB" w14:textId="16152248"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 xml:space="preserve">Ante dicha problemática, el Instituto Nacional para el Federalismo y el Desarrollo Municipal (INAFED) considera de vital importancia el desarrollo del personal que se desempeña funciones municipales y lo asume como un gran reto que requiere el trabajo coordinado de los tres órdenes de gobierno y del sector académico, con el objetivo de contribuir al fortalecimiento institucional de los gobiernos municipales a través de la profesionalización del servicio público local. </w:t>
      </w:r>
    </w:p>
    <w:p w14:paraId="1350C8B4" w14:textId="43D0EC63" w:rsidR="006E1C87" w:rsidRPr="006E1C87" w:rsidRDefault="006E1C87" w:rsidP="006E1C87">
      <w:pPr>
        <w:spacing w:line="360" w:lineRule="auto"/>
        <w:ind w:firstLine="708"/>
        <w:jc w:val="both"/>
        <w:rPr>
          <w:rFonts w:ascii="Century Gothic" w:hAnsi="Century Gothic"/>
          <w:sz w:val="22"/>
          <w:szCs w:val="22"/>
        </w:rPr>
      </w:pPr>
      <w:r w:rsidRPr="006E1C87">
        <w:rPr>
          <w:rFonts w:ascii="Century Gothic" w:hAnsi="Century Gothic"/>
          <w:bCs/>
          <w:sz w:val="22"/>
          <w:szCs w:val="22"/>
        </w:rPr>
        <w:t xml:space="preserve">Para ello, el INAFED ha desarrollado un programa de profesionalización y capacitación con el objetivo de fortalecer las capacidades institucionales de los gobiernos municipales por medio de la implementación de acciones de capacitación para los servidores públicos, con el propósito de aportar los elementos necesarios para que ejerzan sus  actividades con un </w:t>
      </w:r>
      <w:r w:rsidRPr="006E1C87">
        <w:rPr>
          <w:rFonts w:ascii="Century Gothic" w:hAnsi="Century Gothic"/>
          <w:bCs/>
          <w:sz w:val="22"/>
          <w:szCs w:val="22"/>
        </w:rPr>
        <w:lastRenderedPageBreak/>
        <w:t>óptimo nivel de conocimiento, calidad y eficiencia en los resultados; dicho programa está diseñado para impartirse en las modalidades de capacitación presencial, semipresencial y virtual. En cuanto a los resultados obtenidos, el INAFED atendió con servicios de profesionalización y capacitación a </w:t>
      </w:r>
      <w:r w:rsidRPr="006E1C87">
        <w:rPr>
          <w:rFonts w:ascii="Century Gothic" w:hAnsi="Century Gothic"/>
          <w:sz w:val="22"/>
          <w:szCs w:val="22"/>
        </w:rPr>
        <w:t>2,072 municipios y capacitó a 16,092 servidores públicos locales, de 31 entidades federativas, con un 87% de cobertura a nivel nacional.</w:t>
      </w:r>
    </w:p>
    <w:p w14:paraId="65C3D152" w14:textId="35D0C9EE"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En este sentido, se debe propiciar una relación de colaboración y coordinación permanente con las autoridades municipales, quienes son el primer contacto para atender las necesidades de la población, por lo que se deben implementar acciones tendientes a desarrollar sus capacidades administrativas, técnicas y de gestión; destacando la profesionalización de los servidores públicos, la incorporación a programas que les permitan generar un diagnóstico sobre su desempeño, establecer acciones de mejora continua de la gestión, así como impulsar la implementación de buenas prácticas administrativas y de Gobie</w:t>
      </w:r>
      <w:r>
        <w:rPr>
          <w:rFonts w:ascii="Century Gothic" w:hAnsi="Century Gothic"/>
          <w:bCs/>
          <w:sz w:val="22"/>
          <w:szCs w:val="22"/>
        </w:rPr>
        <w:t>r</w:t>
      </w:r>
      <w:r w:rsidRPr="006E1C87">
        <w:rPr>
          <w:rFonts w:ascii="Century Gothic" w:hAnsi="Century Gothic"/>
          <w:bCs/>
          <w:sz w:val="22"/>
          <w:szCs w:val="22"/>
        </w:rPr>
        <w:t xml:space="preserve">no. </w:t>
      </w:r>
    </w:p>
    <w:p w14:paraId="24423485" w14:textId="77777777" w:rsidR="006E1C87" w:rsidRPr="006E1C87" w:rsidRDefault="006E1C87" w:rsidP="006E1C87">
      <w:pPr>
        <w:spacing w:line="360" w:lineRule="auto"/>
        <w:ind w:firstLine="708"/>
        <w:jc w:val="both"/>
        <w:rPr>
          <w:rFonts w:ascii="Century Gothic" w:hAnsi="Century Gothic"/>
          <w:bCs/>
          <w:sz w:val="22"/>
          <w:szCs w:val="22"/>
        </w:rPr>
      </w:pPr>
      <w:r w:rsidRPr="006E1C87">
        <w:rPr>
          <w:rFonts w:ascii="Century Gothic" w:hAnsi="Century Gothic"/>
          <w:bCs/>
          <w:sz w:val="22"/>
          <w:szCs w:val="22"/>
        </w:rPr>
        <w:t>De acuerdo con el directorio de servidoras y servidores públicos del Gobierno del Estado de México, de los 23 presidentes municipales de la Zona V: Valle de Toluca, 5 de ellos tienen un nivel escolar inferior a licenciatura; mientras que 18 tienen una licenciatura o un grado superior.</w:t>
      </w:r>
    </w:p>
    <w:p w14:paraId="3BF0F72B" w14:textId="7C94D4E2" w:rsidR="006E1C87" w:rsidRPr="006E1C87" w:rsidRDefault="006E1C87" w:rsidP="006E1C87">
      <w:pPr>
        <w:spacing w:line="360" w:lineRule="auto"/>
        <w:jc w:val="center"/>
        <w:rPr>
          <w:rFonts w:ascii="Century Gothic" w:hAnsi="Century Gothic"/>
          <w:sz w:val="22"/>
          <w:szCs w:val="22"/>
        </w:rPr>
      </w:pPr>
      <w:r>
        <w:rPr>
          <w:rFonts w:ascii="Century Gothic" w:hAnsi="Century Gothic"/>
          <w:noProof/>
          <w:sz w:val="22"/>
          <w:szCs w:val="22"/>
        </w:rPr>
        <w:drawing>
          <wp:inline distT="0" distB="0" distL="0" distR="0" wp14:anchorId="5D7ECB58" wp14:editId="2FDA27F0">
            <wp:extent cx="3173506" cy="1865930"/>
            <wp:effectExtent l="0" t="0" r="8255"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26439" cy="1897053"/>
                    </a:xfrm>
                    <a:prstGeom prst="rect">
                      <a:avLst/>
                    </a:prstGeom>
                    <a:noFill/>
                  </pic:spPr>
                </pic:pic>
              </a:graphicData>
            </a:graphic>
          </wp:inline>
        </w:drawing>
      </w:r>
    </w:p>
    <w:p w14:paraId="39C72BD1" w14:textId="7FE46540" w:rsidR="0097693A" w:rsidRPr="0097693A" w:rsidRDefault="0097693A" w:rsidP="0097693A">
      <w:pPr>
        <w:spacing w:line="360" w:lineRule="auto"/>
        <w:ind w:firstLine="708"/>
        <w:jc w:val="both"/>
        <w:rPr>
          <w:rFonts w:ascii="Century Gothic" w:hAnsi="Century Gothic"/>
          <w:sz w:val="22"/>
          <w:szCs w:val="22"/>
        </w:rPr>
      </w:pPr>
      <w:r w:rsidRPr="0097693A">
        <w:rPr>
          <w:rFonts w:ascii="Century Gothic" w:hAnsi="Century Gothic"/>
          <w:sz w:val="22"/>
          <w:szCs w:val="22"/>
        </w:rPr>
        <w:t xml:space="preserve">Aunado a lo anterior, en el Censo Nacional de Gobiernos Municipales y Demarcaciones Territoriales de la Ciudad de México 2023, se identifica al personal adscrito a las instituciones de la administración pública, por municipio o demarcación territorial, según su nivel de escolaridad. De este, destaca que el 75% de los servidores públicos de los municipios de la Zona V: Valle de Toluca </w:t>
      </w:r>
      <w:r w:rsidRPr="0097693A">
        <w:rPr>
          <w:rFonts w:ascii="Century Gothic" w:hAnsi="Century Gothic"/>
          <w:sz w:val="22"/>
          <w:szCs w:val="22"/>
        </w:rPr>
        <w:lastRenderedPageBreak/>
        <w:t>cuentan con un nivel escolar menor a licenciatura, y el 25% cuenta con un nivel de licenciatura o mayor.</w:t>
      </w:r>
    </w:p>
    <w:p w14:paraId="03368FB8" w14:textId="780D3F9C" w:rsidR="0097693A" w:rsidRPr="0097693A" w:rsidRDefault="0097693A" w:rsidP="0097693A">
      <w:pPr>
        <w:spacing w:line="360" w:lineRule="auto"/>
        <w:ind w:firstLine="708"/>
        <w:jc w:val="both"/>
        <w:rPr>
          <w:rFonts w:ascii="Century Gothic" w:hAnsi="Century Gothic"/>
          <w:sz w:val="22"/>
          <w:szCs w:val="22"/>
        </w:rPr>
      </w:pPr>
      <w:r w:rsidRPr="0097693A">
        <w:rPr>
          <w:rFonts w:ascii="Century Gothic" w:hAnsi="Century Gothic"/>
          <w:sz w:val="22"/>
          <w:szCs w:val="22"/>
        </w:rPr>
        <w:t xml:space="preserve">Este indicador es muy importante, ya que la profesionalización de los servidores públicos propiciaría a los municipios un posible desarrollo y calidad en el servicio, un proceso de incentivos al desempeño laboral, así mismo minimizaría los riesgos de escasa calidad en la prestación de los servicios públicos. </w:t>
      </w:r>
    </w:p>
    <w:p w14:paraId="71347436" w14:textId="06F7D438" w:rsidR="0097693A" w:rsidRPr="0097693A" w:rsidRDefault="0097693A" w:rsidP="0097693A">
      <w:pPr>
        <w:spacing w:line="360" w:lineRule="auto"/>
        <w:ind w:firstLine="708"/>
        <w:jc w:val="both"/>
        <w:rPr>
          <w:rFonts w:ascii="Century Gothic" w:hAnsi="Century Gothic"/>
          <w:sz w:val="22"/>
          <w:szCs w:val="22"/>
        </w:rPr>
      </w:pPr>
      <w:r w:rsidRPr="0097693A">
        <w:rPr>
          <w:rFonts w:ascii="Century Gothic" w:hAnsi="Century Gothic"/>
          <w:sz w:val="22"/>
          <w:szCs w:val="22"/>
        </w:rPr>
        <w:t>Con ello, se lograría reconstruir la confianza y contar con servicios públicos, así como fomentar la innovación, eficacia y eficiencia de los servidores públicos. Así pues, un Gobierno democrático debe contribuir la confianza de la ciudadanía, asegurando su bienestar, tomando las mejores decisiones, actuando conforme a la ley y al mismo tiempo siendo transparentes, es decir, abierto a la rendición de cuentas.</w:t>
      </w:r>
    </w:p>
    <w:p w14:paraId="395DCCB2" w14:textId="6C9517B2" w:rsidR="0097693A" w:rsidRPr="0097693A" w:rsidRDefault="0097693A" w:rsidP="0097693A">
      <w:pPr>
        <w:spacing w:line="360" w:lineRule="auto"/>
        <w:ind w:firstLine="708"/>
        <w:jc w:val="both"/>
        <w:rPr>
          <w:rFonts w:ascii="Century Gothic" w:hAnsi="Century Gothic"/>
          <w:bCs/>
          <w:sz w:val="22"/>
          <w:szCs w:val="22"/>
        </w:rPr>
      </w:pPr>
      <w:r w:rsidRPr="0097693A">
        <w:rPr>
          <w:rFonts w:ascii="Century Gothic" w:hAnsi="Century Gothic"/>
          <w:bCs/>
          <w:sz w:val="22"/>
          <w:szCs w:val="22"/>
        </w:rPr>
        <w:t>Para garantizar la certidumbre en la orientación y programación de acciones en el ejercicio de los recursos públicos, se establecen e identifican las bases para la instrumentación del Plan de Desarrollo Municipal, enfocándonos en:</w:t>
      </w:r>
    </w:p>
    <w:p w14:paraId="5E828F3F" w14:textId="77777777" w:rsidR="0097693A" w:rsidRPr="0097693A" w:rsidRDefault="0097693A" w:rsidP="005A1ADF">
      <w:pPr>
        <w:pStyle w:val="Prrafodelista"/>
        <w:widowControl w:val="0"/>
        <w:numPr>
          <w:ilvl w:val="0"/>
          <w:numId w:val="17"/>
        </w:numPr>
        <w:autoSpaceDE w:val="0"/>
        <w:autoSpaceDN w:val="0"/>
        <w:spacing w:after="0" w:line="360" w:lineRule="auto"/>
        <w:jc w:val="both"/>
        <w:rPr>
          <w:rFonts w:ascii="Century Gothic" w:hAnsi="Century Gothic"/>
          <w:bCs/>
          <w:sz w:val="22"/>
          <w:szCs w:val="22"/>
        </w:rPr>
      </w:pPr>
      <w:r w:rsidRPr="0097693A">
        <w:rPr>
          <w:rFonts w:ascii="Century Gothic" w:hAnsi="Century Gothic"/>
          <w:bCs/>
          <w:sz w:val="22"/>
          <w:szCs w:val="22"/>
        </w:rPr>
        <w:t>PbRM-01a “Dimensión Administrativa del Gasto</w:t>
      </w:r>
    </w:p>
    <w:p w14:paraId="51BE41C5" w14:textId="77777777" w:rsidR="0097693A" w:rsidRPr="0097693A" w:rsidRDefault="0097693A" w:rsidP="005A1ADF">
      <w:pPr>
        <w:pStyle w:val="Prrafodelista"/>
        <w:widowControl w:val="0"/>
        <w:numPr>
          <w:ilvl w:val="0"/>
          <w:numId w:val="17"/>
        </w:numPr>
        <w:autoSpaceDE w:val="0"/>
        <w:autoSpaceDN w:val="0"/>
        <w:spacing w:after="0" w:line="360" w:lineRule="auto"/>
        <w:jc w:val="both"/>
        <w:rPr>
          <w:rFonts w:ascii="Century Gothic" w:hAnsi="Century Gothic"/>
          <w:bCs/>
          <w:sz w:val="22"/>
          <w:szCs w:val="22"/>
        </w:rPr>
      </w:pPr>
      <w:r w:rsidRPr="0097693A">
        <w:rPr>
          <w:rFonts w:ascii="Century Gothic" w:hAnsi="Century Gothic"/>
          <w:bCs/>
          <w:sz w:val="22"/>
          <w:szCs w:val="22"/>
        </w:rPr>
        <w:t>PbRM-01b “Descripción del Programa presupuestario” PbRM-01c “Metas de actividad por Proyecto”</w:t>
      </w:r>
    </w:p>
    <w:p w14:paraId="0AEE1343" w14:textId="77777777" w:rsidR="0097693A" w:rsidRPr="0097693A" w:rsidRDefault="0097693A" w:rsidP="005A1ADF">
      <w:pPr>
        <w:pStyle w:val="Prrafodelista"/>
        <w:widowControl w:val="0"/>
        <w:numPr>
          <w:ilvl w:val="0"/>
          <w:numId w:val="17"/>
        </w:numPr>
        <w:autoSpaceDE w:val="0"/>
        <w:autoSpaceDN w:val="0"/>
        <w:spacing w:after="0" w:line="360" w:lineRule="auto"/>
        <w:jc w:val="both"/>
        <w:rPr>
          <w:rFonts w:ascii="Century Gothic" w:hAnsi="Century Gothic"/>
          <w:bCs/>
          <w:sz w:val="22"/>
          <w:szCs w:val="22"/>
        </w:rPr>
      </w:pPr>
      <w:r w:rsidRPr="0097693A">
        <w:rPr>
          <w:rFonts w:ascii="Century Gothic" w:hAnsi="Century Gothic"/>
          <w:bCs/>
          <w:sz w:val="22"/>
          <w:szCs w:val="22"/>
        </w:rPr>
        <w:t>PbRM-01d “Ficha técnica de diseño de indicadores estratégicos o de gestión 2019”.</w:t>
      </w:r>
    </w:p>
    <w:p w14:paraId="5984AB2E" w14:textId="4E42EEA0" w:rsidR="0097693A" w:rsidRPr="0097693A" w:rsidRDefault="0097693A" w:rsidP="005A1ADF">
      <w:pPr>
        <w:pStyle w:val="Prrafodelista"/>
        <w:widowControl w:val="0"/>
        <w:numPr>
          <w:ilvl w:val="0"/>
          <w:numId w:val="17"/>
        </w:numPr>
        <w:autoSpaceDE w:val="0"/>
        <w:autoSpaceDN w:val="0"/>
        <w:spacing w:after="0" w:line="360" w:lineRule="auto"/>
        <w:jc w:val="both"/>
        <w:rPr>
          <w:rFonts w:ascii="Century Gothic" w:hAnsi="Century Gothic"/>
          <w:bCs/>
          <w:sz w:val="22"/>
          <w:szCs w:val="22"/>
        </w:rPr>
      </w:pPr>
      <w:r w:rsidRPr="0097693A">
        <w:rPr>
          <w:rFonts w:ascii="Century Gothic" w:hAnsi="Century Gothic"/>
          <w:bCs/>
          <w:sz w:val="22"/>
          <w:szCs w:val="22"/>
        </w:rPr>
        <w:t>PbRM-01e “Matriz de Indicadores para Resultados por Programa presupuestario y Dependencia General”.</w:t>
      </w:r>
    </w:p>
    <w:p w14:paraId="51A7F779" w14:textId="12E74C9F" w:rsidR="0097693A" w:rsidRDefault="0097693A" w:rsidP="0097693A">
      <w:pPr>
        <w:spacing w:line="360" w:lineRule="auto"/>
        <w:ind w:firstLine="708"/>
        <w:jc w:val="both"/>
        <w:rPr>
          <w:rFonts w:ascii="Century Gothic" w:hAnsi="Century Gothic"/>
          <w:bCs/>
          <w:sz w:val="22"/>
          <w:szCs w:val="22"/>
        </w:rPr>
      </w:pPr>
      <w:r w:rsidRPr="0097693A">
        <w:rPr>
          <w:rFonts w:ascii="Century Gothic" w:hAnsi="Century Gothic"/>
          <w:bCs/>
          <w:sz w:val="22"/>
          <w:szCs w:val="22"/>
        </w:rPr>
        <w:t>Basándonos en el proceso de presupuesto municipal, ya que antes de la toma de decisiones debemos considerar el proceso presupuestario del Sistema Nacional de Planeación Democrática.</w:t>
      </w:r>
    </w:p>
    <w:p w14:paraId="4E7330A6" w14:textId="77777777" w:rsidR="0097693A" w:rsidRDefault="0097693A">
      <w:pPr>
        <w:rPr>
          <w:rFonts w:ascii="Century Gothic" w:hAnsi="Century Gothic"/>
          <w:bCs/>
          <w:sz w:val="22"/>
          <w:szCs w:val="22"/>
        </w:rPr>
      </w:pPr>
      <w:r>
        <w:rPr>
          <w:rFonts w:ascii="Century Gothic" w:hAnsi="Century Gothic"/>
          <w:bCs/>
          <w:sz w:val="22"/>
          <w:szCs w:val="22"/>
        </w:rPr>
        <w:br w:type="page"/>
      </w:r>
    </w:p>
    <w:p w14:paraId="05FE4B33" w14:textId="77777777" w:rsidR="0097693A" w:rsidRDefault="0097693A" w:rsidP="0097693A">
      <w:pPr>
        <w:spacing w:line="360" w:lineRule="auto"/>
        <w:ind w:firstLine="708"/>
        <w:jc w:val="both"/>
        <w:rPr>
          <w:rFonts w:ascii="Century Gothic" w:hAnsi="Century Gothic"/>
          <w:bCs/>
          <w:sz w:val="22"/>
          <w:szCs w:val="22"/>
        </w:rPr>
        <w:sectPr w:rsidR="0097693A" w:rsidSect="00907363">
          <w:pgSz w:w="15840" w:h="12240" w:orient="landscape"/>
          <w:pgMar w:top="1440" w:right="1440" w:bottom="1440" w:left="1440" w:header="709" w:footer="709" w:gutter="0"/>
          <w:cols w:num="2" w:space="708"/>
          <w:docGrid w:linePitch="360"/>
        </w:sectPr>
      </w:pPr>
    </w:p>
    <w:p w14:paraId="3E3BB04D" w14:textId="6018358C" w:rsidR="0097693A" w:rsidRPr="0097693A" w:rsidRDefault="0097693A" w:rsidP="0097693A">
      <w:pPr>
        <w:spacing w:after="0" w:line="240" w:lineRule="auto"/>
        <w:jc w:val="both"/>
        <w:rPr>
          <w:rFonts w:ascii="Century Gothic" w:hAnsi="Century Gothic"/>
          <w:bCs/>
          <w:color w:val="025850"/>
          <w:sz w:val="22"/>
          <w:szCs w:val="22"/>
        </w:rPr>
      </w:pPr>
      <w:r w:rsidRPr="0097693A">
        <w:rPr>
          <w:rFonts w:ascii="Century Gothic" w:hAnsi="Century Gothic"/>
          <w:b/>
          <w:color w:val="025850"/>
          <w:sz w:val="28"/>
          <w:szCs w:val="28"/>
        </w:rPr>
        <w:lastRenderedPageBreak/>
        <w:t>Análisis Prospectivo</w:t>
      </w:r>
    </w:p>
    <w:tbl>
      <w:tblPr>
        <w:tblStyle w:val="Tablaconcuadrcula4-nfasis2"/>
        <w:tblW w:w="5000" w:type="pct"/>
        <w:tblLook w:val="01E0" w:firstRow="1" w:lastRow="1" w:firstColumn="1" w:lastColumn="1" w:noHBand="0" w:noVBand="0"/>
      </w:tblPr>
      <w:tblGrid>
        <w:gridCol w:w="2406"/>
        <w:gridCol w:w="4678"/>
        <w:gridCol w:w="5866"/>
      </w:tblGrid>
      <w:tr w:rsidR="0097693A" w:rsidRPr="0097693A" w14:paraId="10B29ED8" w14:textId="77777777" w:rsidTr="0097693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929" w:type="pct"/>
          </w:tcPr>
          <w:p w14:paraId="426690A2" w14:textId="77777777" w:rsidR="0097693A" w:rsidRPr="0097693A" w:rsidRDefault="0097693A" w:rsidP="0097693A">
            <w:pPr>
              <w:pStyle w:val="TableParagraph"/>
              <w:spacing w:before="7"/>
              <w:ind w:left="206"/>
              <w:rPr>
                <w:rFonts w:ascii="Century Gothic" w:hAnsi="Century Gothic"/>
                <w:b w:val="0"/>
                <w:sz w:val="16"/>
                <w:szCs w:val="16"/>
              </w:rPr>
            </w:pPr>
            <w:r w:rsidRPr="0097693A">
              <w:rPr>
                <w:rFonts w:ascii="Century Gothic" w:hAnsi="Century Gothic"/>
                <w:w w:val="90"/>
                <w:sz w:val="16"/>
                <w:szCs w:val="16"/>
              </w:rPr>
              <w:t>Tema</w:t>
            </w:r>
            <w:r w:rsidRPr="0097693A">
              <w:rPr>
                <w:rFonts w:ascii="Century Gothic" w:hAnsi="Century Gothic"/>
                <w:spacing w:val="12"/>
                <w:sz w:val="16"/>
                <w:szCs w:val="16"/>
              </w:rPr>
              <w:t xml:space="preserve"> </w:t>
            </w:r>
            <w:r w:rsidRPr="0097693A">
              <w:rPr>
                <w:rFonts w:ascii="Century Gothic" w:hAnsi="Century Gothic"/>
                <w:w w:val="90"/>
                <w:sz w:val="16"/>
                <w:szCs w:val="16"/>
              </w:rPr>
              <w:t>de</w:t>
            </w:r>
            <w:r w:rsidRPr="0097693A">
              <w:rPr>
                <w:rFonts w:ascii="Century Gothic" w:hAnsi="Century Gothic"/>
                <w:spacing w:val="13"/>
                <w:sz w:val="16"/>
                <w:szCs w:val="16"/>
              </w:rPr>
              <w:t xml:space="preserve"> </w:t>
            </w:r>
            <w:r w:rsidRPr="0097693A">
              <w:rPr>
                <w:rFonts w:ascii="Century Gothic" w:hAnsi="Century Gothic"/>
                <w:w w:val="90"/>
                <w:sz w:val="16"/>
                <w:szCs w:val="16"/>
              </w:rPr>
              <w:t>Desarrollo</w:t>
            </w:r>
            <w:r w:rsidRPr="0097693A">
              <w:rPr>
                <w:rFonts w:ascii="Century Gothic" w:hAnsi="Century Gothic"/>
                <w:spacing w:val="15"/>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1806" w:type="pct"/>
          </w:tcPr>
          <w:p w14:paraId="73C76885" w14:textId="77777777" w:rsidR="0097693A" w:rsidRPr="0097693A" w:rsidRDefault="0097693A" w:rsidP="0097693A">
            <w:pPr>
              <w:pStyle w:val="TableParagraph"/>
              <w:spacing w:before="7"/>
              <w:ind w:left="957"/>
              <w:rPr>
                <w:rFonts w:ascii="Century Gothic" w:hAnsi="Century Gothic"/>
                <w:b w:val="0"/>
                <w:sz w:val="16"/>
                <w:szCs w:val="16"/>
              </w:rPr>
            </w:pPr>
            <w:r w:rsidRPr="0097693A">
              <w:rPr>
                <w:rFonts w:ascii="Century Gothic" w:hAnsi="Century Gothic"/>
                <w:w w:val="90"/>
                <w:sz w:val="16"/>
                <w:szCs w:val="16"/>
              </w:rPr>
              <w:t>Escenario</w:t>
            </w:r>
            <w:r w:rsidRPr="0097693A">
              <w:rPr>
                <w:rFonts w:ascii="Century Gothic" w:hAnsi="Century Gothic"/>
                <w:spacing w:val="31"/>
                <w:sz w:val="16"/>
                <w:szCs w:val="16"/>
              </w:rPr>
              <w:t xml:space="preserve"> </w:t>
            </w:r>
            <w:r w:rsidRPr="0097693A">
              <w:rPr>
                <w:rFonts w:ascii="Century Gothic" w:hAnsi="Century Gothic"/>
                <w:spacing w:val="-2"/>
                <w:sz w:val="16"/>
                <w:szCs w:val="16"/>
              </w:rPr>
              <w:t>Tendencial</w:t>
            </w:r>
          </w:p>
        </w:tc>
        <w:tc>
          <w:tcPr>
            <w:cnfStyle w:val="000100000000" w:firstRow="0" w:lastRow="0" w:firstColumn="0" w:lastColumn="1" w:oddVBand="0" w:evenVBand="0" w:oddHBand="0" w:evenHBand="0" w:firstRowFirstColumn="0" w:firstRowLastColumn="0" w:lastRowFirstColumn="0" w:lastRowLastColumn="0"/>
            <w:tcW w:w="2265" w:type="pct"/>
          </w:tcPr>
          <w:p w14:paraId="4401B612" w14:textId="77777777" w:rsidR="0097693A" w:rsidRPr="0097693A" w:rsidRDefault="0097693A" w:rsidP="0097693A">
            <w:pPr>
              <w:pStyle w:val="TableParagraph"/>
              <w:spacing w:before="7"/>
              <w:ind w:left="1727"/>
              <w:jc w:val="both"/>
              <w:rPr>
                <w:rFonts w:ascii="Century Gothic" w:hAnsi="Century Gothic"/>
                <w:b w:val="0"/>
                <w:sz w:val="16"/>
                <w:szCs w:val="16"/>
              </w:rPr>
            </w:pPr>
            <w:r w:rsidRPr="0097693A">
              <w:rPr>
                <w:rFonts w:ascii="Century Gothic" w:hAnsi="Century Gothic"/>
                <w:w w:val="90"/>
                <w:sz w:val="16"/>
                <w:szCs w:val="16"/>
              </w:rPr>
              <w:t>Escenario</w:t>
            </w:r>
            <w:r w:rsidRPr="0097693A">
              <w:rPr>
                <w:rFonts w:ascii="Century Gothic" w:hAnsi="Century Gothic"/>
                <w:spacing w:val="24"/>
                <w:sz w:val="16"/>
                <w:szCs w:val="16"/>
              </w:rPr>
              <w:t xml:space="preserve"> </w:t>
            </w:r>
            <w:r w:rsidRPr="0097693A">
              <w:rPr>
                <w:rFonts w:ascii="Century Gothic" w:hAnsi="Century Gothic"/>
                <w:spacing w:val="-2"/>
                <w:sz w:val="16"/>
                <w:szCs w:val="16"/>
              </w:rPr>
              <w:t>Factible</w:t>
            </w:r>
          </w:p>
        </w:tc>
      </w:tr>
      <w:tr w:rsidR="0097693A" w:rsidRPr="0097693A" w14:paraId="3C9CE010" w14:textId="77777777" w:rsidTr="0097693A">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929" w:type="pct"/>
          </w:tcPr>
          <w:p w14:paraId="2F8470D4" w14:textId="77777777" w:rsidR="0097693A" w:rsidRPr="0097693A" w:rsidRDefault="0097693A" w:rsidP="0097693A">
            <w:pPr>
              <w:pStyle w:val="TableParagraph"/>
              <w:spacing w:before="2"/>
              <w:ind w:left="107"/>
              <w:rPr>
                <w:rFonts w:ascii="Century Gothic" w:hAnsi="Century Gothic"/>
                <w:sz w:val="16"/>
                <w:szCs w:val="16"/>
              </w:rPr>
            </w:pPr>
            <w:r w:rsidRPr="0097693A">
              <w:rPr>
                <w:rFonts w:ascii="Century Gothic" w:hAnsi="Century Gothic"/>
                <w:sz w:val="16"/>
                <w:szCs w:val="16"/>
              </w:rPr>
              <w:t>Un gobierno cercano a la gente, “el poder de servir</w:t>
            </w:r>
          </w:p>
        </w:tc>
        <w:tc>
          <w:tcPr>
            <w:cnfStyle w:val="000010000000" w:firstRow="0" w:lastRow="0" w:firstColumn="0" w:lastColumn="0" w:oddVBand="1" w:evenVBand="0" w:oddHBand="0" w:evenHBand="0" w:firstRowFirstColumn="0" w:firstRowLastColumn="0" w:lastRowFirstColumn="0" w:lastRowLastColumn="0"/>
            <w:tcW w:w="1806" w:type="pct"/>
          </w:tcPr>
          <w:p w14:paraId="06E93CE0" w14:textId="44954779" w:rsidR="0097693A" w:rsidRPr="0097693A" w:rsidRDefault="0097693A" w:rsidP="0097693A">
            <w:pPr>
              <w:pStyle w:val="TableParagraph"/>
              <w:ind w:left="108"/>
              <w:jc w:val="both"/>
              <w:rPr>
                <w:rFonts w:ascii="Century Gothic" w:hAnsi="Century Gothic"/>
                <w:sz w:val="16"/>
                <w:szCs w:val="16"/>
              </w:rPr>
            </w:pPr>
            <w:r w:rsidRPr="0097693A">
              <w:rPr>
                <w:rFonts w:ascii="Century Gothic" w:hAnsi="Century Gothic"/>
                <w:sz w:val="16"/>
                <w:szCs w:val="16"/>
              </w:rPr>
              <w:t xml:space="preserve">La ausencia de información </w:t>
            </w:r>
            <w:r w:rsidR="00B30646" w:rsidRPr="0097693A">
              <w:rPr>
                <w:rFonts w:ascii="Century Gothic" w:hAnsi="Century Gothic"/>
                <w:sz w:val="16"/>
                <w:szCs w:val="16"/>
              </w:rPr>
              <w:t>suficiente</w:t>
            </w:r>
            <w:r w:rsidRPr="0097693A">
              <w:rPr>
                <w:rFonts w:ascii="Century Gothic" w:hAnsi="Century Gothic"/>
                <w:sz w:val="16"/>
                <w:szCs w:val="16"/>
              </w:rPr>
              <w:t xml:space="preserve"> provoca los vacíos en la comprensión pública, y aquellos que desconfían de su gobierno o de las élites políticas pueden no estar dispuestos a confiar en las comunicaciones oficiales sobre los asuntos públicos.</w:t>
            </w:r>
          </w:p>
        </w:tc>
        <w:tc>
          <w:tcPr>
            <w:cnfStyle w:val="000100000000" w:firstRow="0" w:lastRow="0" w:firstColumn="0" w:lastColumn="1" w:oddVBand="0" w:evenVBand="0" w:oddHBand="0" w:evenHBand="0" w:firstRowFirstColumn="0" w:firstRowLastColumn="0" w:lastRowFirstColumn="0" w:lastRowLastColumn="0"/>
            <w:tcW w:w="2265" w:type="pct"/>
          </w:tcPr>
          <w:p w14:paraId="3CD11845" w14:textId="77777777" w:rsidR="0097693A" w:rsidRPr="0097693A" w:rsidRDefault="0097693A" w:rsidP="0097693A">
            <w:pPr>
              <w:pStyle w:val="TableParagraph"/>
              <w:spacing w:before="2"/>
              <w:ind w:left="107" w:right="201"/>
              <w:jc w:val="both"/>
              <w:rPr>
                <w:rFonts w:ascii="Century Gothic" w:hAnsi="Century Gothic"/>
                <w:sz w:val="16"/>
                <w:szCs w:val="16"/>
              </w:rPr>
            </w:pPr>
            <w:r w:rsidRPr="0097693A">
              <w:rPr>
                <w:rFonts w:ascii="Century Gothic" w:hAnsi="Century Gothic"/>
                <w:w w:val="95"/>
                <w:sz w:val="16"/>
                <w:szCs w:val="16"/>
              </w:rPr>
              <w:t>La confianza es algo que se construye vía resultados y procesos mediante dar respuesta a la gente, y mediante la toma de decisión en los que aquellos que van a ser afectados por las decisiones puedan tener la posibilidad de participar</w:t>
            </w:r>
          </w:p>
        </w:tc>
      </w:tr>
      <w:tr w:rsidR="0097693A" w:rsidRPr="0097693A" w14:paraId="0C371CE7" w14:textId="77777777" w:rsidTr="0097693A">
        <w:trPr>
          <w:trHeight w:val="1271"/>
        </w:trPr>
        <w:tc>
          <w:tcPr>
            <w:cnfStyle w:val="001000000000" w:firstRow="0" w:lastRow="0" w:firstColumn="1" w:lastColumn="0" w:oddVBand="0" w:evenVBand="0" w:oddHBand="0" w:evenHBand="0" w:firstRowFirstColumn="0" w:firstRowLastColumn="0" w:lastRowFirstColumn="0" w:lastRowLastColumn="0"/>
            <w:tcW w:w="929" w:type="pct"/>
          </w:tcPr>
          <w:p w14:paraId="694CAD36" w14:textId="77777777" w:rsidR="0097693A" w:rsidRPr="0097693A" w:rsidRDefault="0097693A" w:rsidP="0097693A">
            <w:pPr>
              <w:pStyle w:val="TableParagraph"/>
              <w:spacing w:before="2"/>
              <w:ind w:left="107"/>
              <w:rPr>
                <w:rFonts w:ascii="Century Gothic" w:hAnsi="Century Gothic"/>
                <w:w w:val="85"/>
                <w:sz w:val="16"/>
                <w:szCs w:val="16"/>
              </w:rPr>
            </w:pPr>
            <w:r w:rsidRPr="0097693A">
              <w:rPr>
                <w:rFonts w:ascii="Century Gothic" w:hAnsi="Century Gothic"/>
                <w:sz w:val="16"/>
                <w:szCs w:val="16"/>
              </w:rPr>
              <w:t>Combate a la corrupción</w:t>
            </w:r>
          </w:p>
        </w:tc>
        <w:tc>
          <w:tcPr>
            <w:cnfStyle w:val="000010000000" w:firstRow="0" w:lastRow="0" w:firstColumn="0" w:lastColumn="0" w:oddVBand="1" w:evenVBand="0" w:oddHBand="0" w:evenHBand="0" w:firstRowFirstColumn="0" w:firstRowLastColumn="0" w:lastRowFirstColumn="0" w:lastRowLastColumn="0"/>
            <w:tcW w:w="1806" w:type="pct"/>
          </w:tcPr>
          <w:p w14:paraId="3D9DE3EF" w14:textId="77777777" w:rsidR="0097693A" w:rsidRPr="0097693A" w:rsidRDefault="0097693A" w:rsidP="0097693A">
            <w:pPr>
              <w:pStyle w:val="TableParagraph"/>
              <w:spacing w:before="146"/>
              <w:ind w:right="204"/>
              <w:jc w:val="both"/>
              <w:rPr>
                <w:rFonts w:ascii="Century Gothic" w:hAnsi="Century Gothic"/>
                <w:sz w:val="16"/>
                <w:szCs w:val="16"/>
              </w:rPr>
            </w:pPr>
            <w:r w:rsidRPr="0097693A">
              <w:rPr>
                <w:rFonts w:ascii="Century Gothic" w:hAnsi="Century Gothic"/>
                <w:sz w:val="16"/>
                <w:szCs w:val="16"/>
              </w:rPr>
              <w:t xml:space="preserve"> El abuso de poder es un tema serio y complejo. Se refiere a la utilización indebida de la autoridad o influencia para obtener beneficios personales o para perjudicar a otros.</w:t>
            </w:r>
          </w:p>
        </w:tc>
        <w:tc>
          <w:tcPr>
            <w:cnfStyle w:val="000100000000" w:firstRow="0" w:lastRow="0" w:firstColumn="0" w:lastColumn="1" w:oddVBand="0" w:evenVBand="0" w:oddHBand="0" w:evenHBand="0" w:firstRowFirstColumn="0" w:firstRowLastColumn="0" w:lastRowFirstColumn="0" w:lastRowLastColumn="0"/>
            <w:tcW w:w="2265" w:type="pct"/>
          </w:tcPr>
          <w:p w14:paraId="6D3E1034" w14:textId="77777777" w:rsidR="0097693A" w:rsidRPr="0097693A" w:rsidRDefault="0097693A" w:rsidP="0097693A">
            <w:pPr>
              <w:pStyle w:val="TableParagraph"/>
              <w:spacing w:before="4"/>
              <w:ind w:right="205"/>
              <w:jc w:val="both"/>
              <w:rPr>
                <w:rFonts w:ascii="Century Gothic" w:hAnsi="Century Gothic"/>
                <w:sz w:val="16"/>
                <w:szCs w:val="16"/>
                <w:lang w:val="es-MX"/>
              </w:rPr>
            </w:pPr>
            <w:r w:rsidRPr="0097693A">
              <w:rPr>
                <w:rFonts w:ascii="Century Gothic" w:hAnsi="Century Gothic"/>
                <w:sz w:val="16"/>
                <w:szCs w:val="16"/>
              </w:rPr>
              <w:t xml:space="preserve">La corrupción ha sido un problema estructural, con raíces profundas en todas las esferas gubernamentales, por ese motivo se debe combatir </w:t>
            </w:r>
            <w:r w:rsidRPr="0097693A">
              <w:rPr>
                <w:rFonts w:ascii="Century Gothic" w:hAnsi="Century Gothic"/>
                <w:sz w:val="16"/>
                <w:szCs w:val="16"/>
                <w:lang w:val="es-MX"/>
              </w:rPr>
              <w:t>los casos de corrupción en el gobierno municipal, transparentar los procesos de compra y adoptar valores éticos en todos los servidores públicos.</w:t>
            </w:r>
          </w:p>
          <w:p w14:paraId="01008691" w14:textId="77777777" w:rsidR="0097693A" w:rsidRPr="0097693A" w:rsidRDefault="0097693A" w:rsidP="0097693A">
            <w:pPr>
              <w:pStyle w:val="TableParagraph"/>
              <w:spacing w:before="4"/>
              <w:ind w:left="107" w:right="205"/>
              <w:jc w:val="both"/>
              <w:rPr>
                <w:rFonts w:ascii="Century Gothic" w:hAnsi="Century Gothic"/>
                <w:sz w:val="16"/>
                <w:szCs w:val="16"/>
              </w:rPr>
            </w:pPr>
          </w:p>
        </w:tc>
      </w:tr>
      <w:tr w:rsidR="0097693A" w:rsidRPr="0097693A" w14:paraId="67885361" w14:textId="77777777" w:rsidTr="0097693A">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929" w:type="pct"/>
          </w:tcPr>
          <w:p w14:paraId="395C948C" w14:textId="77777777" w:rsidR="0097693A" w:rsidRPr="0097693A" w:rsidRDefault="0097693A" w:rsidP="0097693A">
            <w:pPr>
              <w:pStyle w:val="TableParagraph"/>
              <w:spacing w:before="2"/>
              <w:ind w:left="107"/>
              <w:rPr>
                <w:rFonts w:ascii="Century Gothic" w:hAnsi="Century Gothic"/>
                <w:w w:val="85"/>
                <w:sz w:val="16"/>
                <w:szCs w:val="16"/>
              </w:rPr>
            </w:pPr>
            <w:r w:rsidRPr="0097693A">
              <w:rPr>
                <w:rFonts w:ascii="Century Gothic" w:hAnsi="Century Gothic"/>
                <w:sz w:val="16"/>
                <w:szCs w:val="16"/>
              </w:rPr>
              <w:t>Transparencia y rendición de cuentas</w:t>
            </w:r>
          </w:p>
        </w:tc>
        <w:tc>
          <w:tcPr>
            <w:cnfStyle w:val="000010000000" w:firstRow="0" w:lastRow="0" w:firstColumn="0" w:lastColumn="0" w:oddVBand="1" w:evenVBand="0" w:oddHBand="0" w:evenHBand="0" w:firstRowFirstColumn="0" w:firstRowLastColumn="0" w:lastRowFirstColumn="0" w:lastRowLastColumn="0"/>
            <w:tcW w:w="1806" w:type="pct"/>
          </w:tcPr>
          <w:p w14:paraId="2FBBA0E8" w14:textId="77777777" w:rsidR="0097693A" w:rsidRPr="0097693A" w:rsidRDefault="0097693A" w:rsidP="0097693A">
            <w:pPr>
              <w:pStyle w:val="TableParagraph"/>
              <w:spacing w:before="146"/>
              <w:ind w:left="108" w:right="204"/>
              <w:jc w:val="both"/>
              <w:rPr>
                <w:rFonts w:ascii="Century Gothic" w:hAnsi="Century Gothic"/>
                <w:sz w:val="16"/>
                <w:szCs w:val="16"/>
              </w:rPr>
            </w:pPr>
            <w:r w:rsidRPr="0097693A">
              <w:rPr>
                <w:rFonts w:ascii="Century Gothic" w:hAnsi="Century Gothic"/>
                <w:bCs/>
                <w:sz w:val="16"/>
                <w:szCs w:val="16"/>
              </w:rPr>
              <w:t>Los ciudadanos no pueden consultar la información pública de oficio impidiendo la participación en el desarrollo de los temas de la administración pública.</w:t>
            </w:r>
          </w:p>
        </w:tc>
        <w:tc>
          <w:tcPr>
            <w:cnfStyle w:val="000100000000" w:firstRow="0" w:lastRow="0" w:firstColumn="0" w:lastColumn="1" w:oddVBand="0" w:evenVBand="0" w:oddHBand="0" w:evenHBand="0" w:firstRowFirstColumn="0" w:firstRowLastColumn="0" w:lastRowFirstColumn="0" w:lastRowLastColumn="0"/>
            <w:tcW w:w="2265" w:type="pct"/>
          </w:tcPr>
          <w:p w14:paraId="4C189E93" w14:textId="77777777" w:rsidR="0097693A" w:rsidRPr="0097693A" w:rsidRDefault="0097693A" w:rsidP="0097693A">
            <w:pPr>
              <w:pStyle w:val="TableParagraph"/>
              <w:spacing w:before="4"/>
              <w:ind w:right="205"/>
              <w:jc w:val="both"/>
              <w:rPr>
                <w:rFonts w:ascii="Century Gothic" w:hAnsi="Century Gothic"/>
                <w:sz w:val="16"/>
                <w:szCs w:val="16"/>
              </w:rPr>
            </w:pPr>
            <w:r w:rsidRPr="0097693A">
              <w:rPr>
                <w:rFonts w:ascii="Century Gothic" w:hAnsi="Century Gothic"/>
                <w:sz w:val="16"/>
                <w:szCs w:val="16"/>
              </w:rPr>
              <w:t>Se favorece la participación ciudadana por medio de la información pública.</w:t>
            </w:r>
          </w:p>
        </w:tc>
      </w:tr>
      <w:tr w:rsidR="0097693A" w:rsidRPr="0097693A" w14:paraId="33F83223" w14:textId="77777777" w:rsidTr="0097693A">
        <w:trPr>
          <w:trHeight w:val="1271"/>
        </w:trPr>
        <w:tc>
          <w:tcPr>
            <w:cnfStyle w:val="001000000000" w:firstRow="0" w:lastRow="0" w:firstColumn="1" w:lastColumn="0" w:oddVBand="0" w:evenVBand="0" w:oddHBand="0" w:evenHBand="0" w:firstRowFirstColumn="0" w:firstRowLastColumn="0" w:lastRowFirstColumn="0" w:lastRowLastColumn="0"/>
            <w:tcW w:w="929" w:type="pct"/>
          </w:tcPr>
          <w:p w14:paraId="73F3923E" w14:textId="77777777" w:rsidR="0097693A" w:rsidRPr="0097693A" w:rsidRDefault="0097693A" w:rsidP="0097693A">
            <w:pPr>
              <w:pStyle w:val="TableParagraph"/>
              <w:spacing w:before="2"/>
              <w:ind w:left="107"/>
              <w:rPr>
                <w:rFonts w:ascii="Century Gothic" w:hAnsi="Century Gothic"/>
                <w:w w:val="85"/>
                <w:sz w:val="16"/>
                <w:szCs w:val="16"/>
              </w:rPr>
            </w:pPr>
          </w:p>
          <w:p w14:paraId="623E44D7" w14:textId="77777777" w:rsidR="0097693A" w:rsidRPr="0097693A" w:rsidRDefault="0097693A" w:rsidP="0097693A">
            <w:pPr>
              <w:pStyle w:val="TableParagraph"/>
              <w:spacing w:before="2"/>
              <w:ind w:left="107"/>
              <w:rPr>
                <w:rFonts w:ascii="Century Gothic" w:hAnsi="Century Gothic"/>
                <w:w w:val="85"/>
                <w:sz w:val="16"/>
                <w:szCs w:val="16"/>
              </w:rPr>
            </w:pPr>
            <w:r w:rsidRPr="0097693A">
              <w:rPr>
                <w:rFonts w:ascii="Century Gothic" w:hAnsi="Century Gothic"/>
                <w:sz w:val="16"/>
                <w:szCs w:val="16"/>
              </w:rPr>
              <w:t>Estado de Derecho y cultura de la legalidad</w:t>
            </w:r>
          </w:p>
        </w:tc>
        <w:tc>
          <w:tcPr>
            <w:cnfStyle w:val="000010000000" w:firstRow="0" w:lastRow="0" w:firstColumn="0" w:lastColumn="0" w:oddVBand="1" w:evenVBand="0" w:oddHBand="0" w:evenHBand="0" w:firstRowFirstColumn="0" w:firstRowLastColumn="0" w:lastRowFirstColumn="0" w:lastRowLastColumn="0"/>
            <w:tcW w:w="1806" w:type="pct"/>
          </w:tcPr>
          <w:p w14:paraId="09E3D0BD" w14:textId="77777777" w:rsidR="0097693A" w:rsidRPr="0097693A" w:rsidRDefault="0097693A" w:rsidP="0097693A">
            <w:pPr>
              <w:pStyle w:val="TableParagraph"/>
              <w:spacing w:before="146"/>
              <w:ind w:left="108" w:right="204"/>
              <w:jc w:val="both"/>
              <w:rPr>
                <w:rFonts w:ascii="Century Gothic" w:hAnsi="Century Gothic"/>
                <w:sz w:val="16"/>
                <w:szCs w:val="16"/>
              </w:rPr>
            </w:pPr>
            <w:r w:rsidRPr="0097693A">
              <w:rPr>
                <w:rFonts w:ascii="Century Gothic" w:hAnsi="Century Gothic"/>
                <w:sz w:val="16"/>
                <w:szCs w:val="16"/>
              </w:rPr>
              <w:t>No se cuenta con reglamentación que regule el actuar de las áreas administrativas en la ejecución de las actividades, situación que da cabida a malas prácticas</w:t>
            </w:r>
          </w:p>
        </w:tc>
        <w:tc>
          <w:tcPr>
            <w:cnfStyle w:val="000100000000" w:firstRow="0" w:lastRow="0" w:firstColumn="0" w:lastColumn="1" w:oddVBand="0" w:evenVBand="0" w:oddHBand="0" w:evenHBand="0" w:firstRowFirstColumn="0" w:firstRowLastColumn="0" w:lastRowFirstColumn="0" w:lastRowLastColumn="0"/>
            <w:tcW w:w="2265" w:type="pct"/>
          </w:tcPr>
          <w:p w14:paraId="03CB93F8" w14:textId="77777777" w:rsidR="0097693A" w:rsidRPr="0097693A" w:rsidRDefault="0097693A" w:rsidP="0097693A">
            <w:pPr>
              <w:pStyle w:val="TableParagraph"/>
              <w:spacing w:before="4"/>
              <w:ind w:right="205"/>
              <w:jc w:val="both"/>
              <w:rPr>
                <w:rFonts w:ascii="Century Gothic" w:hAnsi="Century Gothic"/>
                <w:sz w:val="16"/>
                <w:szCs w:val="16"/>
                <w:lang w:val="es-MX"/>
              </w:rPr>
            </w:pPr>
            <w:r w:rsidRPr="0097693A">
              <w:rPr>
                <w:rFonts w:ascii="Century Gothic" w:hAnsi="Century Gothic"/>
                <w:sz w:val="16"/>
                <w:szCs w:val="16"/>
              </w:rPr>
              <w:t>Los ordenamientos legales</w:t>
            </w:r>
            <w:r w:rsidRPr="0097693A">
              <w:rPr>
                <w:rFonts w:ascii="Century Gothic" w:hAnsi="Century Gothic"/>
                <w:sz w:val="16"/>
                <w:szCs w:val="16"/>
                <w:lang w:val="es-MX"/>
              </w:rPr>
              <w:t xml:space="preserve">, resultan fundamentales para comprender las ordenanzas y reglamentos que rigen en las al municipio. Estos documentos establecen las normas y regulaciones que deben seguir los ciudadanos, tanto en sus actividades cotidianas como en situaciones particulares. Es importante tener en cuenta que tanto las ordenanzas como los reglamentos son de cumplimiento obligatorio, por lo que es indispensable conocer su contenido y entender cómo nos afectan. </w:t>
            </w:r>
          </w:p>
        </w:tc>
      </w:tr>
      <w:tr w:rsidR="0097693A" w:rsidRPr="0097693A" w14:paraId="053E93CB" w14:textId="77777777" w:rsidTr="0097693A">
        <w:trPr>
          <w:cnfStyle w:val="010000000000" w:firstRow="0" w:lastRow="1"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929" w:type="pct"/>
          </w:tcPr>
          <w:p w14:paraId="53A84686" w14:textId="303240B0" w:rsidR="0097693A" w:rsidRPr="0097693A" w:rsidRDefault="0097693A" w:rsidP="0097693A">
            <w:pPr>
              <w:pStyle w:val="TableParagraph"/>
              <w:spacing w:before="149"/>
              <w:ind w:left="107" w:right="721"/>
              <w:rPr>
                <w:rFonts w:ascii="Century Gothic" w:hAnsi="Century Gothic"/>
                <w:sz w:val="16"/>
                <w:szCs w:val="16"/>
              </w:rPr>
            </w:pPr>
            <w:bookmarkStart w:id="3" w:name="_Hlk188435231"/>
            <w:r w:rsidRPr="0097693A">
              <w:rPr>
                <w:rFonts w:ascii="Century Gothic" w:hAnsi="Century Gothic"/>
                <w:sz w:val="16"/>
                <w:szCs w:val="16"/>
              </w:rPr>
              <w:t xml:space="preserve">Coordinación municipal e interestatal </w:t>
            </w:r>
            <w:bookmarkEnd w:id="3"/>
          </w:p>
        </w:tc>
        <w:tc>
          <w:tcPr>
            <w:cnfStyle w:val="000010000000" w:firstRow="0" w:lastRow="0" w:firstColumn="0" w:lastColumn="0" w:oddVBand="1" w:evenVBand="0" w:oddHBand="0" w:evenHBand="0" w:firstRowFirstColumn="0" w:firstRowLastColumn="0" w:lastRowFirstColumn="0" w:lastRowLastColumn="0"/>
            <w:tcW w:w="1806" w:type="pct"/>
          </w:tcPr>
          <w:p w14:paraId="79A66C66" w14:textId="77777777" w:rsidR="0097693A" w:rsidRPr="0097693A" w:rsidRDefault="0097693A" w:rsidP="0097693A">
            <w:pPr>
              <w:pStyle w:val="TableParagraph"/>
              <w:spacing w:before="2"/>
              <w:ind w:left="108" w:right="203"/>
              <w:jc w:val="both"/>
              <w:rPr>
                <w:rFonts w:ascii="Century Gothic" w:hAnsi="Century Gothic"/>
                <w:bCs w:val="0"/>
                <w:sz w:val="16"/>
                <w:szCs w:val="16"/>
              </w:rPr>
            </w:pPr>
            <w:r w:rsidRPr="0097693A">
              <w:rPr>
                <w:rFonts w:ascii="Century Gothic" w:hAnsi="Century Gothic"/>
                <w:sz w:val="16"/>
                <w:szCs w:val="16"/>
              </w:rPr>
              <w:t xml:space="preserve">El municipio no cuenta con los instrumentos jurídico-administrativos necesarios, así como los recursos humanos, financieros, organizacionales y de equipamiento suficientes y adecuados para satisfacer las demandas ciudadanas. </w:t>
            </w:r>
          </w:p>
          <w:p w14:paraId="00999093" w14:textId="77777777" w:rsidR="0097693A" w:rsidRPr="0097693A" w:rsidRDefault="0097693A" w:rsidP="0097693A">
            <w:pPr>
              <w:pStyle w:val="TableParagraph"/>
              <w:spacing w:before="2"/>
              <w:ind w:left="108" w:right="203"/>
              <w:jc w:val="both"/>
              <w:rPr>
                <w:rFonts w:ascii="Century Gothic" w:hAnsi="Century Gothic"/>
                <w:sz w:val="16"/>
                <w:szCs w:val="16"/>
              </w:rPr>
            </w:pPr>
          </w:p>
        </w:tc>
        <w:tc>
          <w:tcPr>
            <w:cnfStyle w:val="000100000000" w:firstRow="0" w:lastRow="0" w:firstColumn="0" w:lastColumn="1" w:oddVBand="0" w:evenVBand="0" w:oddHBand="0" w:evenHBand="0" w:firstRowFirstColumn="0" w:firstRowLastColumn="0" w:lastRowFirstColumn="0" w:lastRowLastColumn="0"/>
            <w:tcW w:w="2265" w:type="pct"/>
          </w:tcPr>
          <w:p w14:paraId="1E4C1346" w14:textId="77777777" w:rsidR="0097693A" w:rsidRPr="0097693A" w:rsidRDefault="0097693A" w:rsidP="0097693A">
            <w:pPr>
              <w:pStyle w:val="TableParagraph"/>
              <w:spacing w:before="22"/>
              <w:ind w:left="107" w:right="207"/>
              <w:jc w:val="both"/>
              <w:rPr>
                <w:rFonts w:ascii="Century Gothic" w:hAnsi="Century Gothic"/>
                <w:bCs w:val="0"/>
                <w:sz w:val="16"/>
                <w:szCs w:val="16"/>
              </w:rPr>
            </w:pPr>
            <w:r w:rsidRPr="0097693A">
              <w:rPr>
                <w:rFonts w:ascii="Century Gothic" w:hAnsi="Century Gothic"/>
                <w:sz w:val="16"/>
                <w:szCs w:val="16"/>
              </w:rPr>
              <w:t xml:space="preserve">Ser una administración pública municipal atiendan sus necesidades con oportunidad, calidad y excelencia, para ello es necesario hacer cada vez más eficientes los procesos administrativos en los diferentes niveles de gobierno, además de hacer uso adecuado de los recursos, para así alcanzar las metas planteadas y generar confianza en los ciudadanos. </w:t>
            </w:r>
          </w:p>
          <w:p w14:paraId="678C1CED" w14:textId="77777777" w:rsidR="0097693A" w:rsidRPr="0097693A" w:rsidRDefault="0097693A" w:rsidP="0097693A">
            <w:pPr>
              <w:pStyle w:val="TableParagraph"/>
              <w:spacing w:before="22"/>
              <w:ind w:left="107" w:right="207"/>
              <w:jc w:val="both"/>
              <w:rPr>
                <w:rFonts w:ascii="Century Gothic" w:hAnsi="Century Gothic"/>
                <w:sz w:val="16"/>
                <w:szCs w:val="16"/>
              </w:rPr>
            </w:pPr>
          </w:p>
        </w:tc>
      </w:tr>
    </w:tbl>
    <w:p w14:paraId="7D8B4E6B" w14:textId="144A2518" w:rsidR="0097693A" w:rsidRDefault="0097693A" w:rsidP="00567E93">
      <w:pPr>
        <w:rPr>
          <w:rFonts w:ascii="Century Gothic" w:hAnsi="Century Gothic"/>
          <w:bCs/>
          <w:sz w:val="22"/>
          <w:szCs w:val="22"/>
        </w:rPr>
        <w:sectPr w:rsidR="0097693A" w:rsidSect="0097693A">
          <w:pgSz w:w="15840" w:h="12240" w:orient="landscape"/>
          <w:pgMar w:top="1440" w:right="1440" w:bottom="1440" w:left="1440" w:header="709" w:footer="709" w:gutter="0"/>
          <w:cols w:space="708"/>
          <w:docGrid w:linePitch="360"/>
        </w:sectPr>
      </w:pPr>
    </w:p>
    <w:p w14:paraId="29611D5D" w14:textId="77777777" w:rsidR="00504564" w:rsidRPr="00504564" w:rsidRDefault="00504564" w:rsidP="00504564">
      <w:pPr>
        <w:spacing w:line="259" w:lineRule="auto"/>
        <w:jc w:val="both"/>
        <w:rPr>
          <w:rFonts w:ascii="Century Gothic" w:hAnsi="Century Gothic"/>
          <w:b/>
          <w:color w:val="025850"/>
          <w:sz w:val="28"/>
          <w:szCs w:val="28"/>
        </w:rPr>
      </w:pPr>
      <w:r w:rsidRPr="00504564">
        <w:rPr>
          <w:rFonts w:ascii="Century Gothic" w:hAnsi="Century Gothic"/>
          <w:b/>
          <w:color w:val="025850"/>
          <w:sz w:val="28"/>
          <w:szCs w:val="28"/>
        </w:rPr>
        <w:lastRenderedPageBreak/>
        <w:t>Instrumentación Estratégica</w:t>
      </w:r>
    </w:p>
    <w:p w14:paraId="0DB0424B" w14:textId="77777777" w:rsidR="00504564" w:rsidRPr="00070C29" w:rsidRDefault="00504564" w:rsidP="00504564">
      <w:pPr>
        <w:jc w:val="both"/>
        <w:rPr>
          <w:rFonts w:ascii="Century Gothic" w:hAnsi="Century Gothic"/>
          <w:color w:val="025850"/>
          <w:sz w:val="22"/>
          <w:szCs w:val="22"/>
        </w:rPr>
      </w:pPr>
      <w:r w:rsidRPr="00070C29">
        <w:rPr>
          <w:rFonts w:ascii="Century Gothic" w:hAnsi="Century Gothic"/>
          <w:b/>
          <w:color w:val="025850"/>
          <w:sz w:val="22"/>
          <w:szCs w:val="22"/>
        </w:rPr>
        <w:t>Objetivo</w:t>
      </w:r>
      <w:r w:rsidRPr="00070C29">
        <w:rPr>
          <w:rFonts w:ascii="Century Gothic" w:hAnsi="Century Gothic"/>
          <w:color w:val="025850"/>
          <w:sz w:val="22"/>
          <w:szCs w:val="22"/>
        </w:rPr>
        <w:t xml:space="preserve"> </w:t>
      </w:r>
    </w:p>
    <w:p w14:paraId="3DEBF1FE"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1.1 Establecer un gobierno del pueblo y para el pueblo, cercano y confiable.</w:t>
      </w:r>
    </w:p>
    <w:p w14:paraId="1FAF6056" w14:textId="77777777" w:rsidR="00504564" w:rsidRPr="00070C29" w:rsidRDefault="00504564" w:rsidP="00504564">
      <w:pPr>
        <w:jc w:val="both"/>
        <w:rPr>
          <w:rFonts w:ascii="Century Gothic" w:hAnsi="Century Gothic"/>
          <w:color w:val="025850"/>
          <w:sz w:val="22"/>
          <w:szCs w:val="22"/>
        </w:rPr>
      </w:pPr>
      <w:r w:rsidRPr="00070C29">
        <w:rPr>
          <w:rFonts w:ascii="Century Gothic" w:hAnsi="Century Gothic"/>
          <w:b/>
          <w:color w:val="025850"/>
          <w:sz w:val="22"/>
          <w:szCs w:val="22"/>
        </w:rPr>
        <w:t>Estrategia</w:t>
      </w:r>
    </w:p>
    <w:p w14:paraId="260F8C86"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1.1.1 Brindar una atención política de puertas abiertas y cercanía con la ciudadanía, así como con los diversos actores sociopolíticos para el fortalecimiento de la participación ciudadana.</w:t>
      </w:r>
    </w:p>
    <w:p w14:paraId="3D8EBCE2" w14:textId="77777777" w:rsidR="00504564" w:rsidRPr="00070C29" w:rsidRDefault="00504564" w:rsidP="00504564">
      <w:pPr>
        <w:jc w:val="both"/>
        <w:rPr>
          <w:rFonts w:ascii="Century Gothic" w:hAnsi="Century Gothic"/>
          <w:b/>
          <w:bCs/>
          <w:color w:val="025850"/>
          <w:sz w:val="22"/>
          <w:szCs w:val="22"/>
        </w:rPr>
      </w:pPr>
      <w:bookmarkStart w:id="4" w:name="_Hlk181959010"/>
      <w:r w:rsidRPr="00070C29">
        <w:rPr>
          <w:rFonts w:ascii="Century Gothic" w:hAnsi="Century Gothic"/>
          <w:b/>
          <w:bCs/>
          <w:color w:val="025850"/>
          <w:sz w:val="22"/>
          <w:szCs w:val="22"/>
        </w:rPr>
        <w:t>Líneas de acción:</w:t>
      </w:r>
    </w:p>
    <w:p w14:paraId="27F0F987"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1.1.1.1Coordinar y presidir las sesiones del Cabildo, asegurando el cumplimiento de la normativa aplicable.</w:t>
      </w:r>
    </w:p>
    <w:p w14:paraId="62A17832"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1.1.1.2 Coordinar la elaboración y presentación del Informe de Gobierno Municipal.</w:t>
      </w:r>
    </w:p>
    <w:p w14:paraId="678D134B"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1.1.1.3 Instalar y supervisar los Comités de Planeación del Desarrollo Municipal y la Agenda 2030.</w:t>
      </w:r>
    </w:p>
    <w:p w14:paraId="2A2A0B20"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1.1.1.4 Realizar foros de consulta para la elaboración del Plan de Desarrollo Municipal.</w:t>
      </w:r>
    </w:p>
    <w:p w14:paraId="29F98D2A"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1.1.1.5 Gestionar y formalizar convenios con instituciones capacitadoras para fortalecer las capacidades municipales.</w:t>
      </w:r>
    </w:p>
    <w:p w14:paraId="65A9431F"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1.1.1.6 Expedir actas certificadas y constancias oficiales.</w:t>
      </w:r>
    </w:p>
    <w:p w14:paraId="2980E550"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Estrategia</w:t>
      </w:r>
    </w:p>
    <w:p w14:paraId="50E9FADD"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b/>
          <w:sz w:val="22"/>
          <w:szCs w:val="22"/>
        </w:rPr>
        <w:t xml:space="preserve">1.1.2 </w:t>
      </w:r>
      <w:r w:rsidRPr="00070C29">
        <w:rPr>
          <w:rFonts w:ascii="Century Gothic" w:hAnsi="Century Gothic"/>
          <w:sz w:val="22"/>
          <w:szCs w:val="22"/>
        </w:rPr>
        <w:t>Fomentar la colaboración y participación entre la autoridad municipal, las organizaciones sociales, políticas, privadas, civiles y religiosas, junto con la ciudadanía en general.</w:t>
      </w:r>
    </w:p>
    <w:p w14:paraId="19E75346" w14:textId="53E28FFB"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bookmarkEnd w:id="4"/>
    <w:p w14:paraId="5A7257D4"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1.1.2.1 Formalizar acuerdos con instituciones especializadas para brindar capacitación y certificaciones que fortalezcan las competencias del personal municipal y la ciudadanía.</w:t>
      </w:r>
    </w:p>
    <w:p w14:paraId="6FA05114"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1.1.2.2 Promover e integrar los Comités de Control y Vigilancia Social para supervisar la correcta aplicación de recursos públicos en programas y proyectos sociales.</w:t>
      </w:r>
    </w:p>
    <w:p w14:paraId="74537023"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1.1.2.3 Coordinar y organizar sesiones para fomentar la colaboración entre gobierno y sociedad, impulsando la participación en el desarrollo comunitario.</w:t>
      </w:r>
    </w:p>
    <w:p w14:paraId="4001E2EE" w14:textId="77777777" w:rsidR="00504564" w:rsidRPr="00070C29" w:rsidRDefault="00504564" w:rsidP="00504564">
      <w:pPr>
        <w:jc w:val="both"/>
        <w:rPr>
          <w:rFonts w:ascii="Century Gothic" w:hAnsi="Century Gothic"/>
          <w:b/>
          <w:color w:val="0B769F" w:themeColor="accent4" w:themeShade="BF"/>
          <w:sz w:val="22"/>
          <w:szCs w:val="22"/>
        </w:rPr>
      </w:pPr>
    </w:p>
    <w:p w14:paraId="236B93D0"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Estrategia</w:t>
      </w:r>
    </w:p>
    <w:p w14:paraId="711253BF" w14:textId="72DD8C5A" w:rsidR="00504564" w:rsidRPr="00070C29" w:rsidRDefault="00504564" w:rsidP="00504564">
      <w:pPr>
        <w:jc w:val="both"/>
        <w:rPr>
          <w:rFonts w:ascii="Century Gothic" w:hAnsi="Century Gothic"/>
          <w:sz w:val="22"/>
          <w:szCs w:val="22"/>
        </w:rPr>
      </w:pPr>
      <w:r w:rsidRPr="00070C29">
        <w:rPr>
          <w:rFonts w:ascii="Century Gothic" w:hAnsi="Century Gothic"/>
          <w:sz w:val="22"/>
          <w:szCs w:val="22"/>
        </w:rPr>
        <w:t xml:space="preserve">Incrementar los espacios de participación ciudadana que den voz a la población </w:t>
      </w:r>
      <w:proofErr w:type="spellStart"/>
      <w:r w:rsidRPr="00070C29">
        <w:rPr>
          <w:rFonts w:ascii="Century Gothic" w:hAnsi="Century Gothic"/>
          <w:sz w:val="22"/>
          <w:szCs w:val="22"/>
        </w:rPr>
        <w:t>islense</w:t>
      </w:r>
      <w:proofErr w:type="spellEnd"/>
      <w:r w:rsidRPr="00070C29">
        <w:rPr>
          <w:rFonts w:ascii="Century Gothic" w:hAnsi="Century Gothic"/>
          <w:sz w:val="22"/>
          <w:szCs w:val="22"/>
        </w:rPr>
        <w:t xml:space="preserve"> ante las instituciones gubernamentales.</w:t>
      </w:r>
    </w:p>
    <w:p w14:paraId="6723C7A3" w14:textId="77777777"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62AE9ECA"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1.1.3.1 Organizar espacios de participación ciudadana para recabar propuestas e integrar el Plan de Desarrollo Municipal.</w:t>
      </w:r>
    </w:p>
    <w:p w14:paraId="600E9EC5"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 xml:space="preserve">1.1.3.2 Constituir y coordinar los comités responsables de planificar y dar seguimiento a las </w:t>
      </w:r>
      <w:r w:rsidRPr="00070C29">
        <w:rPr>
          <w:rFonts w:ascii="Century Gothic" w:hAnsi="Century Gothic"/>
          <w:bCs/>
          <w:color w:val="000000" w:themeColor="text1"/>
          <w:sz w:val="22"/>
          <w:szCs w:val="22"/>
        </w:rPr>
        <w:lastRenderedPageBreak/>
        <w:t>estrategias de desarrollo municipal y sostenibilidad.</w:t>
      </w:r>
    </w:p>
    <w:p w14:paraId="2BEDE148"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1.1.3.3 Coordinar la integración y ejecución del presupuesto municipal, garantizando su alineación con objetivos estratégicos y eficiencia en el gasto público.</w:t>
      </w:r>
    </w:p>
    <w:p w14:paraId="53820F5E" w14:textId="20BFE044"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1.1.3.4 Supervisar y aplicar mecanismos de evaluación para medir el impacto y cumplimiento de metas del presupuesto y el plan de desarrollo.</w:t>
      </w:r>
    </w:p>
    <w:p w14:paraId="582C3FE8" w14:textId="77777777" w:rsidR="00070C29" w:rsidRDefault="00070C29" w:rsidP="00504564">
      <w:pPr>
        <w:jc w:val="both"/>
        <w:rPr>
          <w:rFonts w:ascii="Century Gothic" w:hAnsi="Century Gothic"/>
          <w:b/>
          <w:color w:val="025850"/>
          <w:sz w:val="22"/>
          <w:szCs w:val="22"/>
        </w:rPr>
      </w:pPr>
    </w:p>
    <w:p w14:paraId="6D2C32DB" w14:textId="7C0B4A3F"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Objetivo</w:t>
      </w:r>
    </w:p>
    <w:p w14:paraId="53A7E20F"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1.2 Eliminar la corrupción en todas sus formas y modalidades.</w:t>
      </w:r>
    </w:p>
    <w:p w14:paraId="6A9845DE"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 xml:space="preserve">Estrategia: </w:t>
      </w:r>
    </w:p>
    <w:p w14:paraId="6EBD4F7B"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b/>
          <w:sz w:val="22"/>
          <w:szCs w:val="22"/>
        </w:rPr>
        <w:t xml:space="preserve">1.2.1 </w:t>
      </w:r>
      <w:r w:rsidRPr="00070C29">
        <w:rPr>
          <w:rFonts w:ascii="Century Gothic" w:hAnsi="Century Gothic"/>
          <w:sz w:val="22"/>
          <w:szCs w:val="22"/>
        </w:rPr>
        <w:t>Eficientizar la fiscalización del ejercicio del gasto público.</w:t>
      </w:r>
    </w:p>
    <w:p w14:paraId="4323BE68" w14:textId="6AC7574A"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4D4C7791" w14:textId="5E87E401"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1.2.1.1Diseñar y ejecutar un plan de auditorías para garantizar el uso eficiente y transparente de los recursos públicos.</w:t>
      </w:r>
    </w:p>
    <w:p w14:paraId="0993E313"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1.2.1.2 Regular y supervisar la planeación, gestión y control de las adquisiciones municipales conforme a la normativa vigente.</w:t>
      </w:r>
    </w:p>
    <w:p w14:paraId="097B0AE0" w14:textId="77777777" w:rsidR="00504564" w:rsidRPr="00070C29" w:rsidRDefault="00504564" w:rsidP="00070C29">
      <w:pPr>
        <w:widowControl w:val="0"/>
        <w:autoSpaceDE w:val="0"/>
        <w:autoSpaceDN w:val="0"/>
        <w:spacing w:after="0" w:line="240"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1.2.1.3 Registrar y mantener al día las altas y bajas de los servidores públicos para asegurar un control administrativo eficiente.</w:t>
      </w:r>
    </w:p>
    <w:p w14:paraId="505CE4FA"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 xml:space="preserve">Estrategia: </w:t>
      </w:r>
    </w:p>
    <w:p w14:paraId="6C895ABF" w14:textId="159A7BD6" w:rsidR="00070C29" w:rsidRPr="000D3D0E" w:rsidRDefault="00504564" w:rsidP="000D3D0E">
      <w:pPr>
        <w:ind w:left="708"/>
        <w:jc w:val="both"/>
        <w:rPr>
          <w:rFonts w:ascii="Century Gothic" w:hAnsi="Century Gothic"/>
          <w:sz w:val="22"/>
          <w:szCs w:val="22"/>
        </w:rPr>
      </w:pPr>
      <w:r w:rsidRPr="00070C29">
        <w:rPr>
          <w:rFonts w:ascii="Century Gothic" w:hAnsi="Century Gothic"/>
          <w:b/>
          <w:sz w:val="22"/>
          <w:szCs w:val="22"/>
        </w:rPr>
        <w:t xml:space="preserve">1.2.2 </w:t>
      </w:r>
      <w:r w:rsidRPr="00070C29">
        <w:rPr>
          <w:rFonts w:ascii="Century Gothic" w:hAnsi="Century Gothic"/>
          <w:sz w:val="22"/>
          <w:szCs w:val="22"/>
        </w:rPr>
        <w:t xml:space="preserve">Desarrollar e implementar estrategias integrales para prevenir, detectar y sancionar actos de corrupción. </w:t>
      </w:r>
    </w:p>
    <w:p w14:paraId="3EFA68C6" w14:textId="7C6C947C"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279238CA"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1.2.2.1 Organizar actividades formativas para sensibilizar y capacitar a los servidores públicos en prevención, detección y sanción de actos de corrupción.</w:t>
      </w:r>
    </w:p>
    <w:p w14:paraId="2D153C2A" w14:textId="74BBC0CA" w:rsidR="00504564"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1.2.2.2 Difundir información clave sobre normativas, responsabilidades y principios éticos que rigen el desempeño de los funcionarios municipales.</w:t>
      </w:r>
    </w:p>
    <w:p w14:paraId="61E00908" w14:textId="77777777" w:rsidR="00070C29" w:rsidRPr="00070C29" w:rsidRDefault="00070C29" w:rsidP="00070C29">
      <w:pPr>
        <w:spacing w:after="0" w:line="259" w:lineRule="auto"/>
        <w:ind w:left="708"/>
        <w:jc w:val="both"/>
        <w:rPr>
          <w:rFonts w:ascii="Century Gothic" w:hAnsi="Century Gothic"/>
          <w:bCs/>
          <w:color w:val="000000" w:themeColor="text1"/>
          <w:sz w:val="22"/>
          <w:szCs w:val="22"/>
        </w:rPr>
      </w:pPr>
    </w:p>
    <w:p w14:paraId="22B1EFAD" w14:textId="77777777" w:rsidR="00504564" w:rsidRPr="00070C29" w:rsidRDefault="00504564" w:rsidP="00504564">
      <w:pPr>
        <w:jc w:val="both"/>
        <w:rPr>
          <w:rFonts w:ascii="Century Gothic" w:hAnsi="Century Gothic"/>
          <w:color w:val="025850"/>
          <w:sz w:val="22"/>
          <w:szCs w:val="22"/>
        </w:rPr>
      </w:pPr>
      <w:r w:rsidRPr="00070C29">
        <w:rPr>
          <w:rFonts w:ascii="Century Gothic" w:hAnsi="Century Gothic"/>
          <w:b/>
          <w:color w:val="025850"/>
          <w:sz w:val="22"/>
          <w:szCs w:val="22"/>
        </w:rPr>
        <w:t>Objetivo</w:t>
      </w:r>
      <w:r w:rsidRPr="00070C29">
        <w:rPr>
          <w:rFonts w:ascii="Century Gothic" w:hAnsi="Century Gothic"/>
          <w:color w:val="025850"/>
          <w:sz w:val="22"/>
          <w:szCs w:val="22"/>
        </w:rPr>
        <w:t xml:space="preserve">: </w:t>
      </w:r>
    </w:p>
    <w:p w14:paraId="1F448037"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 xml:space="preserve">1.3 Promover un gobierno honesto, transparente, responsable y austero, que rinda cuentas claras, a partir de la utilización eficaz y eficiente de los recursos públicos. </w:t>
      </w:r>
    </w:p>
    <w:p w14:paraId="21F77295"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Estrategia:</w:t>
      </w:r>
    </w:p>
    <w:p w14:paraId="2CF3853D"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1.3.1 Desarrollar políticas públicas transparentes en materia fiscal y hacendaria que fomenten el desarrollo económico y social, así como la sostenibilidad de la deuda pública.</w:t>
      </w:r>
    </w:p>
    <w:p w14:paraId="018D8DEE" w14:textId="6C6B3B68"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2E8AA0C1"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 xml:space="preserve">1.3.1.1Organizar y coordinar reuniones para garantizar el cumplimiento de las normativas en </w:t>
      </w:r>
      <w:r w:rsidRPr="00070C29">
        <w:rPr>
          <w:rFonts w:ascii="Century Gothic" w:hAnsi="Century Gothic"/>
          <w:color w:val="000000" w:themeColor="text1"/>
          <w:sz w:val="22"/>
          <w:szCs w:val="22"/>
        </w:rPr>
        <w:lastRenderedPageBreak/>
        <w:t>materia de acceso a la información y rendición de cuentas.</w:t>
      </w:r>
    </w:p>
    <w:p w14:paraId="1745D5EC"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1.3.1.2 Mantener al día la información pública de oficio conforme a las disposiciones legales vigentes.</w:t>
      </w:r>
    </w:p>
    <w:p w14:paraId="6D2C7A7D"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1.3.1.3 Responder de manera oportuna y eficiente a las solicitudes de acceso a la información presentadas por la ciudadanía.</w:t>
      </w:r>
    </w:p>
    <w:p w14:paraId="5E63F4FF"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1.3.1.4 Implementar las determinaciones derivadas de Recursos de Revisión para garantizar la transparencia y el derecho de acceso a la información.</w:t>
      </w:r>
    </w:p>
    <w:p w14:paraId="3BBACC4E"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1.3.1.5 Diseñar y actualizar avisos de privacidad para proteger el tratamiento adecuado de los datos personales.</w:t>
      </w:r>
    </w:p>
    <w:p w14:paraId="083C94DF"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1.3.1.6 Mantener actualizados los registros de datos personales en cumplimiento de la normatividad aplicable.</w:t>
      </w:r>
    </w:p>
    <w:p w14:paraId="1727DBE6"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1.3.1.7 Impartir cursos de formación sobre transparencia, acceso a la información y protección de datos personales.</w:t>
      </w:r>
    </w:p>
    <w:p w14:paraId="6F2BB276"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1.3.1.8 Atender inspecciones virtuales para garantizar la correcta publicación de información pública.</w:t>
      </w:r>
    </w:p>
    <w:p w14:paraId="7A6A43A3"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1.3.1.9 Presentar reportes sobre el cumplimiento de metas del Programa Anual de Sistematización y Actualización de la Información.</w:t>
      </w:r>
    </w:p>
    <w:p w14:paraId="59B1BE46"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1.3.1.10 Desarrollar estrategias para publicar información de relevancia social más allá de las obligaciones normativas.</w:t>
      </w:r>
    </w:p>
    <w:p w14:paraId="12DD593A"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1.3.1.11 Identificar y divulgar datos de interés público que fortalezcan la rendición de cuentas y la participación ciudadana.</w:t>
      </w:r>
    </w:p>
    <w:p w14:paraId="50B4B8B9" w14:textId="77777777" w:rsidR="00504564" w:rsidRPr="00070C29" w:rsidRDefault="00504564" w:rsidP="00504564">
      <w:pPr>
        <w:ind w:left="360"/>
        <w:jc w:val="both"/>
        <w:rPr>
          <w:rFonts w:ascii="Century Gothic" w:hAnsi="Century Gothic"/>
          <w:color w:val="000000" w:themeColor="text1"/>
          <w:sz w:val="22"/>
          <w:szCs w:val="22"/>
        </w:rPr>
      </w:pPr>
    </w:p>
    <w:p w14:paraId="401F62F4"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 xml:space="preserve">Estrategia: </w:t>
      </w:r>
    </w:p>
    <w:p w14:paraId="0F240B00"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b/>
          <w:sz w:val="22"/>
          <w:szCs w:val="22"/>
        </w:rPr>
        <w:t xml:space="preserve">1.3.2 </w:t>
      </w:r>
      <w:r w:rsidRPr="00070C29">
        <w:rPr>
          <w:rFonts w:ascii="Century Gothic" w:hAnsi="Century Gothic"/>
          <w:sz w:val="22"/>
          <w:szCs w:val="22"/>
        </w:rPr>
        <w:t xml:space="preserve">Aplicar con eficacia los recursos, rindiendo cuentas y consolidando la gestión para resultados, así como la profesionalización de las personas servidoras públicas. </w:t>
      </w:r>
    </w:p>
    <w:p w14:paraId="74C6C91A" w14:textId="77777777"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091DDCF0" w14:textId="77777777" w:rsidR="00504564" w:rsidRPr="00070C29" w:rsidRDefault="00504564" w:rsidP="00504564">
      <w:pPr>
        <w:spacing w:after="0" w:line="259" w:lineRule="auto"/>
        <w:ind w:left="360"/>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1.3.2.1 Mantener al día el registro de contribuyentes para asegurar una correcta administración fiscal municipal.</w:t>
      </w:r>
    </w:p>
    <w:p w14:paraId="59B1ABA4" w14:textId="77777777" w:rsidR="00504564" w:rsidRPr="00070C29" w:rsidRDefault="00504564" w:rsidP="00504564">
      <w:pPr>
        <w:spacing w:after="0" w:line="259" w:lineRule="auto"/>
        <w:ind w:left="360"/>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1.3.2.2 Implementar estrategias de comunicación para informar a la ciudadanía sobre el cumplimiento oportuno de sus contribuciones.</w:t>
      </w:r>
    </w:p>
    <w:p w14:paraId="1012A539" w14:textId="77777777" w:rsidR="00504564" w:rsidRPr="00070C29" w:rsidRDefault="00504564" w:rsidP="00504564">
      <w:pPr>
        <w:spacing w:after="0" w:line="259" w:lineRule="auto"/>
        <w:ind w:left="360"/>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1.3.2.3 Suscribir acuerdos de colaboración con entidades públicas y privadas para fortalecer la recaudación y la gestión financiera municipal.</w:t>
      </w:r>
    </w:p>
    <w:p w14:paraId="36592BBD" w14:textId="77777777" w:rsidR="00504564" w:rsidRPr="00070C29" w:rsidRDefault="00504564" w:rsidP="00504564">
      <w:pPr>
        <w:spacing w:after="0" w:line="259" w:lineRule="auto"/>
        <w:ind w:left="360"/>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1.3.2.4 Documentar y administrar de manera transparente los recursos económicos obtenidos por el municipio.</w:t>
      </w:r>
    </w:p>
    <w:p w14:paraId="15EFB5B3" w14:textId="77777777" w:rsidR="00504564" w:rsidRPr="00070C29" w:rsidRDefault="00504564" w:rsidP="00504564">
      <w:pPr>
        <w:spacing w:after="0" w:line="259" w:lineRule="auto"/>
        <w:ind w:left="360"/>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1.3.2.5 Controlar y supervisar el uso de los recursos públicos, garantizando su correcta aplicación conforme a la normatividad vigente.</w:t>
      </w:r>
    </w:p>
    <w:p w14:paraId="281A44CF" w14:textId="77777777" w:rsidR="00504564" w:rsidRPr="00070C29" w:rsidRDefault="00504564" w:rsidP="00504564">
      <w:pPr>
        <w:spacing w:after="0" w:line="259" w:lineRule="auto"/>
        <w:ind w:left="360"/>
        <w:jc w:val="both"/>
        <w:rPr>
          <w:rFonts w:ascii="Century Gothic" w:hAnsi="Century Gothic"/>
          <w:color w:val="92D050"/>
          <w:sz w:val="22"/>
          <w:szCs w:val="22"/>
        </w:rPr>
      </w:pPr>
      <w:r w:rsidRPr="00070C29">
        <w:rPr>
          <w:rFonts w:ascii="Century Gothic" w:hAnsi="Century Gothic"/>
          <w:color w:val="000000" w:themeColor="text1"/>
          <w:sz w:val="22"/>
          <w:szCs w:val="22"/>
        </w:rPr>
        <w:t>1.3.2.6 Registrar y administrar los movimientos financieros municipales para asegurar la correcta distribución de los recursos.</w:t>
      </w:r>
    </w:p>
    <w:p w14:paraId="12CE7632" w14:textId="77777777" w:rsidR="00504564" w:rsidRDefault="00504564" w:rsidP="00504564">
      <w:pPr>
        <w:spacing w:line="259" w:lineRule="auto"/>
        <w:jc w:val="both"/>
        <w:rPr>
          <w:rFonts w:ascii="Century Gothic" w:hAnsi="Century Gothic"/>
          <w:bCs/>
          <w:sz w:val="22"/>
          <w:szCs w:val="22"/>
        </w:rPr>
      </w:pPr>
    </w:p>
    <w:p w14:paraId="6A0EDEBA" w14:textId="77777777" w:rsidR="000D3D0E" w:rsidRDefault="000D3D0E" w:rsidP="00504564">
      <w:pPr>
        <w:spacing w:line="259" w:lineRule="auto"/>
        <w:jc w:val="both"/>
        <w:rPr>
          <w:rFonts w:ascii="Century Gothic" w:hAnsi="Century Gothic"/>
          <w:bCs/>
          <w:sz w:val="22"/>
          <w:szCs w:val="22"/>
        </w:rPr>
      </w:pPr>
    </w:p>
    <w:p w14:paraId="67CA5B7A" w14:textId="77777777" w:rsidR="000D3D0E" w:rsidRPr="00070C29" w:rsidRDefault="000D3D0E" w:rsidP="00504564">
      <w:pPr>
        <w:spacing w:line="259" w:lineRule="auto"/>
        <w:jc w:val="both"/>
        <w:rPr>
          <w:rFonts w:ascii="Century Gothic" w:hAnsi="Century Gothic"/>
          <w:bCs/>
          <w:sz w:val="22"/>
          <w:szCs w:val="22"/>
        </w:rPr>
      </w:pPr>
    </w:p>
    <w:p w14:paraId="15990A19" w14:textId="77777777" w:rsidR="00504564" w:rsidRPr="00070C29" w:rsidRDefault="00504564" w:rsidP="00504564">
      <w:pPr>
        <w:jc w:val="both"/>
        <w:rPr>
          <w:rFonts w:ascii="Century Gothic" w:hAnsi="Century Gothic"/>
          <w:color w:val="025850"/>
          <w:sz w:val="22"/>
          <w:szCs w:val="22"/>
        </w:rPr>
      </w:pPr>
      <w:r w:rsidRPr="00070C29">
        <w:rPr>
          <w:rFonts w:ascii="Century Gothic" w:hAnsi="Century Gothic"/>
          <w:b/>
          <w:color w:val="025850"/>
          <w:sz w:val="22"/>
          <w:szCs w:val="22"/>
        </w:rPr>
        <w:lastRenderedPageBreak/>
        <w:t>Objetivo:</w:t>
      </w:r>
      <w:r w:rsidRPr="00070C29">
        <w:rPr>
          <w:rFonts w:ascii="Century Gothic" w:hAnsi="Century Gothic"/>
          <w:color w:val="025850"/>
          <w:sz w:val="22"/>
          <w:szCs w:val="22"/>
        </w:rPr>
        <w:t xml:space="preserve"> </w:t>
      </w:r>
    </w:p>
    <w:p w14:paraId="2B2521D2" w14:textId="56380C58" w:rsidR="00504564" w:rsidRPr="00070C29" w:rsidRDefault="00070C29" w:rsidP="00070C29">
      <w:pPr>
        <w:ind w:left="708"/>
        <w:jc w:val="both"/>
        <w:rPr>
          <w:rFonts w:ascii="Century Gothic" w:hAnsi="Century Gothic"/>
          <w:sz w:val="22"/>
          <w:szCs w:val="22"/>
        </w:rPr>
      </w:pPr>
      <w:r w:rsidRPr="00070C29">
        <w:rPr>
          <w:rFonts w:ascii="Century Gothic" w:hAnsi="Century Gothic"/>
          <w:sz w:val="22"/>
          <w:szCs w:val="22"/>
        </w:rPr>
        <w:t xml:space="preserve">1.4. </w:t>
      </w:r>
      <w:r w:rsidR="00504564" w:rsidRPr="00070C29">
        <w:rPr>
          <w:rFonts w:ascii="Century Gothic" w:hAnsi="Century Gothic"/>
          <w:sz w:val="22"/>
          <w:szCs w:val="22"/>
        </w:rPr>
        <w:t xml:space="preserve">Contar con una sociedad regida por el Estado de Derecho, además de promover la cultura de legalidad en todas las áreas de la vida pública y privada, a fin de garantizar el bienestar y la paz social. </w:t>
      </w:r>
    </w:p>
    <w:p w14:paraId="4A8F4CBB" w14:textId="77777777" w:rsidR="00504564" w:rsidRPr="00070C29" w:rsidRDefault="00504564" w:rsidP="00504564">
      <w:pPr>
        <w:jc w:val="both"/>
        <w:rPr>
          <w:rFonts w:ascii="Century Gothic" w:hAnsi="Century Gothic"/>
          <w:b/>
          <w:color w:val="025850"/>
          <w:sz w:val="22"/>
          <w:szCs w:val="22"/>
        </w:rPr>
      </w:pPr>
      <w:r w:rsidRPr="00070C29">
        <w:rPr>
          <w:rFonts w:ascii="Century Gothic" w:hAnsi="Century Gothic"/>
          <w:b/>
          <w:color w:val="025850"/>
          <w:sz w:val="22"/>
          <w:szCs w:val="22"/>
        </w:rPr>
        <w:t xml:space="preserve">Estrategia: </w:t>
      </w:r>
    </w:p>
    <w:p w14:paraId="767F7ACC" w14:textId="5BA0CD3A" w:rsidR="00504564" w:rsidRPr="00070C29" w:rsidRDefault="00070C29" w:rsidP="00070C29">
      <w:pPr>
        <w:ind w:left="708"/>
        <w:jc w:val="both"/>
        <w:rPr>
          <w:rFonts w:ascii="Century Gothic" w:hAnsi="Century Gothic"/>
          <w:sz w:val="22"/>
          <w:szCs w:val="22"/>
        </w:rPr>
      </w:pPr>
      <w:r w:rsidRPr="00070C29">
        <w:rPr>
          <w:rFonts w:ascii="Century Gothic" w:hAnsi="Century Gothic"/>
          <w:sz w:val="22"/>
          <w:szCs w:val="22"/>
        </w:rPr>
        <w:t xml:space="preserve">1.4.1 </w:t>
      </w:r>
      <w:r w:rsidR="00504564" w:rsidRPr="00070C29">
        <w:rPr>
          <w:rFonts w:ascii="Century Gothic" w:hAnsi="Century Gothic"/>
          <w:sz w:val="22"/>
          <w:szCs w:val="22"/>
        </w:rPr>
        <w:t>Coadyuvar en la armonización, creación, revisión, promulgación y difusión de la normativa que permita preservar el Estado de Derecho y el acceso a la justicia.</w:t>
      </w:r>
    </w:p>
    <w:p w14:paraId="1B7488D5" w14:textId="68D305E1"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60B223B3"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1.4.1.1 Garantizar la emisión periódica de la Gaceta Municipal para informar a la ciudadanía sobre disposiciones, acuerdos y normativas vigentes.</w:t>
      </w:r>
    </w:p>
    <w:p w14:paraId="2D107F71"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1.4.1.2 Mantener un registro actualizado y detallado del patrimonio mobiliario municipal para su adecuado control y administración.</w:t>
      </w:r>
    </w:p>
    <w:p w14:paraId="6CF5DDBA"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1.4.1.3 Informar a los establecimientos comerciales sobre normativas y disposiciones aplicables para mejorar su operación y cumplimiento legal.</w:t>
      </w:r>
    </w:p>
    <w:p w14:paraId="2F4813F2"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1.4.1.4Realizar inspecciones para asegurar que los comercios cumplan con la reglamentación municipal y operen de manera adecuada.</w:t>
      </w:r>
    </w:p>
    <w:p w14:paraId="7B31E9A0"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 xml:space="preserve">1.4.1.5 Imponer medidas correctivas a establecimientos que incumplan con la normatividad vigente, garantizando el orden y la </w:t>
      </w:r>
      <w:r w:rsidRPr="00070C29">
        <w:rPr>
          <w:rFonts w:ascii="Century Gothic" w:hAnsi="Century Gothic"/>
          <w:color w:val="000000" w:themeColor="text1"/>
          <w:sz w:val="22"/>
          <w:szCs w:val="22"/>
        </w:rPr>
        <w:t>legalidad.</w:t>
      </w:r>
    </w:p>
    <w:p w14:paraId="44DCA09A"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1.4.1.6 Mantener al día el registro de negocios fijos, semifijos y ambulantes para una mejor regulación del comercio local.</w:t>
      </w:r>
    </w:p>
    <w:p w14:paraId="5F0A08FD"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1.4.1.7 Otorgar autorizaciones a los establecimientos comerciales conforme a los requisitos legales establecidos.</w:t>
      </w:r>
    </w:p>
    <w:p w14:paraId="1F07B1F8"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1.4.1.8 Diseñar normativas que regulen las condiciones de venta y operación de los comerciantes en el municipio.</w:t>
      </w:r>
    </w:p>
    <w:p w14:paraId="05434BB1"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1.4.1.9 Brindar el servicio de inscripción y expedición de actas de nacimiento, garantizando el derecho a la identidad de la población.</w:t>
      </w:r>
    </w:p>
    <w:p w14:paraId="01BB7B8E" w14:textId="77777777" w:rsidR="00504564" w:rsidRPr="00070C29" w:rsidRDefault="00504564" w:rsidP="00504564">
      <w:pPr>
        <w:jc w:val="both"/>
        <w:rPr>
          <w:rFonts w:ascii="Century Gothic" w:hAnsi="Century Gothic"/>
          <w:color w:val="92D050"/>
          <w:sz w:val="22"/>
          <w:szCs w:val="22"/>
        </w:rPr>
      </w:pPr>
    </w:p>
    <w:p w14:paraId="107F972F" w14:textId="77777777" w:rsidR="00504564" w:rsidRPr="00070C29" w:rsidRDefault="00504564" w:rsidP="00504564">
      <w:pPr>
        <w:jc w:val="both"/>
        <w:rPr>
          <w:rFonts w:ascii="Century Gothic" w:hAnsi="Century Gothic"/>
          <w:color w:val="025850"/>
          <w:sz w:val="22"/>
          <w:szCs w:val="22"/>
        </w:rPr>
      </w:pPr>
      <w:r w:rsidRPr="00070C29">
        <w:rPr>
          <w:rFonts w:ascii="Century Gothic" w:hAnsi="Century Gothic"/>
          <w:b/>
          <w:color w:val="025850"/>
          <w:sz w:val="22"/>
          <w:szCs w:val="22"/>
        </w:rPr>
        <w:t>Estrategia:</w:t>
      </w:r>
      <w:r w:rsidRPr="00070C29">
        <w:rPr>
          <w:rFonts w:ascii="Century Gothic" w:hAnsi="Century Gothic"/>
          <w:color w:val="025850"/>
          <w:sz w:val="22"/>
          <w:szCs w:val="22"/>
        </w:rPr>
        <w:t xml:space="preserve"> </w:t>
      </w:r>
    </w:p>
    <w:p w14:paraId="09D79A15"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 xml:space="preserve">1.4.2 Fortalecer la cultura cívica y la identidad de los Islenses como instrumento para la cohesión social. </w:t>
      </w:r>
    </w:p>
    <w:p w14:paraId="150B931E" w14:textId="0F37860D" w:rsidR="00504564" w:rsidRPr="00070C29" w:rsidRDefault="00504564" w:rsidP="00070C29">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78179134"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1.4.2.1 Fomentar la expresión cultural y el talento local a través de certámenes de arte en diversas disciplinas.</w:t>
      </w:r>
    </w:p>
    <w:p w14:paraId="3B2A77A5"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1.4.2.2 Coordinar actividades para celebrar aniversarios, certámenes, homenajes y tradiciones que fortalezcan la identidad municipal.</w:t>
      </w:r>
    </w:p>
    <w:p w14:paraId="673CC33D"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1.4.2.3 Emitir actas de matrimonio, defunción, divorcio y reconocimiento conforme a la normativa vigente.</w:t>
      </w:r>
    </w:p>
    <w:p w14:paraId="211AF43F" w14:textId="77777777" w:rsidR="00504564" w:rsidRPr="00070C29" w:rsidRDefault="00504564" w:rsidP="00070C29">
      <w:pPr>
        <w:ind w:left="708"/>
        <w:jc w:val="both"/>
        <w:rPr>
          <w:rFonts w:ascii="Century Gothic" w:hAnsi="Century Gothic"/>
          <w:color w:val="000000" w:themeColor="text1"/>
          <w:sz w:val="22"/>
          <w:szCs w:val="22"/>
        </w:rPr>
      </w:pPr>
    </w:p>
    <w:p w14:paraId="2218DCBF" w14:textId="77777777" w:rsidR="00504564" w:rsidRPr="00070C29" w:rsidRDefault="00504564" w:rsidP="00070C29">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lastRenderedPageBreak/>
        <w:t>1.4.2.4 Brindar copias certificadas de documentos oficiales para garantizar la validez legal de los registros civiles.</w:t>
      </w:r>
    </w:p>
    <w:p w14:paraId="46D2F00A" w14:textId="3485941D" w:rsidR="00070C29" w:rsidRDefault="00504564" w:rsidP="007C27F6">
      <w:pPr>
        <w:widowControl w:val="0"/>
        <w:autoSpaceDE w:val="0"/>
        <w:autoSpaceDN w:val="0"/>
        <w:spacing w:after="0" w:line="240" w:lineRule="auto"/>
        <w:ind w:left="708"/>
        <w:jc w:val="both"/>
        <w:rPr>
          <w:rFonts w:ascii="Century Gothic" w:hAnsi="Century Gothic"/>
          <w:color w:val="000000" w:themeColor="text1"/>
          <w:sz w:val="22"/>
          <w:szCs w:val="22"/>
        </w:rPr>
      </w:pPr>
      <w:r w:rsidRPr="00070C29">
        <w:rPr>
          <w:rFonts w:ascii="Century Gothic" w:hAnsi="Century Gothic"/>
          <w:color w:val="000000" w:themeColor="text1"/>
          <w:sz w:val="22"/>
          <w:szCs w:val="22"/>
        </w:rPr>
        <w:t>1.4.2.5 Gestionar modificaciones en registros civiles para garantizar la exactitud de la información.</w:t>
      </w:r>
    </w:p>
    <w:p w14:paraId="038FEE83" w14:textId="77777777" w:rsidR="007C27F6" w:rsidRPr="007C27F6" w:rsidRDefault="007C27F6" w:rsidP="007C27F6">
      <w:pPr>
        <w:widowControl w:val="0"/>
        <w:autoSpaceDE w:val="0"/>
        <w:autoSpaceDN w:val="0"/>
        <w:spacing w:after="0" w:line="240" w:lineRule="auto"/>
        <w:jc w:val="both"/>
        <w:rPr>
          <w:rFonts w:ascii="Century Gothic" w:hAnsi="Century Gothic"/>
          <w:color w:val="000000" w:themeColor="text1"/>
          <w:sz w:val="22"/>
          <w:szCs w:val="22"/>
        </w:rPr>
      </w:pPr>
    </w:p>
    <w:p w14:paraId="5EEE0491" w14:textId="77777777" w:rsidR="00504564" w:rsidRPr="00070C29" w:rsidRDefault="00504564" w:rsidP="00504564">
      <w:pPr>
        <w:jc w:val="both"/>
        <w:rPr>
          <w:rFonts w:ascii="Century Gothic" w:hAnsi="Century Gothic"/>
          <w:color w:val="025850"/>
          <w:sz w:val="22"/>
          <w:szCs w:val="22"/>
        </w:rPr>
      </w:pPr>
      <w:r w:rsidRPr="00070C29">
        <w:rPr>
          <w:rFonts w:ascii="Century Gothic" w:hAnsi="Century Gothic"/>
          <w:b/>
          <w:color w:val="025850"/>
          <w:sz w:val="22"/>
          <w:szCs w:val="22"/>
        </w:rPr>
        <w:t>Estrategia:</w:t>
      </w:r>
      <w:r w:rsidRPr="00070C29">
        <w:rPr>
          <w:rFonts w:ascii="Century Gothic" w:hAnsi="Century Gothic"/>
          <w:color w:val="025850"/>
          <w:sz w:val="22"/>
          <w:szCs w:val="22"/>
        </w:rPr>
        <w:t xml:space="preserve"> </w:t>
      </w:r>
    </w:p>
    <w:p w14:paraId="6C3221FD" w14:textId="77777777" w:rsidR="00504564" w:rsidRPr="00070C29" w:rsidRDefault="00504564" w:rsidP="00070C29">
      <w:pPr>
        <w:ind w:left="708"/>
        <w:jc w:val="both"/>
        <w:rPr>
          <w:rFonts w:ascii="Century Gothic" w:hAnsi="Century Gothic"/>
          <w:sz w:val="22"/>
          <w:szCs w:val="22"/>
        </w:rPr>
      </w:pPr>
      <w:r w:rsidRPr="00070C29">
        <w:rPr>
          <w:rFonts w:ascii="Century Gothic" w:hAnsi="Century Gothic"/>
          <w:sz w:val="22"/>
          <w:szCs w:val="22"/>
        </w:rPr>
        <w:t xml:space="preserve">1.4.3 Impulsar la promoción, defensa, respeto y protección de los derechos humanos. </w:t>
      </w:r>
    </w:p>
    <w:p w14:paraId="5A4ED5A7" w14:textId="77777777" w:rsidR="00504564" w:rsidRPr="00070C29" w:rsidRDefault="00504564" w:rsidP="00504564">
      <w:pPr>
        <w:jc w:val="both"/>
        <w:rPr>
          <w:rFonts w:ascii="Century Gothic" w:hAnsi="Century Gothic"/>
          <w:b/>
          <w:bCs/>
          <w:color w:val="025850"/>
          <w:sz w:val="22"/>
          <w:szCs w:val="22"/>
        </w:rPr>
      </w:pPr>
      <w:r w:rsidRPr="00070C29">
        <w:rPr>
          <w:rFonts w:ascii="Century Gothic" w:hAnsi="Century Gothic"/>
          <w:b/>
          <w:bCs/>
          <w:color w:val="025850"/>
          <w:sz w:val="22"/>
          <w:szCs w:val="22"/>
        </w:rPr>
        <w:t>Líneas de acción:</w:t>
      </w:r>
    </w:p>
    <w:p w14:paraId="1D67537E"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1.4.3.1 Impartir formación a servidores públicos y sociedad civil para fortalecer el conocimiento y aplicación de los principios de Derechos Humanos.</w:t>
      </w:r>
    </w:p>
    <w:p w14:paraId="1FFACADD"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1.4.3.2 Organizar eventos, conferencias y actividades de sensibilización para fomentar el respeto y la protección de los Derechos Humanos en la comunidad.</w:t>
      </w:r>
    </w:p>
    <w:p w14:paraId="73453BB3"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1.4.3.3 Atender, documentar y canalizar denuncias relacionadas con posibles violaciones a los Derechos Humanos.</w:t>
      </w:r>
    </w:p>
    <w:p w14:paraId="421043CE"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1.4.3.4 Facilitar la resolución de conflictos entre servidores públicos y ciudadanos, promoviendo el diálogo y acuerdos equitativos.</w:t>
      </w:r>
    </w:p>
    <w:p w14:paraId="05060065"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1.4.3.5 Supervisar y verificar la implementación de medidas correctivas derivadas de observaciones en materia de Derechos Humanos.</w:t>
      </w:r>
    </w:p>
    <w:p w14:paraId="5249CBE7"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1.4.3.6 Brindar orientación y acompañamiento legal a personas en situación de vulnerabilidad, garantizando el acceso a la justicia.</w:t>
      </w:r>
    </w:p>
    <w:p w14:paraId="74203302"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1.4.3.7Implementar brigadas móviles para acercar servicios de orientación y protección de Derechos Humanos a diversas comunidades.</w:t>
      </w:r>
    </w:p>
    <w:p w14:paraId="1251C89E"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1.4.3.8 Vigilar el cumplimiento de protocolos y condiciones dignas en los espacios de detención municipal.</w:t>
      </w:r>
    </w:p>
    <w:p w14:paraId="668A16A9"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1.4.3.9 Verificar el respeto a los Derechos Humanos en la prestación de servicios de salud, asegurando un trato adecuado y sin discriminación.</w:t>
      </w:r>
    </w:p>
    <w:p w14:paraId="5A943340" w14:textId="77777777" w:rsidR="00504564" w:rsidRPr="00070C29"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1.4.3.10 Proporcionar apoyo, orientación y asistencia a personas afectadas por hechos delictivos.</w:t>
      </w:r>
    </w:p>
    <w:p w14:paraId="027F00A3" w14:textId="5A821166" w:rsidR="0046755E" w:rsidRDefault="00504564" w:rsidP="00070C29">
      <w:pPr>
        <w:spacing w:after="0" w:line="259" w:lineRule="auto"/>
        <w:ind w:left="708"/>
        <w:jc w:val="both"/>
        <w:rPr>
          <w:rFonts w:ascii="Century Gothic" w:hAnsi="Century Gothic"/>
          <w:bCs/>
          <w:color w:val="000000" w:themeColor="text1"/>
          <w:sz w:val="22"/>
          <w:szCs w:val="22"/>
        </w:rPr>
      </w:pPr>
      <w:r w:rsidRPr="00070C29">
        <w:rPr>
          <w:rFonts w:ascii="Century Gothic" w:hAnsi="Century Gothic"/>
          <w:bCs/>
          <w:color w:val="000000" w:themeColor="text1"/>
          <w:sz w:val="22"/>
          <w:szCs w:val="22"/>
        </w:rPr>
        <w:t>1.4.3.11 Contribuir en la formulación de estrategias de seguridad con un enfoque basado en la protección de los Derechos Humanos.</w:t>
      </w:r>
    </w:p>
    <w:p w14:paraId="4AE25B0F" w14:textId="77777777" w:rsidR="0046755E" w:rsidRDefault="0046755E" w:rsidP="00070C29">
      <w:pPr>
        <w:spacing w:after="0" w:line="259" w:lineRule="auto"/>
        <w:ind w:left="708"/>
        <w:jc w:val="both"/>
        <w:rPr>
          <w:rFonts w:ascii="Century Gothic" w:hAnsi="Century Gothic"/>
          <w:bCs/>
          <w:color w:val="000000" w:themeColor="text1"/>
          <w:sz w:val="22"/>
          <w:szCs w:val="22"/>
        </w:rPr>
      </w:pPr>
    </w:p>
    <w:p w14:paraId="0B0564F7" w14:textId="77777777" w:rsidR="0046755E" w:rsidRDefault="0046755E">
      <w:pPr>
        <w:rPr>
          <w:rFonts w:ascii="Century Gothic" w:hAnsi="Century Gothic"/>
          <w:bCs/>
          <w:color w:val="000000" w:themeColor="text1"/>
          <w:sz w:val="22"/>
          <w:szCs w:val="22"/>
        </w:rPr>
      </w:pPr>
      <w:r>
        <w:rPr>
          <w:rFonts w:ascii="Century Gothic" w:hAnsi="Century Gothic"/>
          <w:bCs/>
          <w:color w:val="000000" w:themeColor="text1"/>
          <w:sz w:val="22"/>
          <w:szCs w:val="22"/>
        </w:rPr>
        <w:br w:type="page"/>
      </w:r>
    </w:p>
    <w:p w14:paraId="1D1B4DE2" w14:textId="77777777" w:rsidR="0046755E" w:rsidRDefault="0046755E" w:rsidP="00070C29">
      <w:pPr>
        <w:spacing w:after="0" w:line="259" w:lineRule="auto"/>
        <w:ind w:left="708"/>
        <w:jc w:val="both"/>
        <w:rPr>
          <w:rFonts w:ascii="Century Gothic" w:hAnsi="Century Gothic"/>
          <w:bCs/>
          <w:color w:val="000000" w:themeColor="text1"/>
          <w:sz w:val="22"/>
          <w:szCs w:val="22"/>
        </w:rPr>
        <w:sectPr w:rsidR="0046755E" w:rsidSect="0097693A">
          <w:pgSz w:w="15840" w:h="12240" w:orient="landscape"/>
          <w:pgMar w:top="1440" w:right="1440" w:bottom="1440" w:left="1440" w:header="709" w:footer="709" w:gutter="0"/>
          <w:cols w:num="2" w:space="708"/>
          <w:docGrid w:linePitch="360"/>
        </w:sectPr>
      </w:pPr>
    </w:p>
    <w:p w14:paraId="6C1CD9CC" w14:textId="624779C4" w:rsidR="000B531E" w:rsidRPr="000B531E" w:rsidRDefault="000B531E" w:rsidP="000B531E">
      <w:pPr>
        <w:spacing w:after="0" w:line="259" w:lineRule="auto"/>
        <w:rPr>
          <w:rFonts w:ascii="Century Gothic" w:hAnsi="Century Gothic"/>
          <w:bCs/>
          <w:color w:val="025850"/>
          <w:sz w:val="22"/>
          <w:szCs w:val="22"/>
        </w:rPr>
      </w:pPr>
      <w:bookmarkStart w:id="5" w:name="_Hlk189654464"/>
      <w:r w:rsidRPr="000B531E">
        <w:rPr>
          <w:rFonts w:ascii="Century Gothic" w:hAnsi="Century Gothic"/>
          <w:b/>
          <w:color w:val="025850"/>
        </w:rPr>
        <w:lastRenderedPageBreak/>
        <w:t>Metas Terminales e Intermedias</w:t>
      </w:r>
    </w:p>
    <w:tbl>
      <w:tblPr>
        <w:tblStyle w:val="Tablaconcuadrcula4-nfasis2"/>
        <w:tblW w:w="0" w:type="auto"/>
        <w:tblLook w:val="04A0" w:firstRow="1" w:lastRow="0" w:firstColumn="1" w:lastColumn="0" w:noHBand="0" w:noVBand="1"/>
      </w:tblPr>
      <w:tblGrid>
        <w:gridCol w:w="6101"/>
        <w:gridCol w:w="1676"/>
        <w:gridCol w:w="1453"/>
        <w:gridCol w:w="1455"/>
        <w:gridCol w:w="1453"/>
        <w:gridCol w:w="812"/>
      </w:tblGrid>
      <w:tr w:rsidR="000B531E" w:rsidRPr="000B531E" w14:paraId="647BCF0A" w14:textId="77777777" w:rsidTr="000B5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bookmarkEnd w:id="5"/>
          <w:p w14:paraId="270D9451" w14:textId="49F9EF3E"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Descripción de las metas de actividad </w:t>
            </w:r>
          </w:p>
        </w:tc>
        <w:tc>
          <w:tcPr>
            <w:tcW w:w="264" w:type="dxa"/>
          </w:tcPr>
          <w:p w14:paraId="4EFFA52B" w14:textId="145C0D18" w:rsidR="000B531E" w:rsidRPr="000B531E" w:rsidRDefault="000B531E" w:rsidP="000B531E">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25850"/>
                <w:sz w:val="20"/>
                <w:szCs w:val="20"/>
              </w:rPr>
            </w:pPr>
            <w:r w:rsidRPr="000B531E">
              <w:rPr>
                <w:rFonts w:ascii="Century Gothic" w:hAnsi="Century Gothic"/>
                <w:sz w:val="20"/>
                <w:szCs w:val="20"/>
              </w:rPr>
              <w:t xml:space="preserve">Unidad de medida </w:t>
            </w:r>
          </w:p>
        </w:tc>
        <w:tc>
          <w:tcPr>
            <w:tcW w:w="1437" w:type="dxa"/>
          </w:tcPr>
          <w:p w14:paraId="40702FDF" w14:textId="2A6F16F4" w:rsidR="000B531E" w:rsidRPr="000B531E" w:rsidRDefault="000B531E" w:rsidP="000B531E">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25850"/>
                <w:sz w:val="20"/>
                <w:szCs w:val="20"/>
              </w:rPr>
            </w:pPr>
            <w:r w:rsidRPr="000B531E">
              <w:rPr>
                <w:rFonts w:ascii="Century Gothic" w:hAnsi="Century Gothic"/>
                <w:sz w:val="20"/>
                <w:szCs w:val="20"/>
              </w:rPr>
              <w:t>Cantidad programada 2025</w:t>
            </w:r>
          </w:p>
        </w:tc>
        <w:tc>
          <w:tcPr>
            <w:tcW w:w="1455" w:type="dxa"/>
          </w:tcPr>
          <w:p w14:paraId="2AE96244" w14:textId="02D06231" w:rsidR="000B531E" w:rsidRPr="000B531E" w:rsidRDefault="000B531E" w:rsidP="000B531E">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25850"/>
                <w:sz w:val="20"/>
                <w:szCs w:val="20"/>
              </w:rPr>
            </w:pPr>
            <w:r w:rsidRPr="000B531E">
              <w:rPr>
                <w:rFonts w:ascii="Century Gothic" w:hAnsi="Century Gothic"/>
                <w:sz w:val="20"/>
                <w:szCs w:val="20"/>
              </w:rPr>
              <w:t>Cantidad programada 2026</w:t>
            </w:r>
          </w:p>
        </w:tc>
        <w:tc>
          <w:tcPr>
            <w:tcW w:w="0" w:type="auto"/>
          </w:tcPr>
          <w:p w14:paraId="566BA5E4" w14:textId="0F539339" w:rsidR="000B531E" w:rsidRPr="000B531E" w:rsidRDefault="000B531E" w:rsidP="000B531E">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25850"/>
                <w:sz w:val="20"/>
                <w:szCs w:val="20"/>
              </w:rPr>
            </w:pPr>
            <w:r w:rsidRPr="000B531E">
              <w:rPr>
                <w:rFonts w:ascii="Century Gothic" w:hAnsi="Century Gothic"/>
                <w:sz w:val="20"/>
                <w:szCs w:val="20"/>
              </w:rPr>
              <w:t>Cantidad programada 2027</w:t>
            </w:r>
          </w:p>
        </w:tc>
        <w:tc>
          <w:tcPr>
            <w:tcW w:w="0" w:type="auto"/>
          </w:tcPr>
          <w:p w14:paraId="7AC7F7D6" w14:textId="1443A5A3" w:rsidR="000B531E" w:rsidRPr="000B531E" w:rsidRDefault="000B531E" w:rsidP="000B531E">
            <w:pPr>
              <w:spacing w:line="259" w:lineRule="auto"/>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025850"/>
                <w:sz w:val="20"/>
                <w:szCs w:val="20"/>
              </w:rPr>
            </w:pPr>
            <w:r w:rsidRPr="000B531E">
              <w:rPr>
                <w:rFonts w:ascii="Century Gothic" w:hAnsi="Century Gothic"/>
                <w:sz w:val="20"/>
                <w:szCs w:val="20"/>
              </w:rPr>
              <w:t xml:space="preserve">Total, de metas </w:t>
            </w:r>
          </w:p>
        </w:tc>
      </w:tr>
      <w:tr w:rsidR="000B531E" w:rsidRPr="000B531E" w14:paraId="4566E3DE"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CC2AE09" w14:textId="023623FA"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Revisión de los informes mensuales enviados a Órgano superior de fiscalización del Estado de México </w:t>
            </w:r>
          </w:p>
        </w:tc>
        <w:tc>
          <w:tcPr>
            <w:tcW w:w="264" w:type="dxa"/>
          </w:tcPr>
          <w:p w14:paraId="539B95B1" w14:textId="720EE56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Audiencias </w:t>
            </w:r>
          </w:p>
        </w:tc>
        <w:tc>
          <w:tcPr>
            <w:tcW w:w="1437" w:type="dxa"/>
          </w:tcPr>
          <w:p w14:paraId="12CA7C0C" w14:textId="40840B2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7D059C8A" w14:textId="24AD648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5B536593" w14:textId="2AF6B58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296C9397" w14:textId="559F137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26CD35EE"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17409797" w14:textId="52BAE677"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Revisión de la cuenta pública municipal</w:t>
            </w:r>
          </w:p>
        </w:tc>
        <w:tc>
          <w:tcPr>
            <w:tcW w:w="264" w:type="dxa"/>
          </w:tcPr>
          <w:p w14:paraId="24042A77" w14:textId="6728577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Presupuesto </w:t>
            </w:r>
          </w:p>
        </w:tc>
        <w:tc>
          <w:tcPr>
            <w:tcW w:w="1437" w:type="dxa"/>
          </w:tcPr>
          <w:p w14:paraId="4EDDC9F5" w14:textId="11AF7FB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1455" w:type="dxa"/>
          </w:tcPr>
          <w:p w14:paraId="2D9994B8" w14:textId="14C26386"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77EB3314" w14:textId="0070C45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1513771C" w14:textId="01288A4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w:t>
            </w:r>
          </w:p>
        </w:tc>
      </w:tr>
      <w:tr w:rsidR="000B531E" w:rsidRPr="000B531E" w14:paraId="043AEB30"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99AAD40" w14:textId="0B4DB5BE"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Regular los bienes muebles del municipio</w:t>
            </w:r>
          </w:p>
        </w:tc>
        <w:tc>
          <w:tcPr>
            <w:tcW w:w="264" w:type="dxa"/>
          </w:tcPr>
          <w:p w14:paraId="2DF53629" w14:textId="3F41E0D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Convenios </w:t>
            </w:r>
          </w:p>
        </w:tc>
        <w:tc>
          <w:tcPr>
            <w:tcW w:w="1437" w:type="dxa"/>
          </w:tcPr>
          <w:p w14:paraId="332B886E" w14:textId="5D5CA7F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1455" w:type="dxa"/>
          </w:tcPr>
          <w:p w14:paraId="281DAD05" w14:textId="46A4B77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0" w:type="auto"/>
          </w:tcPr>
          <w:p w14:paraId="1583501E" w14:textId="381F89C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0" w:type="auto"/>
          </w:tcPr>
          <w:p w14:paraId="69A54452" w14:textId="2CF4811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w:t>
            </w:r>
          </w:p>
        </w:tc>
      </w:tr>
      <w:tr w:rsidR="000B531E" w:rsidRPr="000B531E" w14:paraId="7BC9D98A"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635D4B67" w14:textId="3B081562"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recorridos por los límites territoriales </w:t>
            </w:r>
          </w:p>
        </w:tc>
        <w:tc>
          <w:tcPr>
            <w:tcW w:w="264" w:type="dxa"/>
          </w:tcPr>
          <w:p w14:paraId="0D22ACC0" w14:textId="402930E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Recorrido </w:t>
            </w:r>
          </w:p>
        </w:tc>
        <w:tc>
          <w:tcPr>
            <w:tcW w:w="1437" w:type="dxa"/>
          </w:tcPr>
          <w:p w14:paraId="0649FEAC" w14:textId="0745379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1455" w:type="dxa"/>
          </w:tcPr>
          <w:p w14:paraId="5FBBB372" w14:textId="0572DF3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3EE007A3" w14:textId="22E9493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3391CF48" w14:textId="6AABC5A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r>
      <w:tr w:rsidR="000B531E" w:rsidRPr="000B531E" w14:paraId="196C78B6"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9AB81EA" w14:textId="5ACBB592"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Asistir sesiones del comité de límites territoriales </w:t>
            </w:r>
          </w:p>
        </w:tc>
        <w:tc>
          <w:tcPr>
            <w:tcW w:w="264" w:type="dxa"/>
          </w:tcPr>
          <w:p w14:paraId="13A3AE60" w14:textId="54018A9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Sesiones </w:t>
            </w:r>
          </w:p>
        </w:tc>
        <w:tc>
          <w:tcPr>
            <w:tcW w:w="1437" w:type="dxa"/>
          </w:tcPr>
          <w:p w14:paraId="09654D7A" w14:textId="5A2D9F1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w:t>
            </w:r>
          </w:p>
        </w:tc>
        <w:tc>
          <w:tcPr>
            <w:tcW w:w="1455" w:type="dxa"/>
          </w:tcPr>
          <w:p w14:paraId="0E5A086E" w14:textId="233C001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w:t>
            </w:r>
          </w:p>
        </w:tc>
        <w:tc>
          <w:tcPr>
            <w:tcW w:w="0" w:type="auto"/>
          </w:tcPr>
          <w:p w14:paraId="2F0225E6" w14:textId="4FDCD6B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w:t>
            </w:r>
          </w:p>
        </w:tc>
        <w:tc>
          <w:tcPr>
            <w:tcW w:w="0" w:type="auto"/>
          </w:tcPr>
          <w:p w14:paraId="0074BC67" w14:textId="6626DCB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21</w:t>
            </w:r>
          </w:p>
        </w:tc>
      </w:tr>
      <w:tr w:rsidR="000B531E" w:rsidRPr="000B531E" w14:paraId="5E814824"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715FA7EC" w14:textId="7BEE19F7"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Actualizar los reglamentos y disposiciones administrativas </w:t>
            </w:r>
          </w:p>
        </w:tc>
        <w:tc>
          <w:tcPr>
            <w:tcW w:w="264" w:type="dxa"/>
          </w:tcPr>
          <w:p w14:paraId="7DB9EAD9" w14:textId="78670F7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Reglamento </w:t>
            </w:r>
          </w:p>
        </w:tc>
        <w:tc>
          <w:tcPr>
            <w:tcW w:w="1437" w:type="dxa"/>
          </w:tcPr>
          <w:p w14:paraId="607394D2" w14:textId="24CA2ADE"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4D211E38" w14:textId="7ADB553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0A9133B2" w14:textId="4B62407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7F78F5F9" w14:textId="13508C6C"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2B783E09"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0B9827E" w14:textId="1427C7A1"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Expedir constancias domiciliarias o de identidad </w:t>
            </w:r>
          </w:p>
        </w:tc>
        <w:tc>
          <w:tcPr>
            <w:tcW w:w="264" w:type="dxa"/>
          </w:tcPr>
          <w:p w14:paraId="07CFE774" w14:textId="55222E6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Constancias </w:t>
            </w:r>
          </w:p>
        </w:tc>
        <w:tc>
          <w:tcPr>
            <w:tcW w:w="1437" w:type="dxa"/>
          </w:tcPr>
          <w:p w14:paraId="4DEF1226" w14:textId="1B5AE0C4"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840</w:t>
            </w:r>
          </w:p>
        </w:tc>
        <w:tc>
          <w:tcPr>
            <w:tcW w:w="1455" w:type="dxa"/>
          </w:tcPr>
          <w:p w14:paraId="679820CE" w14:textId="086D6D4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840</w:t>
            </w:r>
          </w:p>
        </w:tc>
        <w:tc>
          <w:tcPr>
            <w:tcW w:w="0" w:type="auto"/>
          </w:tcPr>
          <w:p w14:paraId="522F7958" w14:textId="6906583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840</w:t>
            </w:r>
          </w:p>
        </w:tc>
        <w:tc>
          <w:tcPr>
            <w:tcW w:w="0" w:type="auto"/>
          </w:tcPr>
          <w:p w14:paraId="024EFE23" w14:textId="3372455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2520</w:t>
            </w:r>
          </w:p>
        </w:tc>
      </w:tr>
      <w:tr w:rsidR="000B531E" w:rsidRPr="000B531E" w14:paraId="270FB494"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EF0B763" w14:textId="41DBDA6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Elaborar certificaciones que soliciten los particulares o las áreas del ayuntamiento para ser presentadas ante diversas autoridades </w:t>
            </w:r>
          </w:p>
        </w:tc>
        <w:tc>
          <w:tcPr>
            <w:tcW w:w="264" w:type="dxa"/>
          </w:tcPr>
          <w:p w14:paraId="33B832D3" w14:textId="2A565E30"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Certificaciones </w:t>
            </w:r>
          </w:p>
        </w:tc>
        <w:tc>
          <w:tcPr>
            <w:tcW w:w="1437" w:type="dxa"/>
          </w:tcPr>
          <w:p w14:paraId="3C8284AC" w14:textId="4E6816D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230</w:t>
            </w:r>
          </w:p>
        </w:tc>
        <w:tc>
          <w:tcPr>
            <w:tcW w:w="1455" w:type="dxa"/>
          </w:tcPr>
          <w:p w14:paraId="762880EA" w14:textId="0A40901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230</w:t>
            </w:r>
          </w:p>
        </w:tc>
        <w:tc>
          <w:tcPr>
            <w:tcW w:w="0" w:type="auto"/>
          </w:tcPr>
          <w:p w14:paraId="0AE68753" w14:textId="69E5A53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230</w:t>
            </w:r>
          </w:p>
        </w:tc>
        <w:tc>
          <w:tcPr>
            <w:tcW w:w="0" w:type="auto"/>
          </w:tcPr>
          <w:p w14:paraId="48E2276F" w14:textId="2A00126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690</w:t>
            </w:r>
          </w:p>
        </w:tc>
      </w:tr>
      <w:tr w:rsidR="000B531E" w:rsidRPr="000B531E" w14:paraId="2DC4C317"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08F50C8" w14:textId="5FCF2168"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Expedir permisos para la realización de eventos culturales, sociales y de las fiestas patronales </w:t>
            </w:r>
          </w:p>
        </w:tc>
        <w:tc>
          <w:tcPr>
            <w:tcW w:w="264" w:type="dxa"/>
          </w:tcPr>
          <w:p w14:paraId="351AD948" w14:textId="284175C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Permisos </w:t>
            </w:r>
          </w:p>
        </w:tc>
        <w:tc>
          <w:tcPr>
            <w:tcW w:w="1437" w:type="dxa"/>
          </w:tcPr>
          <w:p w14:paraId="620E63B7" w14:textId="724F91A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246</w:t>
            </w:r>
          </w:p>
        </w:tc>
        <w:tc>
          <w:tcPr>
            <w:tcW w:w="1455" w:type="dxa"/>
          </w:tcPr>
          <w:p w14:paraId="5D144509" w14:textId="7193AF5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246</w:t>
            </w:r>
          </w:p>
        </w:tc>
        <w:tc>
          <w:tcPr>
            <w:tcW w:w="0" w:type="auto"/>
          </w:tcPr>
          <w:p w14:paraId="6DA95723" w14:textId="49BBCB8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246</w:t>
            </w:r>
          </w:p>
        </w:tc>
        <w:tc>
          <w:tcPr>
            <w:tcW w:w="0" w:type="auto"/>
          </w:tcPr>
          <w:p w14:paraId="1480D6FF" w14:textId="447B787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738</w:t>
            </w:r>
          </w:p>
        </w:tc>
      </w:tr>
      <w:tr w:rsidR="000B531E" w:rsidRPr="000B531E" w14:paraId="131EEE79"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707D03A6" w14:textId="4FC9748D"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las sesiones de cabildo </w:t>
            </w:r>
          </w:p>
        </w:tc>
        <w:tc>
          <w:tcPr>
            <w:tcW w:w="264" w:type="dxa"/>
          </w:tcPr>
          <w:p w14:paraId="0701DD49" w14:textId="7E8920B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Sesiones </w:t>
            </w:r>
          </w:p>
        </w:tc>
        <w:tc>
          <w:tcPr>
            <w:tcW w:w="1437" w:type="dxa"/>
          </w:tcPr>
          <w:p w14:paraId="6D92F53C" w14:textId="6DB8B7A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39</w:t>
            </w:r>
          </w:p>
        </w:tc>
        <w:tc>
          <w:tcPr>
            <w:tcW w:w="1455" w:type="dxa"/>
          </w:tcPr>
          <w:p w14:paraId="39D6F615" w14:textId="6269DA0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39</w:t>
            </w:r>
          </w:p>
        </w:tc>
        <w:tc>
          <w:tcPr>
            <w:tcW w:w="0" w:type="auto"/>
          </w:tcPr>
          <w:p w14:paraId="06AB6411" w14:textId="11DE3B7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39</w:t>
            </w:r>
          </w:p>
        </w:tc>
        <w:tc>
          <w:tcPr>
            <w:tcW w:w="0" w:type="auto"/>
          </w:tcPr>
          <w:p w14:paraId="782A8AE2" w14:textId="159B7CC0"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117</w:t>
            </w:r>
          </w:p>
        </w:tc>
      </w:tr>
      <w:tr w:rsidR="000B531E" w:rsidRPr="000B531E" w14:paraId="57619276"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4AF60DD" w14:textId="090DA0A7"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Expedición de cartillas militares del servicio nacional </w:t>
            </w:r>
          </w:p>
        </w:tc>
        <w:tc>
          <w:tcPr>
            <w:tcW w:w="264" w:type="dxa"/>
          </w:tcPr>
          <w:p w14:paraId="7723CE01" w14:textId="6AD8E46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Cartilla </w:t>
            </w:r>
          </w:p>
        </w:tc>
        <w:tc>
          <w:tcPr>
            <w:tcW w:w="1437" w:type="dxa"/>
          </w:tcPr>
          <w:p w14:paraId="33A306C2" w14:textId="1DBF5D6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336</w:t>
            </w:r>
          </w:p>
        </w:tc>
        <w:tc>
          <w:tcPr>
            <w:tcW w:w="1455" w:type="dxa"/>
          </w:tcPr>
          <w:p w14:paraId="104706D6" w14:textId="516ED00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336</w:t>
            </w:r>
          </w:p>
        </w:tc>
        <w:tc>
          <w:tcPr>
            <w:tcW w:w="0" w:type="auto"/>
          </w:tcPr>
          <w:p w14:paraId="0FDE08BA" w14:textId="232F31F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336</w:t>
            </w:r>
          </w:p>
        </w:tc>
        <w:tc>
          <w:tcPr>
            <w:tcW w:w="0" w:type="auto"/>
          </w:tcPr>
          <w:p w14:paraId="540177E6" w14:textId="649CF55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1008</w:t>
            </w:r>
          </w:p>
        </w:tc>
      </w:tr>
      <w:tr w:rsidR="000B531E" w:rsidRPr="000B531E" w14:paraId="3EB99376"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553CA5E3" w14:textId="747D33A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Recepción de quejas sobre vulneración de Derechos Humanos</w:t>
            </w:r>
          </w:p>
        </w:tc>
        <w:tc>
          <w:tcPr>
            <w:tcW w:w="264" w:type="dxa"/>
          </w:tcPr>
          <w:p w14:paraId="12B4DA52" w14:textId="0233126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Canalización </w:t>
            </w:r>
          </w:p>
        </w:tc>
        <w:tc>
          <w:tcPr>
            <w:tcW w:w="1437" w:type="dxa"/>
          </w:tcPr>
          <w:p w14:paraId="3F2841FF" w14:textId="7C554AE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0678B50C" w14:textId="6F26C80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5FC645EE" w14:textId="3DD46BC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54759A9E" w14:textId="1937131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486C8524"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05AFD91" w14:textId="70E47833"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Capacitación en materia de Derechos Humanos, por parte de la CODHEM </w:t>
            </w:r>
          </w:p>
        </w:tc>
        <w:tc>
          <w:tcPr>
            <w:tcW w:w="264" w:type="dxa"/>
          </w:tcPr>
          <w:p w14:paraId="6DBE8C7F" w14:textId="07E43FB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Capacitación </w:t>
            </w:r>
          </w:p>
        </w:tc>
        <w:tc>
          <w:tcPr>
            <w:tcW w:w="1437" w:type="dxa"/>
          </w:tcPr>
          <w:p w14:paraId="4220E8D6" w14:textId="5A6D9E8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03912799" w14:textId="3A66B63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72A8C17D" w14:textId="1168754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F13DF5B" w14:textId="6F67175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1597EDE5"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063CA32D" w14:textId="60F6CDC0"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Capacitaciones en materia de Derechos Humanos por parte de la Defensoría Municipal </w:t>
            </w:r>
          </w:p>
        </w:tc>
        <w:tc>
          <w:tcPr>
            <w:tcW w:w="264" w:type="dxa"/>
          </w:tcPr>
          <w:p w14:paraId="5F4CBACE" w14:textId="77402FAA"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Capacitación </w:t>
            </w:r>
          </w:p>
        </w:tc>
        <w:tc>
          <w:tcPr>
            <w:tcW w:w="1437" w:type="dxa"/>
          </w:tcPr>
          <w:p w14:paraId="1DA7594A" w14:textId="747182B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3819274D" w14:textId="41AFBCE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38059063" w14:textId="0DEEECD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880F085" w14:textId="21FFF44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4E34453F"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08E19ED" w14:textId="734B264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Orientación y asesoría jurídica </w:t>
            </w:r>
          </w:p>
        </w:tc>
        <w:tc>
          <w:tcPr>
            <w:tcW w:w="264" w:type="dxa"/>
          </w:tcPr>
          <w:p w14:paraId="66854142" w14:textId="25084D8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Asesoría </w:t>
            </w:r>
          </w:p>
        </w:tc>
        <w:tc>
          <w:tcPr>
            <w:tcW w:w="1437" w:type="dxa"/>
          </w:tcPr>
          <w:p w14:paraId="2125689B" w14:textId="4A92344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c>
          <w:tcPr>
            <w:tcW w:w="1455" w:type="dxa"/>
          </w:tcPr>
          <w:p w14:paraId="332AC944" w14:textId="65ECE05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c>
          <w:tcPr>
            <w:tcW w:w="0" w:type="auto"/>
          </w:tcPr>
          <w:p w14:paraId="0B781012" w14:textId="4B671AD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c>
          <w:tcPr>
            <w:tcW w:w="0" w:type="auto"/>
          </w:tcPr>
          <w:p w14:paraId="180D3844" w14:textId="4D7D442E"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72</w:t>
            </w:r>
          </w:p>
        </w:tc>
      </w:tr>
      <w:tr w:rsidR="000B531E" w:rsidRPr="000B531E" w14:paraId="52340B06"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465152BC" w14:textId="59AD7AA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Creación de un buzón de quejas y sugerencias </w:t>
            </w:r>
          </w:p>
        </w:tc>
        <w:tc>
          <w:tcPr>
            <w:tcW w:w="264" w:type="dxa"/>
          </w:tcPr>
          <w:p w14:paraId="38DFCFC3" w14:textId="6F46CEE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Informe </w:t>
            </w:r>
          </w:p>
        </w:tc>
        <w:tc>
          <w:tcPr>
            <w:tcW w:w="1437" w:type="dxa"/>
          </w:tcPr>
          <w:p w14:paraId="7D324108" w14:textId="0A7D42C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0BF5BDE8" w14:textId="0277765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6D831344" w14:textId="3C034A8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58871B6D" w14:textId="654F315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0E0217AE"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197CAA2" w14:textId="2A243FE7"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Visitas a la comandancia municipal </w:t>
            </w:r>
          </w:p>
        </w:tc>
        <w:tc>
          <w:tcPr>
            <w:tcW w:w="264" w:type="dxa"/>
          </w:tcPr>
          <w:p w14:paraId="27458072" w14:textId="4BB4595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Visitas </w:t>
            </w:r>
          </w:p>
        </w:tc>
        <w:tc>
          <w:tcPr>
            <w:tcW w:w="1437" w:type="dxa"/>
          </w:tcPr>
          <w:p w14:paraId="305D55DB" w14:textId="60D3F89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07B36E21" w14:textId="3EF52D4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0994AAFA" w14:textId="5ED69D8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276FFB22" w14:textId="6A66791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5C4E8B6F"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015316E7" w14:textId="783F7B61"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Realizar campañas de información de las obligaciones de los servidores públicos</w:t>
            </w:r>
          </w:p>
        </w:tc>
        <w:tc>
          <w:tcPr>
            <w:tcW w:w="264" w:type="dxa"/>
          </w:tcPr>
          <w:p w14:paraId="6BA2413B" w14:textId="366D424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Campaña </w:t>
            </w:r>
          </w:p>
        </w:tc>
        <w:tc>
          <w:tcPr>
            <w:tcW w:w="1437" w:type="dxa"/>
          </w:tcPr>
          <w:p w14:paraId="4AAD5FCF" w14:textId="1893A7E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120</w:t>
            </w:r>
          </w:p>
        </w:tc>
        <w:tc>
          <w:tcPr>
            <w:tcW w:w="1455" w:type="dxa"/>
          </w:tcPr>
          <w:p w14:paraId="78415273" w14:textId="739E3A0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120</w:t>
            </w:r>
          </w:p>
        </w:tc>
        <w:tc>
          <w:tcPr>
            <w:tcW w:w="0" w:type="auto"/>
          </w:tcPr>
          <w:p w14:paraId="7D050633" w14:textId="18247C2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120</w:t>
            </w:r>
          </w:p>
        </w:tc>
        <w:tc>
          <w:tcPr>
            <w:tcW w:w="0" w:type="auto"/>
          </w:tcPr>
          <w:p w14:paraId="44CBDF9E" w14:textId="4ABBAFC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360</w:t>
            </w:r>
          </w:p>
        </w:tc>
      </w:tr>
      <w:tr w:rsidR="000B531E" w:rsidRPr="000B531E" w14:paraId="3F3E6271"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C4815C3" w14:textId="1D52FCF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Visitas de inspección a las oficinas gubernamentales </w:t>
            </w:r>
          </w:p>
        </w:tc>
        <w:tc>
          <w:tcPr>
            <w:tcW w:w="264" w:type="dxa"/>
          </w:tcPr>
          <w:p w14:paraId="0477BE06" w14:textId="13BF9F3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Visitas </w:t>
            </w:r>
          </w:p>
        </w:tc>
        <w:tc>
          <w:tcPr>
            <w:tcW w:w="1437" w:type="dxa"/>
          </w:tcPr>
          <w:p w14:paraId="00C19A0A" w14:textId="394BFB1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80</w:t>
            </w:r>
          </w:p>
        </w:tc>
        <w:tc>
          <w:tcPr>
            <w:tcW w:w="1455" w:type="dxa"/>
          </w:tcPr>
          <w:p w14:paraId="1E3F2B68" w14:textId="32ED643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80</w:t>
            </w:r>
          </w:p>
        </w:tc>
        <w:tc>
          <w:tcPr>
            <w:tcW w:w="0" w:type="auto"/>
          </w:tcPr>
          <w:p w14:paraId="7870E9FA" w14:textId="582AACA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80</w:t>
            </w:r>
          </w:p>
        </w:tc>
        <w:tc>
          <w:tcPr>
            <w:tcW w:w="0" w:type="auto"/>
          </w:tcPr>
          <w:p w14:paraId="1ECD262E" w14:textId="782D991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240</w:t>
            </w:r>
          </w:p>
        </w:tc>
      </w:tr>
      <w:tr w:rsidR="000B531E" w:rsidRPr="000B531E" w14:paraId="6A879930"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57535793" w14:textId="08570A2F"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Efectuar sesiones para atender a la demanda ciudadana </w:t>
            </w:r>
          </w:p>
        </w:tc>
        <w:tc>
          <w:tcPr>
            <w:tcW w:w="264" w:type="dxa"/>
          </w:tcPr>
          <w:p w14:paraId="33538A07" w14:textId="0E2E663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Sesiones </w:t>
            </w:r>
          </w:p>
        </w:tc>
        <w:tc>
          <w:tcPr>
            <w:tcW w:w="1437" w:type="dxa"/>
          </w:tcPr>
          <w:p w14:paraId="26E31067" w14:textId="2515491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900</w:t>
            </w:r>
          </w:p>
        </w:tc>
        <w:tc>
          <w:tcPr>
            <w:tcW w:w="1455" w:type="dxa"/>
          </w:tcPr>
          <w:p w14:paraId="6FF8FB6F" w14:textId="3CA0E446"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900</w:t>
            </w:r>
          </w:p>
        </w:tc>
        <w:tc>
          <w:tcPr>
            <w:tcW w:w="0" w:type="auto"/>
          </w:tcPr>
          <w:p w14:paraId="3DD2BE1F" w14:textId="036215C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900</w:t>
            </w:r>
          </w:p>
        </w:tc>
        <w:tc>
          <w:tcPr>
            <w:tcW w:w="0" w:type="auto"/>
          </w:tcPr>
          <w:p w14:paraId="58D47B36" w14:textId="64E9CCDA"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2700</w:t>
            </w:r>
          </w:p>
        </w:tc>
      </w:tr>
      <w:tr w:rsidR="000B531E" w:rsidRPr="000B531E" w14:paraId="7823EC76"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6F0CA6B8" w14:textId="7864C06D"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audiencias canalizadas a las diferentes áreas para su atención </w:t>
            </w:r>
          </w:p>
        </w:tc>
        <w:tc>
          <w:tcPr>
            <w:tcW w:w="264" w:type="dxa"/>
          </w:tcPr>
          <w:p w14:paraId="5364CA58" w14:textId="4C3711C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Audiencia </w:t>
            </w:r>
          </w:p>
        </w:tc>
        <w:tc>
          <w:tcPr>
            <w:tcW w:w="1437" w:type="dxa"/>
          </w:tcPr>
          <w:p w14:paraId="5CB36237" w14:textId="77B0F23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330</w:t>
            </w:r>
          </w:p>
        </w:tc>
        <w:tc>
          <w:tcPr>
            <w:tcW w:w="1455" w:type="dxa"/>
          </w:tcPr>
          <w:p w14:paraId="68CBC66C" w14:textId="5A488D9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330</w:t>
            </w:r>
          </w:p>
        </w:tc>
        <w:tc>
          <w:tcPr>
            <w:tcW w:w="0" w:type="auto"/>
          </w:tcPr>
          <w:p w14:paraId="6C881365" w14:textId="2C6D4F8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330</w:t>
            </w:r>
          </w:p>
        </w:tc>
        <w:tc>
          <w:tcPr>
            <w:tcW w:w="0" w:type="auto"/>
          </w:tcPr>
          <w:p w14:paraId="3B5CF4B1" w14:textId="7891785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990</w:t>
            </w:r>
          </w:p>
        </w:tc>
      </w:tr>
      <w:tr w:rsidR="000B531E" w:rsidRPr="000B531E" w14:paraId="183752E1"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1533539F" w14:textId="7FC26A35"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lastRenderedPageBreak/>
              <w:t xml:space="preserve">Apoyar en la realización de diferentes eventos </w:t>
            </w:r>
          </w:p>
        </w:tc>
        <w:tc>
          <w:tcPr>
            <w:tcW w:w="264" w:type="dxa"/>
          </w:tcPr>
          <w:p w14:paraId="6D1BABD6" w14:textId="607173E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Evento </w:t>
            </w:r>
          </w:p>
        </w:tc>
        <w:tc>
          <w:tcPr>
            <w:tcW w:w="1437" w:type="dxa"/>
          </w:tcPr>
          <w:p w14:paraId="599C2FF8" w14:textId="7B78607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19</w:t>
            </w:r>
          </w:p>
        </w:tc>
        <w:tc>
          <w:tcPr>
            <w:tcW w:w="1455" w:type="dxa"/>
          </w:tcPr>
          <w:p w14:paraId="57E9276A" w14:textId="5419EFF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19</w:t>
            </w:r>
          </w:p>
        </w:tc>
        <w:tc>
          <w:tcPr>
            <w:tcW w:w="0" w:type="auto"/>
          </w:tcPr>
          <w:p w14:paraId="269A040C" w14:textId="02172FF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19</w:t>
            </w:r>
          </w:p>
        </w:tc>
        <w:tc>
          <w:tcPr>
            <w:tcW w:w="0" w:type="auto"/>
          </w:tcPr>
          <w:p w14:paraId="7D9A0178" w14:textId="4E9900A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57</w:t>
            </w:r>
          </w:p>
        </w:tc>
      </w:tr>
      <w:tr w:rsidR="000B531E" w:rsidRPr="000B531E" w14:paraId="530B0D37"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D734600" w14:textId="5EBA2D21"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Atender las solicitudes de información pública solventadas </w:t>
            </w:r>
          </w:p>
        </w:tc>
        <w:tc>
          <w:tcPr>
            <w:tcW w:w="264" w:type="dxa"/>
          </w:tcPr>
          <w:p w14:paraId="6A5133AE" w14:textId="2762398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Solicitudes</w:t>
            </w:r>
          </w:p>
        </w:tc>
        <w:tc>
          <w:tcPr>
            <w:tcW w:w="1437" w:type="dxa"/>
          </w:tcPr>
          <w:p w14:paraId="48389791" w14:textId="7E4506F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w:t>
            </w:r>
          </w:p>
        </w:tc>
        <w:tc>
          <w:tcPr>
            <w:tcW w:w="1455" w:type="dxa"/>
          </w:tcPr>
          <w:p w14:paraId="3E1B6B18" w14:textId="392A252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w:t>
            </w:r>
          </w:p>
        </w:tc>
        <w:tc>
          <w:tcPr>
            <w:tcW w:w="0" w:type="auto"/>
          </w:tcPr>
          <w:p w14:paraId="3CE85441" w14:textId="20E00BC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w:t>
            </w:r>
          </w:p>
        </w:tc>
        <w:tc>
          <w:tcPr>
            <w:tcW w:w="0" w:type="auto"/>
          </w:tcPr>
          <w:p w14:paraId="37F527F7" w14:textId="4E30BD7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r>
      <w:tr w:rsidR="000B531E" w:rsidRPr="000B531E" w14:paraId="6A48E79E"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6A06D2B1" w14:textId="3EE24957"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Atender las solicitudes de información pública</w:t>
            </w:r>
          </w:p>
        </w:tc>
        <w:tc>
          <w:tcPr>
            <w:tcW w:w="264" w:type="dxa"/>
          </w:tcPr>
          <w:p w14:paraId="22CDB6BB" w14:textId="0A245BC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Solicitudes</w:t>
            </w:r>
          </w:p>
        </w:tc>
        <w:tc>
          <w:tcPr>
            <w:tcW w:w="1437" w:type="dxa"/>
          </w:tcPr>
          <w:p w14:paraId="48E7E306" w14:textId="2FE1E4F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w:t>
            </w:r>
          </w:p>
        </w:tc>
        <w:tc>
          <w:tcPr>
            <w:tcW w:w="1455" w:type="dxa"/>
          </w:tcPr>
          <w:p w14:paraId="02FD34C6" w14:textId="0818D0D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w:t>
            </w:r>
          </w:p>
        </w:tc>
        <w:tc>
          <w:tcPr>
            <w:tcW w:w="0" w:type="auto"/>
          </w:tcPr>
          <w:p w14:paraId="46DE505E" w14:textId="3B11638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100</w:t>
            </w:r>
          </w:p>
        </w:tc>
        <w:tc>
          <w:tcPr>
            <w:tcW w:w="0" w:type="auto"/>
          </w:tcPr>
          <w:p w14:paraId="59BE0815" w14:textId="2525446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r>
      <w:tr w:rsidR="000B531E" w:rsidRPr="000B531E" w14:paraId="59E98887"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9EA7803" w14:textId="21BE335B"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Actualización de las fracciones y especificas por parte de los sujetos habilitados </w:t>
            </w:r>
          </w:p>
        </w:tc>
        <w:tc>
          <w:tcPr>
            <w:tcW w:w="264" w:type="dxa"/>
          </w:tcPr>
          <w:p w14:paraId="030AB5E1" w14:textId="18C5014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Actualización </w:t>
            </w:r>
          </w:p>
        </w:tc>
        <w:tc>
          <w:tcPr>
            <w:tcW w:w="1437" w:type="dxa"/>
          </w:tcPr>
          <w:p w14:paraId="4CF02159" w14:textId="58CEC4C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333C3E68" w14:textId="0F5EF04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2932FBEA" w14:textId="483507F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23F71B92" w14:textId="3580958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066366D5"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6F2790BC" w14:textId="20F6533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Capacitación de los servidores públicos en materia de protección de datos personales </w:t>
            </w:r>
          </w:p>
        </w:tc>
        <w:tc>
          <w:tcPr>
            <w:tcW w:w="264" w:type="dxa"/>
          </w:tcPr>
          <w:p w14:paraId="5BE87980" w14:textId="24E3044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Capacitación </w:t>
            </w:r>
          </w:p>
        </w:tc>
        <w:tc>
          <w:tcPr>
            <w:tcW w:w="1437" w:type="dxa"/>
          </w:tcPr>
          <w:p w14:paraId="008A116D" w14:textId="3428D4F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1455" w:type="dxa"/>
          </w:tcPr>
          <w:p w14:paraId="4BCB219E" w14:textId="1D7EDD2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4AD58BE2" w14:textId="26F6D75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7D64281A" w14:textId="66B00AF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r>
      <w:tr w:rsidR="000B531E" w:rsidRPr="000B531E" w14:paraId="495BEE05"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E6CB6BF" w14:textId="0AA1377E"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Dar seguimiento a los recursos de revisión </w:t>
            </w:r>
          </w:p>
        </w:tc>
        <w:tc>
          <w:tcPr>
            <w:tcW w:w="264" w:type="dxa"/>
          </w:tcPr>
          <w:p w14:paraId="1BAB8E29" w14:textId="65DA921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Procedimiento </w:t>
            </w:r>
          </w:p>
        </w:tc>
        <w:tc>
          <w:tcPr>
            <w:tcW w:w="1437" w:type="dxa"/>
          </w:tcPr>
          <w:p w14:paraId="1F798D65" w14:textId="0D2495B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5320EA5" w14:textId="4F8F6664"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3C689733" w14:textId="4B57E1E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137D4F67" w14:textId="0582DB2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45504594"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66C71A38" w14:textId="081F08EB"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Solicitudes de información turnadas en las áreas administrativas correspondientes </w:t>
            </w:r>
          </w:p>
        </w:tc>
        <w:tc>
          <w:tcPr>
            <w:tcW w:w="264" w:type="dxa"/>
          </w:tcPr>
          <w:p w14:paraId="7F45BF77" w14:textId="29A5E25C"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Solicitudes </w:t>
            </w:r>
          </w:p>
        </w:tc>
        <w:tc>
          <w:tcPr>
            <w:tcW w:w="1437" w:type="dxa"/>
          </w:tcPr>
          <w:p w14:paraId="31CF325D" w14:textId="5BE9A5B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120</w:t>
            </w:r>
          </w:p>
        </w:tc>
        <w:tc>
          <w:tcPr>
            <w:tcW w:w="1455" w:type="dxa"/>
          </w:tcPr>
          <w:p w14:paraId="74CBF69E" w14:textId="2D87ED9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120</w:t>
            </w:r>
          </w:p>
        </w:tc>
        <w:tc>
          <w:tcPr>
            <w:tcW w:w="0" w:type="auto"/>
          </w:tcPr>
          <w:p w14:paraId="4FC10DA0" w14:textId="52B3BBC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120</w:t>
            </w:r>
          </w:p>
        </w:tc>
        <w:tc>
          <w:tcPr>
            <w:tcW w:w="0" w:type="auto"/>
          </w:tcPr>
          <w:p w14:paraId="3C348147" w14:textId="5438E63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360</w:t>
            </w:r>
          </w:p>
        </w:tc>
      </w:tr>
      <w:tr w:rsidR="000B531E" w:rsidRPr="000B531E" w14:paraId="344ACB4E"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38A0EDD" w14:textId="25E59D8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Efectuar sesiones del comité de Transparencia Municipal</w:t>
            </w:r>
          </w:p>
        </w:tc>
        <w:tc>
          <w:tcPr>
            <w:tcW w:w="264" w:type="dxa"/>
          </w:tcPr>
          <w:p w14:paraId="526914CB" w14:textId="74D94F6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Sesión </w:t>
            </w:r>
          </w:p>
        </w:tc>
        <w:tc>
          <w:tcPr>
            <w:tcW w:w="1437" w:type="dxa"/>
          </w:tcPr>
          <w:p w14:paraId="244F87CA" w14:textId="4FC8434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A191445" w14:textId="50CA471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F2B6445" w14:textId="7B1756E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EB296AA" w14:textId="496E230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671CD86A"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466371E" w14:textId="2141A8AB"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Expedir certificación de clave, valor catastral y plano manzanero </w:t>
            </w:r>
          </w:p>
        </w:tc>
        <w:tc>
          <w:tcPr>
            <w:tcW w:w="264" w:type="dxa"/>
          </w:tcPr>
          <w:p w14:paraId="505D5430" w14:textId="6EF070A6"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Certificación </w:t>
            </w:r>
          </w:p>
        </w:tc>
        <w:tc>
          <w:tcPr>
            <w:tcW w:w="1437" w:type="dxa"/>
          </w:tcPr>
          <w:p w14:paraId="27738A8F" w14:textId="191E89EA"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1455" w:type="dxa"/>
          </w:tcPr>
          <w:p w14:paraId="1697509D" w14:textId="439DA85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0" w:type="auto"/>
          </w:tcPr>
          <w:p w14:paraId="45FC6782" w14:textId="1250767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0" w:type="auto"/>
          </w:tcPr>
          <w:p w14:paraId="7F1BC336" w14:textId="33DC7630"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900</w:t>
            </w:r>
          </w:p>
        </w:tc>
      </w:tr>
      <w:tr w:rsidR="000B531E" w:rsidRPr="000B531E" w14:paraId="1CB39AA1"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8A746A1" w14:textId="2BAEDE90"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Elaborar y expedir constancias de información catastral </w:t>
            </w:r>
          </w:p>
        </w:tc>
        <w:tc>
          <w:tcPr>
            <w:tcW w:w="264" w:type="dxa"/>
          </w:tcPr>
          <w:p w14:paraId="244D6C73" w14:textId="6E9D0CF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Constancia </w:t>
            </w:r>
          </w:p>
        </w:tc>
        <w:tc>
          <w:tcPr>
            <w:tcW w:w="1437" w:type="dxa"/>
          </w:tcPr>
          <w:p w14:paraId="49464913" w14:textId="1A06FA4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1455" w:type="dxa"/>
          </w:tcPr>
          <w:p w14:paraId="286E3AD1" w14:textId="18BB752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27D32065" w14:textId="6A89C4A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698E8C92" w14:textId="424983E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r>
      <w:tr w:rsidR="000B531E" w:rsidRPr="000B531E" w14:paraId="49636EED"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13FC0F2" w14:textId="1955CA80"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Actualizar tablas de valores unitarios de suelo </w:t>
            </w:r>
          </w:p>
        </w:tc>
        <w:tc>
          <w:tcPr>
            <w:tcW w:w="264" w:type="dxa"/>
          </w:tcPr>
          <w:p w14:paraId="75D9CF10" w14:textId="0B464FF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Proyecto </w:t>
            </w:r>
          </w:p>
        </w:tc>
        <w:tc>
          <w:tcPr>
            <w:tcW w:w="1437" w:type="dxa"/>
          </w:tcPr>
          <w:p w14:paraId="3FE9A022" w14:textId="23768AC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1455" w:type="dxa"/>
          </w:tcPr>
          <w:p w14:paraId="00B113FE" w14:textId="15B7ACAC"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0" w:type="auto"/>
          </w:tcPr>
          <w:p w14:paraId="2458B05F" w14:textId="4267FFE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0" w:type="auto"/>
          </w:tcPr>
          <w:p w14:paraId="7972EFB8" w14:textId="2AD1FED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w:t>
            </w:r>
          </w:p>
        </w:tc>
      </w:tr>
      <w:tr w:rsidR="000B531E" w:rsidRPr="000B531E" w14:paraId="39E12BDB"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6A34CBF" w14:textId="552A4C7B"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Incorporar predios al padrón catastral </w:t>
            </w:r>
          </w:p>
        </w:tc>
        <w:tc>
          <w:tcPr>
            <w:tcW w:w="264" w:type="dxa"/>
          </w:tcPr>
          <w:p w14:paraId="41C3FC46" w14:textId="52C4E45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Predio</w:t>
            </w:r>
          </w:p>
        </w:tc>
        <w:tc>
          <w:tcPr>
            <w:tcW w:w="1437" w:type="dxa"/>
          </w:tcPr>
          <w:p w14:paraId="16B1EECF" w14:textId="6679FA9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200</w:t>
            </w:r>
          </w:p>
        </w:tc>
        <w:tc>
          <w:tcPr>
            <w:tcW w:w="1455" w:type="dxa"/>
          </w:tcPr>
          <w:p w14:paraId="43234BD2" w14:textId="7090144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200</w:t>
            </w:r>
          </w:p>
        </w:tc>
        <w:tc>
          <w:tcPr>
            <w:tcW w:w="0" w:type="auto"/>
          </w:tcPr>
          <w:p w14:paraId="3C20A236" w14:textId="6267C1C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200</w:t>
            </w:r>
          </w:p>
        </w:tc>
        <w:tc>
          <w:tcPr>
            <w:tcW w:w="0" w:type="auto"/>
          </w:tcPr>
          <w:p w14:paraId="4AFBD32C" w14:textId="41831B8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600</w:t>
            </w:r>
          </w:p>
        </w:tc>
      </w:tr>
      <w:tr w:rsidR="000B531E" w:rsidRPr="000B531E" w14:paraId="2C645013"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0E5C477B" w14:textId="5DC326FC"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Registro en el padrón catastral de los predios regularizados</w:t>
            </w:r>
          </w:p>
        </w:tc>
        <w:tc>
          <w:tcPr>
            <w:tcW w:w="264" w:type="dxa"/>
          </w:tcPr>
          <w:p w14:paraId="052EE1C6" w14:textId="22BB8CCE"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Predio</w:t>
            </w:r>
          </w:p>
        </w:tc>
        <w:tc>
          <w:tcPr>
            <w:tcW w:w="1437" w:type="dxa"/>
          </w:tcPr>
          <w:p w14:paraId="72982339" w14:textId="10158CF6"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1455" w:type="dxa"/>
          </w:tcPr>
          <w:p w14:paraId="518C27AF" w14:textId="25CD6FD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0" w:type="auto"/>
          </w:tcPr>
          <w:p w14:paraId="08DB46A9" w14:textId="554866F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0" w:type="auto"/>
          </w:tcPr>
          <w:p w14:paraId="5F326BF4" w14:textId="55A3061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900</w:t>
            </w:r>
          </w:p>
        </w:tc>
      </w:tr>
      <w:tr w:rsidR="000B531E" w:rsidRPr="000B531E" w14:paraId="2EC05A79"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F60B9FA" w14:textId="6A2DA3ED"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Expedir servicios catastrales </w:t>
            </w:r>
          </w:p>
        </w:tc>
        <w:tc>
          <w:tcPr>
            <w:tcW w:w="264" w:type="dxa"/>
          </w:tcPr>
          <w:p w14:paraId="5CCB73D3" w14:textId="73F6B9C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Solicitud</w:t>
            </w:r>
          </w:p>
        </w:tc>
        <w:tc>
          <w:tcPr>
            <w:tcW w:w="1437" w:type="dxa"/>
          </w:tcPr>
          <w:p w14:paraId="042754DA" w14:textId="5B42CD3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1455" w:type="dxa"/>
          </w:tcPr>
          <w:p w14:paraId="73EED196" w14:textId="2CC82FA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0" w:type="auto"/>
          </w:tcPr>
          <w:p w14:paraId="2BEB4FA5" w14:textId="16D987C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300</w:t>
            </w:r>
          </w:p>
        </w:tc>
        <w:tc>
          <w:tcPr>
            <w:tcW w:w="0" w:type="auto"/>
          </w:tcPr>
          <w:p w14:paraId="7D5B32FF" w14:textId="323B33F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900</w:t>
            </w:r>
          </w:p>
        </w:tc>
      </w:tr>
      <w:tr w:rsidR="000B531E" w:rsidRPr="000B531E" w14:paraId="720F8DE3"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245B94EC" w14:textId="24454D92"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Servicios catastrales atendidos </w:t>
            </w:r>
          </w:p>
        </w:tc>
        <w:tc>
          <w:tcPr>
            <w:tcW w:w="264" w:type="dxa"/>
          </w:tcPr>
          <w:p w14:paraId="686CE7B7" w14:textId="11BD8E6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Solicitud</w:t>
            </w:r>
          </w:p>
        </w:tc>
        <w:tc>
          <w:tcPr>
            <w:tcW w:w="1437" w:type="dxa"/>
          </w:tcPr>
          <w:p w14:paraId="35024A59" w14:textId="300D511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500</w:t>
            </w:r>
          </w:p>
        </w:tc>
        <w:tc>
          <w:tcPr>
            <w:tcW w:w="1455" w:type="dxa"/>
          </w:tcPr>
          <w:p w14:paraId="33EAFD44" w14:textId="09EC143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500</w:t>
            </w:r>
          </w:p>
        </w:tc>
        <w:tc>
          <w:tcPr>
            <w:tcW w:w="0" w:type="auto"/>
          </w:tcPr>
          <w:p w14:paraId="5902F7BD" w14:textId="40CFE19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500</w:t>
            </w:r>
          </w:p>
        </w:tc>
        <w:tc>
          <w:tcPr>
            <w:tcW w:w="0" w:type="auto"/>
          </w:tcPr>
          <w:p w14:paraId="61E6E5ED" w14:textId="020F0BE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1500</w:t>
            </w:r>
          </w:p>
        </w:tc>
      </w:tr>
      <w:tr w:rsidR="000B531E" w:rsidRPr="000B531E" w14:paraId="4F77822B"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9C320AB" w14:textId="16480B17"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asentamientos de acta de nacimiento </w:t>
            </w:r>
          </w:p>
        </w:tc>
        <w:tc>
          <w:tcPr>
            <w:tcW w:w="264" w:type="dxa"/>
          </w:tcPr>
          <w:p w14:paraId="2DC92CD8" w14:textId="64DE1BF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Actas</w:t>
            </w:r>
          </w:p>
        </w:tc>
        <w:tc>
          <w:tcPr>
            <w:tcW w:w="1437" w:type="dxa"/>
          </w:tcPr>
          <w:p w14:paraId="19CA2374" w14:textId="37E4B75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144</w:t>
            </w:r>
          </w:p>
        </w:tc>
        <w:tc>
          <w:tcPr>
            <w:tcW w:w="1455" w:type="dxa"/>
          </w:tcPr>
          <w:p w14:paraId="7ABEC977" w14:textId="5C59624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144</w:t>
            </w:r>
          </w:p>
        </w:tc>
        <w:tc>
          <w:tcPr>
            <w:tcW w:w="0" w:type="auto"/>
          </w:tcPr>
          <w:p w14:paraId="0443E082" w14:textId="6C1D6044"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144</w:t>
            </w:r>
          </w:p>
        </w:tc>
        <w:tc>
          <w:tcPr>
            <w:tcW w:w="0" w:type="auto"/>
          </w:tcPr>
          <w:p w14:paraId="3B087B85" w14:textId="3E02FC4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432</w:t>
            </w:r>
          </w:p>
        </w:tc>
      </w:tr>
      <w:tr w:rsidR="000B531E" w:rsidRPr="000B531E" w14:paraId="55CEE796"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6C99831" w14:textId="1395E985"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asentamientos de acta de matrimonio </w:t>
            </w:r>
          </w:p>
        </w:tc>
        <w:tc>
          <w:tcPr>
            <w:tcW w:w="264" w:type="dxa"/>
          </w:tcPr>
          <w:p w14:paraId="6EE07134" w14:textId="792C5B1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Actas</w:t>
            </w:r>
          </w:p>
        </w:tc>
        <w:tc>
          <w:tcPr>
            <w:tcW w:w="1437" w:type="dxa"/>
          </w:tcPr>
          <w:p w14:paraId="3363DD30" w14:textId="35AFA85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92959AD" w14:textId="2EDB19B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6261F027" w14:textId="2675FC6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6246EBBF" w14:textId="17602E5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4870F823"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D97403A" w14:textId="5FDDB6C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asentamientos de actas de defunción </w:t>
            </w:r>
          </w:p>
        </w:tc>
        <w:tc>
          <w:tcPr>
            <w:tcW w:w="264" w:type="dxa"/>
          </w:tcPr>
          <w:p w14:paraId="2E87F000" w14:textId="57BA234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Actas</w:t>
            </w:r>
          </w:p>
        </w:tc>
        <w:tc>
          <w:tcPr>
            <w:tcW w:w="1437" w:type="dxa"/>
          </w:tcPr>
          <w:p w14:paraId="300EFE74" w14:textId="1AE8F22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17</w:t>
            </w:r>
          </w:p>
        </w:tc>
        <w:tc>
          <w:tcPr>
            <w:tcW w:w="1455" w:type="dxa"/>
          </w:tcPr>
          <w:p w14:paraId="4A44626F" w14:textId="759D957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17</w:t>
            </w:r>
          </w:p>
        </w:tc>
        <w:tc>
          <w:tcPr>
            <w:tcW w:w="0" w:type="auto"/>
          </w:tcPr>
          <w:p w14:paraId="3C81224D" w14:textId="397B8F8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17</w:t>
            </w:r>
          </w:p>
        </w:tc>
        <w:tc>
          <w:tcPr>
            <w:tcW w:w="0" w:type="auto"/>
          </w:tcPr>
          <w:p w14:paraId="410DC5FB" w14:textId="543F23B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51</w:t>
            </w:r>
          </w:p>
        </w:tc>
      </w:tr>
      <w:tr w:rsidR="000B531E" w:rsidRPr="000B531E" w14:paraId="7CB47C46"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0EC3B45" w14:textId="1549D0E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asentamientos de actas de reconocimiento </w:t>
            </w:r>
          </w:p>
        </w:tc>
        <w:tc>
          <w:tcPr>
            <w:tcW w:w="264" w:type="dxa"/>
          </w:tcPr>
          <w:p w14:paraId="71AA96C3" w14:textId="4BDF712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Actas</w:t>
            </w:r>
          </w:p>
        </w:tc>
        <w:tc>
          <w:tcPr>
            <w:tcW w:w="1437" w:type="dxa"/>
          </w:tcPr>
          <w:p w14:paraId="3866A8BB" w14:textId="5604B31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5563EB5E" w14:textId="0D5775F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75496264" w14:textId="6F553AD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1B509017" w14:textId="33BEB66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72251427"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31072EE" w14:textId="366849BC"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asentamientos de actas de divorcio </w:t>
            </w:r>
          </w:p>
        </w:tc>
        <w:tc>
          <w:tcPr>
            <w:tcW w:w="264" w:type="dxa"/>
          </w:tcPr>
          <w:p w14:paraId="1915E4B6" w14:textId="59E1939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Actas</w:t>
            </w:r>
          </w:p>
        </w:tc>
        <w:tc>
          <w:tcPr>
            <w:tcW w:w="1437" w:type="dxa"/>
          </w:tcPr>
          <w:p w14:paraId="77F3E232" w14:textId="3DE860C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60</w:t>
            </w:r>
          </w:p>
        </w:tc>
        <w:tc>
          <w:tcPr>
            <w:tcW w:w="1455" w:type="dxa"/>
          </w:tcPr>
          <w:p w14:paraId="62398E53" w14:textId="16D5600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60</w:t>
            </w:r>
          </w:p>
        </w:tc>
        <w:tc>
          <w:tcPr>
            <w:tcW w:w="0" w:type="auto"/>
          </w:tcPr>
          <w:p w14:paraId="5515F139" w14:textId="12D0B23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60</w:t>
            </w:r>
          </w:p>
        </w:tc>
        <w:tc>
          <w:tcPr>
            <w:tcW w:w="0" w:type="auto"/>
          </w:tcPr>
          <w:p w14:paraId="45D40733" w14:textId="6B510BF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180</w:t>
            </w:r>
          </w:p>
        </w:tc>
      </w:tr>
      <w:tr w:rsidR="000B531E" w:rsidRPr="000B531E" w14:paraId="19C5089F"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13831A33" w14:textId="1F4500D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expedición de actas certificadas </w:t>
            </w:r>
          </w:p>
        </w:tc>
        <w:tc>
          <w:tcPr>
            <w:tcW w:w="264" w:type="dxa"/>
          </w:tcPr>
          <w:p w14:paraId="2790DE16" w14:textId="353DE03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Actas</w:t>
            </w:r>
          </w:p>
        </w:tc>
        <w:tc>
          <w:tcPr>
            <w:tcW w:w="1437" w:type="dxa"/>
          </w:tcPr>
          <w:p w14:paraId="7BA4B75F" w14:textId="21CE9876"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2288</w:t>
            </w:r>
          </w:p>
        </w:tc>
        <w:tc>
          <w:tcPr>
            <w:tcW w:w="1455" w:type="dxa"/>
          </w:tcPr>
          <w:p w14:paraId="791BBF5B" w14:textId="0DBBA67C"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2288</w:t>
            </w:r>
          </w:p>
        </w:tc>
        <w:tc>
          <w:tcPr>
            <w:tcW w:w="0" w:type="auto"/>
          </w:tcPr>
          <w:p w14:paraId="3888EC09" w14:textId="72EE9EB0"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2288</w:t>
            </w:r>
          </w:p>
        </w:tc>
        <w:tc>
          <w:tcPr>
            <w:tcW w:w="0" w:type="auto"/>
          </w:tcPr>
          <w:p w14:paraId="77D3F759" w14:textId="474AB64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6864</w:t>
            </w:r>
          </w:p>
        </w:tc>
      </w:tr>
      <w:tr w:rsidR="000B531E" w:rsidRPr="000B531E" w14:paraId="18BA82F3"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6E875D5" w14:textId="183EC03F"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Realizar trámites claves CURP</w:t>
            </w:r>
          </w:p>
        </w:tc>
        <w:tc>
          <w:tcPr>
            <w:tcW w:w="264" w:type="dxa"/>
          </w:tcPr>
          <w:p w14:paraId="0EFD3D74" w14:textId="3A61E23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Tramites</w:t>
            </w:r>
          </w:p>
        </w:tc>
        <w:tc>
          <w:tcPr>
            <w:tcW w:w="1437" w:type="dxa"/>
          </w:tcPr>
          <w:p w14:paraId="242B5326" w14:textId="582F393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240</w:t>
            </w:r>
          </w:p>
        </w:tc>
        <w:tc>
          <w:tcPr>
            <w:tcW w:w="1455" w:type="dxa"/>
          </w:tcPr>
          <w:p w14:paraId="2D21A1A3" w14:textId="26B2841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240</w:t>
            </w:r>
          </w:p>
        </w:tc>
        <w:tc>
          <w:tcPr>
            <w:tcW w:w="0" w:type="auto"/>
          </w:tcPr>
          <w:p w14:paraId="7E42B2F7" w14:textId="2981438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240</w:t>
            </w:r>
          </w:p>
        </w:tc>
        <w:tc>
          <w:tcPr>
            <w:tcW w:w="0" w:type="auto"/>
          </w:tcPr>
          <w:p w14:paraId="5FD8BC3E" w14:textId="5F08C3E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720</w:t>
            </w:r>
          </w:p>
        </w:tc>
      </w:tr>
      <w:tr w:rsidR="000B531E" w:rsidRPr="000B531E" w14:paraId="34979CF7"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463E5162" w14:textId="6E5116D0"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Procedimientos administrativos y documentación </w:t>
            </w:r>
          </w:p>
        </w:tc>
        <w:tc>
          <w:tcPr>
            <w:tcW w:w="264" w:type="dxa"/>
          </w:tcPr>
          <w:p w14:paraId="5FC503C7" w14:textId="37E520D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Informe </w:t>
            </w:r>
          </w:p>
        </w:tc>
        <w:tc>
          <w:tcPr>
            <w:tcW w:w="1437" w:type="dxa"/>
          </w:tcPr>
          <w:p w14:paraId="242EC7B4" w14:textId="6C2A0543"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31B01923" w14:textId="2318D2C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BC117E6" w14:textId="0A5AE47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9BEB7A2" w14:textId="5BFAE68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24425DE6"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76D84C6" w14:textId="436B495F"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Realizar sesiones del comité de adquisiciones</w:t>
            </w:r>
          </w:p>
        </w:tc>
        <w:tc>
          <w:tcPr>
            <w:tcW w:w="264" w:type="dxa"/>
          </w:tcPr>
          <w:p w14:paraId="7F8B7FFC" w14:textId="05EAAA6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Sesión</w:t>
            </w:r>
          </w:p>
        </w:tc>
        <w:tc>
          <w:tcPr>
            <w:tcW w:w="1437" w:type="dxa"/>
          </w:tcPr>
          <w:p w14:paraId="25B9E182" w14:textId="1698636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670CEE8C" w14:textId="6F291C8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76286525" w14:textId="17398D1E"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06BD390D" w14:textId="15E7726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203AB6D3"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2119008C" w14:textId="6B1D4763"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Actualizar el catálogo de proveedores</w:t>
            </w:r>
          </w:p>
        </w:tc>
        <w:tc>
          <w:tcPr>
            <w:tcW w:w="264" w:type="dxa"/>
          </w:tcPr>
          <w:p w14:paraId="5736B2FB" w14:textId="5D489CF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Actualizar</w:t>
            </w:r>
          </w:p>
        </w:tc>
        <w:tc>
          <w:tcPr>
            <w:tcW w:w="1437" w:type="dxa"/>
          </w:tcPr>
          <w:p w14:paraId="687D22E5" w14:textId="45BAC79C"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1455" w:type="dxa"/>
          </w:tcPr>
          <w:p w14:paraId="23B0919F" w14:textId="29888CA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47CF3FDA" w14:textId="7687D7F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74D165C9" w14:textId="5475635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w:t>
            </w:r>
          </w:p>
        </w:tc>
      </w:tr>
      <w:tr w:rsidR="000B531E" w:rsidRPr="000B531E" w14:paraId="2DA561EC"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07847839" w14:textId="3670F26C"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Elaborar el programa anual de adquisiciones </w:t>
            </w:r>
          </w:p>
        </w:tc>
        <w:tc>
          <w:tcPr>
            <w:tcW w:w="264" w:type="dxa"/>
          </w:tcPr>
          <w:p w14:paraId="0004E5B2" w14:textId="2610EFB4"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Programa</w:t>
            </w:r>
          </w:p>
        </w:tc>
        <w:tc>
          <w:tcPr>
            <w:tcW w:w="1437" w:type="dxa"/>
          </w:tcPr>
          <w:p w14:paraId="56EC9FF9" w14:textId="72C89764"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1455" w:type="dxa"/>
          </w:tcPr>
          <w:p w14:paraId="4EC20A25" w14:textId="1464D0B7"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0" w:type="auto"/>
          </w:tcPr>
          <w:p w14:paraId="050C0A5B" w14:textId="7AA7B9D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w:t>
            </w:r>
          </w:p>
        </w:tc>
        <w:tc>
          <w:tcPr>
            <w:tcW w:w="0" w:type="auto"/>
          </w:tcPr>
          <w:p w14:paraId="39F60187" w14:textId="0F918A9C"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w:t>
            </w:r>
          </w:p>
        </w:tc>
      </w:tr>
      <w:tr w:rsidR="000B531E" w:rsidRPr="000B531E" w14:paraId="58E8B287"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CAA7852" w14:textId="5D7F2EF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Fomentar la capacitación y profesional del personal </w:t>
            </w:r>
          </w:p>
        </w:tc>
        <w:tc>
          <w:tcPr>
            <w:tcW w:w="264" w:type="dxa"/>
          </w:tcPr>
          <w:p w14:paraId="72D6B69B" w14:textId="73392DE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Supervisión</w:t>
            </w:r>
          </w:p>
        </w:tc>
        <w:tc>
          <w:tcPr>
            <w:tcW w:w="1437" w:type="dxa"/>
          </w:tcPr>
          <w:p w14:paraId="322849D3" w14:textId="73A2693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1455" w:type="dxa"/>
          </w:tcPr>
          <w:p w14:paraId="4EA504AF" w14:textId="38AAE6F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2BB19008" w14:textId="0F6AEA3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55EF504E" w14:textId="13A930EE"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r>
      <w:tr w:rsidR="000B531E" w:rsidRPr="000B531E" w14:paraId="1040ECD9"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215B7FC" w14:textId="5CC6DD38"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supervisiones de asistencia y permanencia del personal del ayuntamiento </w:t>
            </w:r>
          </w:p>
        </w:tc>
        <w:tc>
          <w:tcPr>
            <w:tcW w:w="264" w:type="dxa"/>
          </w:tcPr>
          <w:p w14:paraId="464041AC" w14:textId="5421A77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Supervisión</w:t>
            </w:r>
          </w:p>
        </w:tc>
        <w:tc>
          <w:tcPr>
            <w:tcW w:w="1437" w:type="dxa"/>
          </w:tcPr>
          <w:p w14:paraId="2A243888" w14:textId="2A22D00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c>
          <w:tcPr>
            <w:tcW w:w="1455" w:type="dxa"/>
          </w:tcPr>
          <w:p w14:paraId="4A99731A" w14:textId="1492AAA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c>
          <w:tcPr>
            <w:tcW w:w="0" w:type="auto"/>
          </w:tcPr>
          <w:p w14:paraId="7BE18109" w14:textId="59A99EE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c>
          <w:tcPr>
            <w:tcW w:w="0" w:type="auto"/>
          </w:tcPr>
          <w:p w14:paraId="1520393F" w14:textId="5B422D1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72</w:t>
            </w:r>
          </w:p>
        </w:tc>
      </w:tr>
      <w:tr w:rsidR="000B531E" w:rsidRPr="000B531E" w14:paraId="01C1551F"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25CAF4D6" w14:textId="14C94432"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cursos de capacitación a servidores públicos </w:t>
            </w:r>
          </w:p>
        </w:tc>
        <w:tc>
          <w:tcPr>
            <w:tcW w:w="264" w:type="dxa"/>
          </w:tcPr>
          <w:p w14:paraId="761F6B76" w14:textId="0849EE6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Capacitación </w:t>
            </w:r>
          </w:p>
        </w:tc>
        <w:tc>
          <w:tcPr>
            <w:tcW w:w="1437" w:type="dxa"/>
          </w:tcPr>
          <w:p w14:paraId="2E6A9723" w14:textId="174BE71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1455" w:type="dxa"/>
          </w:tcPr>
          <w:p w14:paraId="4A34EA90" w14:textId="55EE53D9"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6B176FC6" w14:textId="33137F8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7D27FA7C" w14:textId="0E1033C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r>
      <w:tr w:rsidR="000B531E" w:rsidRPr="000B531E" w14:paraId="0D70CC13"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0EB334A" w14:textId="1E9E91E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lastRenderedPageBreak/>
              <w:t xml:space="preserve">Elaborar el programa anual de capacitación </w:t>
            </w:r>
          </w:p>
        </w:tc>
        <w:tc>
          <w:tcPr>
            <w:tcW w:w="264" w:type="dxa"/>
          </w:tcPr>
          <w:p w14:paraId="0A1BA476" w14:textId="444F875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Programa</w:t>
            </w:r>
          </w:p>
        </w:tc>
        <w:tc>
          <w:tcPr>
            <w:tcW w:w="1437" w:type="dxa"/>
          </w:tcPr>
          <w:p w14:paraId="6180EFBF" w14:textId="3A07A7D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1455" w:type="dxa"/>
          </w:tcPr>
          <w:p w14:paraId="2A7A6B06" w14:textId="52BF96E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35688997" w14:textId="1B0D496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0673397B" w14:textId="67C4D4D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w:t>
            </w:r>
          </w:p>
        </w:tc>
      </w:tr>
      <w:tr w:rsidR="000B531E" w:rsidRPr="000B531E" w14:paraId="070D41F8"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3B51A4B5" w14:textId="05255A2E"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Registrar los movimientos de altas y bajas de los servidores públicos </w:t>
            </w:r>
          </w:p>
        </w:tc>
        <w:tc>
          <w:tcPr>
            <w:tcW w:w="264" w:type="dxa"/>
          </w:tcPr>
          <w:p w14:paraId="4628893F" w14:textId="05013AAE"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Movimiento</w:t>
            </w:r>
          </w:p>
        </w:tc>
        <w:tc>
          <w:tcPr>
            <w:tcW w:w="1437" w:type="dxa"/>
          </w:tcPr>
          <w:p w14:paraId="1C261965" w14:textId="1B34DFE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1455" w:type="dxa"/>
          </w:tcPr>
          <w:p w14:paraId="7CA8F38E" w14:textId="567D9D3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789493CE" w14:textId="2C04549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w:t>
            </w:r>
          </w:p>
        </w:tc>
        <w:tc>
          <w:tcPr>
            <w:tcW w:w="0" w:type="auto"/>
          </w:tcPr>
          <w:p w14:paraId="76F74489" w14:textId="3D2D0A8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w:t>
            </w:r>
          </w:p>
        </w:tc>
      </w:tr>
      <w:tr w:rsidR="000B531E" w:rsidRPr="000B531E" w14:paraId="5102B9D5"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2A886DC" w14:textId="03F8C9D0"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Actualizar la base de datos del personal </w:t>
            </w:r>
          </w:p>
        </w:tc>
        <w:tc>
          <w:tcPr>
            <w:tcW w:w="264" w:type="dxa"/>
          </w:tcPr>
          <w:p w14:paraId="364A6F81" w14:textId="7A62E6F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Actualización </w:t>
            </w:r>
          </w:p>
        </w:tc>
        <w:tc>
          <w:tcPr>
            <w:tcW w:w="1437" w:type="dxa"/>
          </w:tcPr>
          <w:p w14:paraId="60A46993" w14:textId="3F43404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1455" w:type="dxa"/>
          </w:tcPr>
          <w:p w14:paraId="1E7311B5" w14:textId="12051C8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3F7B1669" w14:textId="6924979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701782D3" w14:textId="3BD7BA2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r>
      <w:tr w:rsidR="000B531E" w:rsidRPr="000B531E" w14:paraId="7852A65B"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70A010D8" w14:textId="5E0CEBD1"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Revisión de documentación soporte de ingresos y egresos </w:t>
            </w:r>
          </w:p>
        </w:tc>
        <w:tc>
          <w:tcPr>
            <w:tcW w:w="264" w:type="dxa"/>
          </w:tcPr>
          <w:p w14:paraId="47B320F6" w14:textId="30BF8A9E"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Documento </w:t>
            </w:r>
          </w:p>
        </w:tc>
        <w:tc>
          <w:tcPr>
            <w:tcW w:w="1437" w:type="dxa"/>
          </w:tcPr>
          <w:p w14:paraId="3E0445D3" w14:textId="3F35932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1455" w:type="dxa"/>
          </w:tcPr>
          <w:p w14:paraId="44F77BEE" w14:textId="055A60F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655A2FDA" w14:textId="7747710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4FEAA898" w14:textId="0AC7C5F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r>
      <w:tr w:rsidR="000B531E" w:rsidRPr="000B531E" w14:paraId="2BFBE138"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5C4FAC8" w14:textId="2D02D6B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Registrar los movimientos de depuración y conciliación fisco-contable de bienes muebles e inmuebles</w:t>
            </w:r>
          </w:p>
        </w:tc>
        <w:tc>
          <w:tcPr>
            <w:tcW w:w="264" w:type="dxa"/>
          </w:tcPr>
          <w:p w14:paraId="40D578BD" w14:textId="60F434F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Documento </w:t>
            </w:r>
          </w:p>
        </w:tc>
        <w:tc>
          <w:tcPr>
            <w:tcW w:w="1437" w:type="dxa"/>
          </w:tcPr>
          <w:p w14:paraId="5885B955" w14:textId="13A01B88"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D23E772" w14:textId="004CEE4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0572B3AB" w14:textId="225EB4C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1C6363E4" w14:textId="264AD22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61BADFAB"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78FBEE71" w14:textId="1F6BD99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Conciliación de cuotas y aportaciones con ISSEMYM</w:t>
            </w:r>
          </w:p>
        </w:tc>
        <w:tc>
          <w:tcPr>
            <w:tcW w:w="264" w:type="dxa"/>
          </w:tcPr>
          <w:p w14:paraId="73F761BB" w14:textId="07871FA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Documento </w:t>
            </w:r>
          </w:p>
        </w:tc>
        <w:tc>
          <w:tcPr>
            <w:tcW w:w="1437" w:type="dxa"/>
          </w:tcPr>
          <w:p w14:paraId="746D265C" w14:textId="65D6A43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A659920" w14:textId="766765B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6B02449" w14:textId="77B6081A"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6E6CDF2E" w14:textId="1D61B99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352EDC37"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9239BFB" w14:textId="4918CDB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Integrar expedientes para su investigación </w:t>
            </w:r>
          </w:p>
        </w:tc>
        <w:tc>
          <w:tcPr>
            <w:tcW w:w="264" w:type="dxa"/>
          </w:tcPr>
          <w:p w14:paraId="4623C580" w14:textId="5798976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Expediente</w:t>
            </w:r>
          </w:p>
        </w:tc>
        <w:tc>
          <w:tcPr>
            <w:tcW w:w="1437" w:type="dxa"/>
          </w:tcPr>
          <w:p w14:paraId="655C86C1" w14:textId="13F4636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1455" w:type="dxa"/>
          </w:tcPr>
          <w:p w14:paraId="29AA905A" w14:textId="2195D68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0F70984D" w14:textId="0C540C2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6D8F8003" w14:textId="0F6216F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r>
      <w:tr w:rsidR="000B531E" w:rsidRPr="000B531E" w14:paraId="0896FB67"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61C2FDD3" w14:textId="4117FEC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Efectuar audiencias iniciales para presuntos responsables audiencia </w:t>
            </w:r>
          </w:p>
        </w:tc>
        <w:tc>
          <w:tcPr>
            <w:tcW w:w="264" w:type="dxa"/>
          </w:tcPr>
          <w:p w14:paraId="10906B4F" w14:textId="509644E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Audiencias </w:t>
            </w:r>
          </w:p>
        </w:tc>
        <w:tc>
          <w:tcPr>
            <w:tcW w:w="1437" w:type="dxa"/>
          </w:tcPr>
          <w:p w14:paraId="0F717F82" w14:textId="2FDF251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1455" w:type="dxa"/>
          </w:tcPr>
          <w:p w14:paraId="10354E7C" w14:textId="1E9FD4C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68109D9F" w14:textId="74B1B65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8</w:t>
            </w:r>
          </w:p>
        </w:tc>
        <w:tc>
          <w:tcPr>
            <w:tcW w:w="0" w:type="auto"/>
          </w:tcPr>
          <w:p w14:paraId="607BCDE7" w14:textId="60AC493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24</w:t>
            </w:r>
          </w:p>
        </w:tc>
      </w:tr>
      <w:tr w:rsidR="000B531E" w:rsidRPr="000B531E" w14:paraId="384FB667"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233741C9" w14:textId="4C80E21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Revisar los recursos de revisión o revocación recursos </w:t>
            </w:r>
          </w:p>
        </w:tc>
        <w:tc>
          <w:tcPr>
            <w:tcW w:w="264" w:type="dxa"/>
          </w:tcPr>
          <w:p w14:paraId="19E38BAC" w14:textId="076EB83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Recursos</w:t>
            </w:r>
          </w:p>
        </w:tc>
        <w:tc>
          <w:tcPr>
            <w:tcW w:w="1437" w:type="dxa"/>
          </w:tcPr>
          <w:p w14:paraId="4971FC2F" w14:textId="3D9EF03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1455" w:type="dxa"/>
          </w:tcPr>
          <w:p w14:paraId="34E4617B" w14:textId="1572A26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387C6D52" w14:textId="69CD589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4</w:t>
            </w:r>
          </w:p>
        </w:tc>
        <w:tc>
          <w:tcPr>
            <w:tcW w:w="0" w:type="auto"/>
          </w:tcPr>
          <w:p w14:paraId="187AC120" w14:textId="05CD1092"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r>
      <w:tr w:rsidR="000B531E" w:rsidRPr="000B531E" w14:paraId="2E6E69D4"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651555B9" w14:textId="270177D9"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Brindar atención a quejas ciudadanas contra servidores públicos</w:t>
            </w:r>
          </w:p>
        </w:tc>
        <w:tc>
          <w:tcPr>
            <w:tcW w:w="264" w:type="dxa"/>
          </w:tcPr>
          <w:p w14:paraId="7E867EE8" w14:textId="7E5F8C4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Quejas </w:t>
            </w:r>
          </w:p>
        </w:tc>
        <w:tc>
          <w:tcPr>
            <w:tcW w:w="1437" w:type="dxa"/>
          </w:tcPr>
          <w:p w14:paraId="08BF8F48" w14:textId="3294A44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37E88085" w14:textId="0B70269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6D972D1B" w14:textId="6884678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5BAA46E3" w14:textId="3A84CAF6"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5DA8A595"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CDEAB0D" w14:textId="136B1131"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Resoluciones de actuaciones de oficio contra manifestaciones de bienes de servidores públicos que fueron omisos </w:t>
            </w:r>
          </w:p>
        </w:tc>
        <w:tc>
          <w:tcPr>
            <w:tcW w:w="264" w:type="dxa"/>
          </w:tcPr>
          <w:p w14:paraId="65550509" w14:textId="0D7F45C4"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Informe </w:t>
            </w:r>
          </w:p>
        </w:tc>
        <w:tc>
          <w:tcPr>
            <w:tcW w:w="1437" w:type="dxa"/>
          </w:tcPr>
          <w:p w14:paraId="09AF1904" w14:textId="66A4362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D5F73C4" w14:textId="44BF9BF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71E8DA5A" w14:textId="05CE317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0D0D98B9" w14:textId="524D4015"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7A464422"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29E51DB2" w14:textId="78A03DE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Notificar citatorio al presunto responsable de una falta administrativa para conocer su audiencia inicial</w:t>
            </w:r>
          </w:p>
        </w:tc>
        <w:tc>
          <w:tcPr>
            <w:tcW w:w="264" w:type="dxa"/>
          </w:tcPr>
          <w:p w14:paraId="55B103F7" w14:textId="367352F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Informe </w:t>
            </w:r>
          </w:p>
        </w:tc>
        <w:tc>
          <w:tcPr>
            <w:tcW w:w="1437" w:type="dxa"/>
          </w:tcPr>
          <w:p w14:paraId="02F1ED75" w14:textId="01434A7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162F4300" w14:textId="0D8C848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2E2A11E6" w14:textId="62C626C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1EFD6632" w14:textId="66CBB5C4"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5470E66D"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4B0C07D" w14:textId="30090B34"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Emitir de acuerdos de archivo en los supuestos donde se advierte la inexistencia de faltas administrativas </w:t>
            </w:r>
          </w:p>
        </w:tc>
        <w:tc>
          <w:tcPr>
            <w:tcW w:w="264" w:type="dxa"/>
          </w:tcPr>
          <w:p w14:paraId="3BD56A3B" w14:textId="65FF8C0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Informe </w:t>
            </w:r>
          </w:p>
        </w:tc>
        <w:tc>
          <w:tcPr>
            <w:tcW w:w="1437" w:type="dxa"/>
          </w:tcPr>
          <w:p w14:paraId="055925CA" w14:textId="17ACB77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480B6D61" w14:textId="5807743F"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79700883" w14:textId="3103862E"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5A038778" w14:textId="6F3F5EC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0FDAE15D"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0A44C9A7" w14:textId="6D2346B0"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Remitir expedientes de la junta de honor y justicia en aquellos expedientes en los que el servidor público es presunto responsable </w:t>
            </w:r>
          </w:p>
        </w:tc>
        <w:tc>
          <w:tcPr>
            <w:tcW w:w="264" w:type="dxa"/>
          </w:tcPr>
          <w:p w14:paraId="0BF8CE48" w14:textId="7D5BC4D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Informe </w:t>
            </w:r>
          </w:p>
        </w:tc>
        <w:tc>
          <w:tcPr>
            <w:tcW w:w="1437" w:type="dxa"/>
          </w:tcPr>
          <w:p w14:paraId="630E65FD" w14:textId="449B9CD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1455" w:type="dxa"/>
          </w:tcPr>
          <w:p w14:paraId="3A6B7FD7" w14:textId="20DD90A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49142848" w14:textId="6F02D2EB"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12</w:t>
            </w:r>
          </w:p>
        </w:tc>
        <w:tc>
          <w:tcPr>
            <w:tcW w:w="0" w:type="auto"/>
          </w:tcPr>
          <w:p w14:paraId="255A2F72" w14:textId="5A627E6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36</w:t>
            </w:r>
          </w:p>
        </w:tc>
      </w:tr>
      <w:tr w:rsidR="000B531E" w:rsidRPr="000B531E" w14:paraId="0E37E280"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5B04620F" w14:textId="0F98FB96"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Integrar los comités de Control y Vigilancia </w:t>
            </w:r>
          </w:p>
        </w:tc>
        <w:tc>
          <w:tcPr>
            <w:tcW w:w="264" w:type="dxa"/>
          </w:tcPr>
          <w:p w14:paraId="5232B8E8" w14:textId="7AF850C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Comités </w:t>
            </w:r>
          </w:p>
        </w:tc>
        <w:tc>
          <w:tcPr>
            <w:tcW w:w="1437" w:type="dxa"/>
          </w:tcPr>
          <w:p w14:paraId="7EEC85DA" w14:textId="233EDCD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1455" w:type="dxa"/>
          </w:tcPr>
          <w:p w14:paraId="52D7F9C6" w14:textId="3DAB377D"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0" w:type="auto"/>
          </w:tcPr>
          <w:p w14:paraId="42960B41" w14:textId="6C7C9B43"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0" w:type="auto"/>
          </w:tcPr>
          <w:p w14:paraId="113A8CCA" w14:textId="035D45EA"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66</w:t>
            </w:r>
          </w:p>
        </w:tc>
      </w:tr>
      <w:tr w:rsidR="000B531E" w:rsidRPr="000B531E" w14:paraId="46597775"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10F8F60F" w14:textId="2C4FDD21"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Revisar los expedientes técnicos de obra </w:t>
            </w:r>
          </w:p>
        </w:tc>
        <w:tc>
          <w:tcPr>
            <w:tcW w:w="264" w:type="dxa"/>
          </w:tcPr>
          <w:p w14:paraId="3A0461B6" w14:textId="0EE2FA88"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Revisión </w:t>
            </w:r>
          </w:p>
        </w:tc>
        <w:tc>
          <w:tcPr>
            <w:tcW w:w="1437" w:type="dxa"/>
          </w:tcPr>
          <w:p w14:paraId="552548CD" w14:textId="34B1E81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1455" w:type="dxa"/>
          </w:tcPr>
          <w:p w14:paraId="1266B778" w14:textId="28213BB5"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0" w:type="auto"/>
          </w:tcPr>
          <w:p w14:paraId="099925A7" w14:textId="1DFC4C92"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0" w:type="auto"/>
          </w:tcPr>
          <w:p w14:paraId="53462DD7" w14:textId="73125141"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66</w:t>
            </w:r>
          </w:p>
        </w:tc>
      </w:tr>
      <w:tr w:rsidR="000B531E" w:rsidRPr="000B531E" w14:paraId="69806F6A" w14:textId="77777777" w:rsidTr="000B53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7148A1FC" w14:textId="20C4311D"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Participar en los procedimientos de adjudicación de obra publica </w:t>
            </w:r>
          </w:p>
        </w:tc>
        <w:tc>
          <w:tcPr>
            <w:tcW w:w="264" w:type="dxa"/>
          </w:tcPr>
          <w:p w14:paraId="0A7B42A0" w14:textId="219CDAD0"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Participación</w:t>
            </w:r>
          </w:p>
        </w:tc>
        <w:tc>
          <w:tcPr>
            <w:tcW w:w="1437" w:type="dxa"/>
          </w:tcPr>
          <w:p w14:paraId="35B7B431" w14:textId="198316A9"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1455" w:type="dxa"/>
          </w:tcPr>
          <w:p w14:paraId="63887AE3" w14:textId="5509149B"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0" w:type="auto"/>
          </w:tcPr>
          <w:p w14:paraId="05DF546C" w14:textId="58685586"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22</w:t>
            </w:r>
          </w:p>
        </w:tc>
        <w:tc>
          <w:tcPr>
            <w:tcW w:w="0" w:type="auto"/>
          </w:tcPr>
          <w:p w14:paraId="63B673AC" w14:textId="35A5E001" w:rsidR="000B531E" w:rsidRPr="000B531E" w:rsidRDefault="000B531E" w:rsidP="000B531E">
            <w:pPr>
              <w:spacing w:line="259" w:lineRule="auto"/>
              <w:cnfStyle w:val="000000100000" w:firstRow="0" w:lastRow="0" w:firstColumn="0" w:lastColumn="0" w:oddVBand="0" w:evenVBand="0" w:oddHBand="1"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66</w:t>
            </w:r>
          </w:p>
        </w:tc>
      </w:tr>
      <w:tr w:rsidR="000B531E" w:rsidRPr="000B531E" w14:paraId="47190F47" w14:textId="77777777" w:rsidTr="000B531E">
        <w:tc>
          <w:tcPr>
            <w:cnfStyle w:val="001000000000" w:firstRow="0" w:lastRow="0" w:firstColumn="1" w:lastColumn="0" w:oddVBand="0" w:evenVBand="0" w:oddHBand="0" w:evenHBand="0" w:firstRowFirstColumn="0" w:firstRowLastColumn="0" w:lastRowFirstColumn="0" w:lastRowLastColumn="0"/>
            <w:tcW w:w="6941" w:type="dxa"/>
          </w:tcPr>
          <w:p w14:paraId="7F3F1EDA" w14:textId="378F568A" w:rsidR="000B531E" w:rsidRPr="000B531E" w:rsidRDefault="000B531E" w:rsidP="000B531E">
            <w:pPr>
              <w:spacing w:line="259" w:lineRule="auto"/>
              <w:rPr>
                <w:rFonts w:ascii="Century Gothic" w:hAnsi="Century Gothic"/>
                <w:bCs w:val="0"/>
                <w:color w:val="025850"/>
                <w:sz w:val="20"/>
                <w:szCs w:val="20"/>
              </w:rPr>
            </w:pPr>
            <w:r w:rsidRPr="000B531E">
              <w:rPr>
                <w:rFonts w:ascii="Century Gothic" w:hAnsi="Century Gothic"/>
                <w:sz w:val="20"/>
                <w:szCs w:val="20"/>
              </w:rPr>
              <w:t xml:space="preserve">Realizar las visitas físicas para verificar el avance de las obras publicas </w:t>
            </w:r>
          </w:p>
        </w:tc>
        <w:tc>
          <w:tcPr>
            <w:tcW w:w="264" w:type="dxa"/>
          </w:tcPr>
          <w:p w14:paraId="338FA03C" w14:textId="10F7AD40"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 xml:space="preserve">Revisión </w:t>
            </w:r>
          </w:p>
        </w:tc>
        <w:tc>
          <w:tcPr>
            <w:tcW w:w="1437" w:type="dxa"/>
          </w:tcPr>
          <w:p w14:paraId="2802EE32" w14:textId="08BE1DCF"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w:t>
            </w:r>
          </w:p>
        </w:tc>
        <w:tc>
          <w:tcPr>
            <w:tcW w:w="1455" w:type="dxa"/>
          </w:tcPr>
          <w:p w14:paraId="1378CA2F" w14:textId="008A527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w:t>
            </w:r>
          </w:p>
        </w:tc>
        <w:tc>
          <w:tcPr>
            <w:tcW w:w="0" w:type="auto"/>
          </w:tcPr>
          <w:p w14:paraId="1BF134A2" w14:textId="558A3E8D"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10</w:t>
            </w:r>
          </w:p>
        </w:tc>
        <w:tc>
          <w:tcPr>
            <w:tcW w:w="0" w:type="auto"/>
          </w:tcPr>
          <w:p w14:paraId="0F7CF03D" w14:textId="338E7E37" w:rsidR="000B531E" w:rsidRPr="000B531E" w:rsidRDefault="000B531E" w:rsidP="000B531E">
            <w:pPr>
              <w:spacing w:line="259" w:lineRule="auto"/>
              <w:cnfStyle w:val="000000000000" w:firstRow="0" w:lastRow="0" w:firstColumn="0" w:lastColumn="0" w:oddVBand="0" w:evenVBand="0" w:oddHBand="0" w:evenHBand="0" w:firstRowFirstColumn="0" w:firstRowLastColumn="0" w:lastRowFirstColumn="0" w:lastRowLastColumn="0"/>
              <w:rPr>
                <w:rFonts w:ascii="Century Gothic" w:hAnsi="Century Gothic"/>
                <w:bCs/>
                <w:color w:val="025850"/>
                <w:sz w:val="20"/>
                <w:szCs w:val="20"/>
              </w:rPr>
            </w:pPr>
            <w:r w:rsidRPr="000B531E">
              <w:rPr>
                <w:rFonts w:ascii="Century Gothic" w:hAnsi="Century Gothic"/>
                <w:sz w:val="20"/>
                <w:szCs w:val="20"/>
              </w:rPr>
              <w:t>30</w:t>
            </w:r>
          </w:p>
        </w:tc>
      </w:tr>
    </w:tbl>
    <w:p w14:paraId="6FAC657A" w14:textId="605E902D" w:rsidR="000B531E" w:rsidRDefault="000B531E" w:rsidP="000B531E">
      <w:pPr>
        <w:rPr>
          <w:rFonts w:ascii="Century Gothic" w:hAnsi="Century Gothic"/>
          <w:bCs/>
          <w:sz w:val="22"/>
          <w:szCs w:val="22"/>
          <w:lang w:val="es-ES"/>
        </w:rPr>
      </w:pPr>
    </w:p>
    <w:p w14:paraId="26CDECAF" w14:textId="77777777" w:rsidR="000B531E" w:rsidRDefault="000B531E">
      <w:pPr>
        <w:rPr>
          <w:rFonts w:ascii="Century Gothic" w:hAnsi="Century Gothic"/>
          <w:bCs/>
          <w:sz w:val="22"/>
          <w:szCs w:val="22"/>
          <w:lang w:val="es-ES"/>
        </w:rPr>
      </w:pPr>
      <w:r>
        <w:rPr>
          <w:rFonts w:ascii="Century Gothic" w:hAnsi="Century Gothic"/>
          <w:bCs/>
          <w:sz w:val="22"/>
          <w:szCs w:val="22"/>
          <w:lang w:val="es-ES"/>
        </w:rPr>
        <w:br w:type="page"/>
      </w:r>
    </w:p>
    <w:p w14:paraId="6A08D7EA" w14:textId="77777777" w:rsidR="00A10A60" w:rsidRPr="00A10A60" w:rsidRDefault="00A10A60" w:rsidP="00A10A60">
      <w:pPr>
        <w:spacing w:line="259" w:lineRule="auto"/>
        <w:rPr>
          <w:rFonts w:ascii="Century Gothic" w:hAnsi="Century Gothic"/>
          <w:b/>
          <w:color w:val="025850"/>
          <w:sz w:val="24"/>
          <w:szCs w:val="24"/>
        </w:rPr>
      </w:pPr>
      <w:r w:rsidRPr="00A10A60">
        <w:rPr>
          <w:rFonts w:ascii="Century Gothic" w:hAnsi="Century Gothic"/>
          <w:b/>
          <w:color w:val="025850"/>
          <w:sz w:val="24"/>
          <w:szCs w:val="24"/>
        </w:rPr>
        <w:lastRenderedPageBreak/>
        <w:t>Acciones Insignias Municipales</w:t>
      </w:r>
    </w:p>
    <w:tbl>
      <w:tblPr>
        <w:tblStyle w:val="Tablaconcuadrcula4-nfasis2"/>
        <w:tblW w:w="13320" w:type="dxa"/>
        <w:tblLook w:val="04A0" w:firstRow="1" w:lastRow="0" w:firstColumn="1" w:lastColumn="0" w:noHBand="0" w:noVBand="1"/>
      </w:tblPr>
      <w:tblGrid>
        <w:gridCol w:w="1413"/>
        <w:gridCol w:w="283"/>
        <w:gridCol w:w="426"/>
        <w:gridCol w:w="850"/>
        <w:gridCol w:w="8222"/>
        <w:gridCol w:w="2126"/>
      </w:tblGrid>
      <w:tr w:rsidR="00A10A60" w:rsidRPr="00A10A60" w14:paraId="171BD11B" w14:textId="77777777" w:rsidTr="00A10A60">
        <w:trPr>
          <w:cnfStyle w:val="100000000000" w:firstRow="1" w:lastRow="0" w:firstColumn="0" w:lastColumn="0" w:oddVBand="0" w:evenVBand="0" w:oddHBand="0"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2122" w:type="dxa"/>
            <w:gridSpan w:val="3"/>
          </w:tcPr>
          <w:p w14:paraId="7F20F16C"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noProof/>
                <w:sz w:val="18"/>
                <w:szCs w:val="18"/>
              </w:rPr>
              <w:drawing>
                <wp:inline distT="0" distB="0" distL="0" distR="0" wp14:anchorId="5A19A44E" wp14:editId="3D32DF25">
                  <wp:extent cx="733529" cy="697652"/>
                  <wp:effectExtent l="0" t="0" r="0" b="762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47071" cy="710532"/>
                          </a:xfrm>
                          <a:prstGeom prst="rect">
                            <a:avLst/>
                          </a:prstGeom>
                          <a:noFill/>
                          <a:ln>
                            <a:noFill/>
                          </a:ln>
                        </pic:spPr>
                      </pic:pic>
                    </a:graphicData>
                  </a:graphic>
                </wp:inline>
              </w:drawing>
            </w:r>
          </w:p>
        </w:tc>
        <w:tc>
          <w:tcPr>
            <w:tcW w:w="11198" w:type="dxa"/>
            <w:gridSpan w:val="3"/>
          </w:tcPr>
          <w:p w14:paraId="2DDAC5A8" w14:textId="77777777" w:rsidR="00A10A60" w:rsidRPr="00A10A60" w:rsidRDefault="00A10A60" w:rsidP="00A10A6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sz w:val="18"/>
                <w:szCs w:val="18"/>
              </w:rPr>
            </w:pPr>
          </w:p>
          <w:p w14:paraId="3CDD769A" w14:textId="77777777" w:rsidR="00A10A60" w:rsidRPr="00A10A60" w:rsidRDefault="00A10A60" w:rsidP="00A10A60">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sz w:val="18"/>
                <w:szCs w:val="18"/>
              </w:rPr>
            </w:pPr>
            <w:r w:rsidRPr="00A10A60">
              <w:rPr>
                <w:rFonts w:ascii="Century Gothic" w:hAnsi="Century Gothic"/>
                <w:bCs w:val="0"/>
                <w:sz w:val="22"/>
                <w:szCs w:val="22"/>
              </w:rPr>
              <w:t>UN GOBIERNO HONESTO Y TRANSPARENTE</w:t>
            </w:r>
          </w:p>
        </w:tc>
      </w:tr>
      <w:tr w:rsidR="00A10A60" w:rsidRPr="00A10A60" w14:paraId="0D9950EE" w14:textId="77777777" w:rsidTr="00A10A6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3320" w:type="dxa"/>
            <w:gridSpan w:val="6"/>
          </w:tcPr>
          <w:p w14:paraId="2131C683"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 xml:space="preserve">Objetivo:  </w:t>
            </w:r>
            <w:r w:rsidRPr="00A10A60">
              <w:rPr>
                <w:rFonts w:ascii="Century Gothic" w:hAnsi="Century Gothic"/>
                <w:b w:val="0"/>
                <w:sz w:val="18"/>
                <w:szCs w:val="18"/>
              </w:rPr>
              <w:t xml:space="preserve">Proporcionar información clara y precisa sobre las acciones y decisiones del gobierno </w:t>
            </w:r>
            <w:r w:rsidRPr="00A10A60">
              <w:rPr>
                <w:rFonts w:ascii="Century Gothic" w:hAnsi="Century Gothic"/>
                <w:sz w:val="18"/>
                <w:szCs w:val="18"/>
              </w:rPr>
              <w:t>y</w:t>
            </w:r>
            <w:r w:rsidRPr="00A10A60">
              <w:rPr>
                <w:rFonts w:ascii="Century Gothic" w:hAnsi="Century Gothic"/>
                <w:b w:val="0"/>
                <w:sz w:val="18"/>
                <w:szCs w:val="18"/>
              </w:rPr>
              <w:t xml:space="preserve"> ser responsable ante los ciudadanos por sus acciones.</w:t>
            </w:r>
          </w:p>
        </w:tc>
      </w:tr>
      <w:tr w:rsidR="00A10A60" w:rsidRPr="00A10A60" w14:paraId="393F47FF" w14:textId="77777777" w:rsidTr="00A10A60">
        <w:trPr>
          <w:trHeight w:val="169"/>
        </w:trPr>
        <w:tc>
          <w:tcPr>
            <w:cnfStyle w:val="001000000000" w:firstRow="0" w:lastRow="0" w:firstColumn="1" w:lastColumn="0" w:oddVBand="0" w:evenVBand="0" w:oddHBand="0" w:evenHBand="0" w:firstRowFirstColumn="0" w:firstRowLastColumn="0" w:lastRowFirstColumn="0" w:lastRowLastColumn="0"/>
            <w:tcW w:w="13320" w:type="dxa"/>
            <w:gridSpan w:val="6"/>
          </w:tcPr>
          <w:p w14:paraId="4DC27CEC"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Alineación</w:t>
            </w:r>
          </w:p>
        </w:tc>
      </w:tr>
      <w:tr w:rsidR="00A10A60" w:rsidRPr="00A10A60" w14:paraId="470F5AB7" w14:textId="77777777" w:rsidTr="00A10A60">
        <w:trPr>
          <w:cnfStyle w:val="000000100000" w:firstRow="0" w:lastRow="0" w:firstColumn="0" w:lastColumn="0" w:oddVBand="0" w:evenVBand="0" w:oddHBand="1"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413" w:type="dxa"/>
          </w:tcPr>
          <w:p w14:paraId="4BB9C872" w14:textId="77777777" w:rsidR="00A10A60" w:rsidRPr="00A10A60" w:rsidRDefault="00A10A60" w:rsidP="00A10A60">
            <w:pPr>
              <w:jc w:val="center"/>
              <w:rPr>
                <w:rFonts w:ascii="Century Gothic" w:hAnsi="Century Gothic"/>
                <w:b w:val="0"/>
                <w:sz w:val="18"/>
                <w:szCs w:val="18"/>
              </w:rPr>
            </w:pPr>
          </w:p>
          <w:p w14:paraId="314B89D8"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ODS</w:t>
            </w:r>
          </w:p>
        </w:tc>
        <w:tc>
          <w:tcPr>
            <w:tcW w:w="11907" w:type="dxa"/>
            <w:gridSpan w:val="5"/>
          </w:tcPr>
          <w:p w14:paraId="39F3E16F" w14:textId="52BC8BD0"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noProof/>
                <w:sz w:val="18"/>
                <w:szCs w:val="18"/>
              </w:rPr>
              <w:drawing>
                <wp:anchor distT="0" distB="0" distL="114300" distR="114300" simplePos="0" relativeHeight="251706368" behindDoc="0" locked="0" layoutInCell="1" allowOverlap="1" wp14:anchorId="748DCB79" wp14:editId="1AA80449">
                  <wp:simplePos x="0" y="0"/>
                  <wp:positionH relativeFrom="column">
                    <wp:posOffset>1058385</wp:posOffset>
                  </wp:positionH>
                  <wp:positionV relativeFrom="page">
                    <wp:posOffset>19154</wp:posOffset>
                  </wp:positionV>
                  <wp:extent cx="526415" cy="506896"/>
                  <wp:effectExtent l="0" t="0" r="6985" b="7620"/>
                  <wp:wrapNone/>
                  <wp:docPr id="60"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415" cy="5068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A60">
              <w:rPr>
                <w:rFonts w:ascii="Century Gothic" w:hAnsi="Century Gothic"/>
                <w:bCs/>
                <w:noProof/>
                <w:sz w:val="18"/>
                <w:szCs w:val="18"/>
              </w:rPr>
              <w:drawing>
                <wp:anchor distT="0" distB="0" distL="114300" distR="114300" simplePos="0" relativeHeight="251705344" behindDoc="0" locked="0" layoutInCell="1" allowOverlap="1" wp14:anchorId="1EDABF98" wp14:editId="792E2BAA">
                  <wp:simplePos x="0" y="0"/>
                  <wp:positionH relativeFrom="column">
                    <wp:posOffset>299099</wp:posOffset>
                  </wp:positionH>
                  <wp:positionV relativeFrom="page">
                    <wp:posOffset>19155</wp:posOffset>
                  </wp:positionV>
                  <wp:extent cx="496957" cy="496957"/>
                  <wp:effectExtent l="0" t="0" r="0" b="0"/>
                  <wp:wrapNone/>
                  <wp:docPr id="59"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6957" cy="4969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C417B"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4308E393"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r>
      <w:tr w:rsidR="00A10A60" w:rsidRPr="00A10A60" w14:paraId="465ABB81" w14:textId="77777777" w:rsidTr="00A10A60">
        <w:tc>
          <w:tcPr>
            <w:cnfStyle w:val="001000000000" w:firstRow="0" w:lastRow="0" w:firstColumn="1" w:lastColumn="0" w:oddVBand="0" w:evenVBand="0" w:oddHBand="0" w:evenHBand="0" w:firstRowFirstColumn="0" w:firstRowLastColumn="0" w:lastRowFirstColumn="0" w:lastRowLastColumn="0"/>
            <w:tcW w:w="2972" w:type="dxa"/>
            <w:gridSpan w:val="4"/>
          </w:tcPr>
          <w:p w14:paraId="3317EFEE"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Plan Nacional de Desarrollo</w:t>
            </w:r>
          </w:p>
        </w:tc>
        <w:tc>
          <w:tcPr>
            <w:tcW w:w="10348" w:type="dxa"/>
            <w:gridSpan w:val="2"/>
          </w:tcPr>
          <w:p w14:paraId="385C41F2" w14:textId="77777777" w:rsidR="00A10A60" w:rsidRPr="00A10A60" w:rsidRDefault="00A10A60" w:rsidP="00A10A6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8"/>
                <w:szCs w:val="18"/>
              </w:rPr>
            </w:pPr>
            <w:r w:rsidRPr="00A10A60">
              <w:rPr>
                <w:rFonts w:ascii="Century Gothic" w:hAnsi="Century Gothic"/>
                <w:b/>
                <w:sz w:val="18"/>
                <w:szCs w:val="18"/>
              </w:rPr>
              <w:t>PDEM 2023-2027</w:t>
            </w:r>
          </w:p>
        </w:tc>
      </w:tr>
      <w:tr w:rsidR="00A10A60" w:rsidRPr="00A10A60" w14:paraId="5DB86FDF" w14:textId="77777777" w:rsidTr="00A10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gridSpan w:val="4"/>
          </w:tcPr>
          <w:p w14:paraId="21D80E7E" w14:textId="77777777" w:rsidR="00A10A60" w:rsidRPr="00A10A60" w:rsidRDefault="00A10A60" w:rsidP="00A10A60">
            <w:pPr>
              <w:jc w:val="center"/>
              <w:rPr>
                <w:rFonts w:ascii="Century Gothic" w:hAnsi="Century Gothic"/>
                <w:b w:val="0"/>
                <w:sz w:val="18"/>
                <w:szCs w:val="18"/>
              </w:rPr>
            </w:pPr>
            <w:r w:rsidRPr="00A10A60">
              <w:rPr>
                <w:rFonts w:ascii="Century Gothic" w:hAnsi="Century Gothic"/>
                <w:bCs w:val="0"/>
                <w:sz w:val="18"/>
                <w:szCs w:val="18"/>
              </w:rPr>
              <w:t>Tema: 03</w:t>
            </w:r>
          </w:p>
          <w:p w14:paraId="78B0CE50"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Subtema</w:t>
            </w:r>
          </w:p>
        </w:tc>
        <w:tc>
          <w:tcPr>
            <w:tcW w:w="10348" w:type="dxa"/>
            <w:gridSpan w:val="2"/>
          </w:tcPr>
          <w:p w14:paraId="31E7CB66"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Objetivo</w:t>
            </w:r>
          </w:p>
          <w:p w14:paraId="2472D71B" w14:textId="22C5F191"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sz w:val="18"/>
                <w:szCs w:val="18"/>
              </w:rPr>
              <w:t>1.2 Eliminar la corrupción en todas sus formas y modalidades.</w:t>
            </w:r>
          </w:p>
          <w:p w14:paraId="64B2F27C"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Estrategia</w:t>
            </w:r>
          </w:p>
          <w:p w14:paraId="400D6A6B"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1.2.1 Eficientizar la fiscalización del ejercicio del gasto público.</w:t>
            </w:r>
          </w:p>
        </w:tc>
      </w:tr>
      <w:tr w:rsidR="00A10A60" w:rsidRPr="00A10A60" w14:paraId="2EE2115E" w14:textId="77777777" w:rsidTr="00A10A60">
        <w:tc>
          <w:tcPr>
            <w:cnfStyle w:val="001000000000" w:firstRow="0" w:lastRow="0" w:firstColumn="1" w:lastColumn="0" w:oddVBand="0" w:evenVBand="0" w:oddHBand="0" w:evenHBand="0" w:firstRowFirstColumn="0" w:firstRowLastColumn="0" w:lastRowFirstColumn="0" w:lastRowLastColumn="0"/>
            <w:tcW w:w="11194" w:type="dxa"/>
            <w:gridSpan w:val="5"/>
          </w:tcPr>
          <w:p w14:paraId="07A8B886"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 xml:space="preserve">Componente 1 </w:t>
            </w:r>
            <w:r w:rsidRPr="00A10A60">
              <w:rPr>
                <w:rFonts w:ascii="Century Gothic" w:hAnsi="Century Gothic"/>
                <w:b w:val="0"/>
                <w:sz w:val="18"/>
                <w:szCs w:val="18"/>
              </w:rPr>
              <w:t>Atender de manera oportuna las solicitudes de información de la ciudadanía con la finalidad de generar un clima de confianza sobre el quehacer publico municipal</w:t>
            </w:r>
          </w:p>
        </w:tc>
        <w:tc>
          <w:tcPr>
            <w:tcW w:w="2126" w:type="dxa"/>
          </w:tcPr>
          <w:p w14:paraId="6EBB9F7B" w14:textId="77777777" w:rsidR="00A10A60" w:rsidRPr="00A10A60" w:rsidRDefault="00A10A60" w:rsidP="00A10A6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8"/>
                <w:szCs w:val="18"/>
              </w:rPr>
            </w:pPr>
            <w:r w:rsidRPr="00A10A60">
              <w:rPr>
                <w:rFonts w:ascii="Century Gothic" w:hAnsi="Century Gothic"/>
                <w:b/>
                <w:sz w:val="18"/>
                <w:szCs w:val="18"/>
              </w:rPr>
              <w:t>Dependencia Responsable</w:t>
            </w:r>
          </w:p>
        </w:tc>
      </w:tr>
      <w:tr w:rsidR="00A10A60" w:rsidRPr="00A10A60" w14:paraId="004479CA" w14:textId="77777777" w:rsidTr="00A10A60">
        <w:trPr>
          <w:cnfStyle w:val="000000100000" w:firstRow="0" w:lastRow="0" w:firstColumn="0" w:lastColumn="0" w:oddVBand="0" w:evenVBand="0" w:oddHBand="1" w:evenHBand="0" w:firstRowFirstColumn="0" w:firstRowLastColumn="0" w:lastRowFirstColumn="0" w:lastRowLastColumn="0"/>
          <w:trHeight w:val="1137"/>
        </w:trPr>
        <w:tc>
          <w:tcPr>
            <w:cnfStyle w:val="001000000000" w:firstRow="0" w:lastRow="0" w:firstColumn="1" w:lastColumn="0" w:oddVBand="0" w:evenVBand="0" w:oddHBand="0" w:evenHBand="0" w:firstRowFirstColumn="0" w:firstRowLastColumn="0" w:lastRowFirstColumn="0" w:lastRowLastColumn="0"/>
            <w:tcW w:w="1696" w:type="dxa"/>
            <w:gridSpan w:val="2"/>
          </w:tcPr>
          <w:p w14:paraId="25909015" w14:textId="77777777" w:rsidR="00A10A60" w:rsidRPr="00A10A60" w:rsidRDefault="00A10A60" w:rsidP="00A10A60">
            <w:pPr>
              <w:rPr>
                <w:rFonts w:ascii="Century Gothic" w:hAnsi="Century Gothic"/>
                <w:bCs w:val="0"/>
                <w:sz w:val="18"/>
                <w:szCs w:val="18"/>
              </w:rPr>
            </w:pPr>
            <w:r w:rsidRPr="00A10A60">
              <w:rPr>
                <w:rFonts w:ascii="Century Gothic" w:hAnsi="Century Gothic"/>
                <w:bCs w:val="0"/>
                <w:sz w:val="18"/>
                <w:szCs w:val="18"/>
              </w:rPr>
              <w:t>Acciones Especificas</w:t>
            </w:r>
          </w:p>
        </w:tc>
        <w:tc>
          <w:tcPr>
            <w:tcW w:w="9498" w:type="dxa"/>
            <w:gridSpan w:val="3"/>
          </w:tcPr>
          <w:p w14:paraId="35F44222"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Mantener actualizado el Sistema de Información Pública de Oficio Mexiquense (IPOMEX)</w:t>
            </w:r>
          </w:p>
          <w:p w14:paraId="7699D748"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Brindar respuesta a las solicitudes de información del Sistema de Acceso a la Información Mexiquense (SAIMEX)</w:t>
            </w:r>
          </w:p>
          <w:p w14:paraId="06E4E98F"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Dar cumplimiento a las Resoluciones del INFOEM derivadas de Recursos de Revisión</w:t>
            </w:r>
          </w:p>
          <w:p w14:paraId="16E0C4EE"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Actualizar el sistema y bases de Datos Personales</w:t>
            </w:r>
          </w:p>
        </w:tc>
        <w:tc>
          <w:tcPr>
            <w:tcW w:w="2126" w:type="dxa"/>
          </w:tcPr>
          <w:p w14:paraId="753B554E" w14:textId="77777777" w:rsidR="00A10A60" w:rsidRPr="00A10A60" w:rsidRDefault="00A10A60" w:rsidP="00A10A60">
            <w:pP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Unidad de Transparencia</w:t>
            </w:r>
          </w:p>
        </w:tc>
      </w:tr>
      <w:tr w:rsidR="00A10A60" w:rsidRPr="00A10A60" w14:paraId="1D037530" w14:textId="77777777" w:rsidTr="00A10A60">
        <w:trPr>
          <w:trHeight w:val="73"/>
        </w:trPr>
        <w:tc>
          <w:tcPr>
            <w:cnfStyle w:val="001000000000" w:firstRow="0" w:lastRow="0" w:firstColumn="1" w:lastColumn="0" w:oddVBand="0" w:evenVBand="0" w:oddHBand="0" w:evenHBand="0" w:firstRowFirstColumn="0" w:firstRowLastColumn="0" w:lastRowFirstColumn="0" w:lastRowLastColumn="0"/>
            <w:tcW w:w="11194" w:type="dxa"/>
            <w:gridSpan w:val="5"/>
          </w:tcPr>
          <w:p w14:paraId="5E00F5F3" w14:textId="77777777" w:rsidR="00A10A60" w:rsidRPr="00A10A60" w:rsidRDefault="00A10A60" w:rsidP="00A10A60">
            <w:pPr>
              <w:jc w:val="center"/>
              <w:rPr>
                <w:rFonts w:ascii="Century Gothic" w:hAnsi="Century Gothic"/>
                <w:b w:val="0"/>
                <w:sz w:val="18"/>
                <w:szCs w:val="18"/>
              </w:rPr>
            </w:pPr>
            <w:r w:rsidRPr="00A10A60">
              <w:rPr>
                <w:rFonts w:ascii="Century Gothic" w:hAnsi="Century Gothic"/>
                <w:bCs w:val="0"/>
                <w:sz w:val="18"/>
                <w:szCs w:val="18"/>
              </w:rPr>
              <w:t>Componente 2 Garantizar que la rendición de cuentas y acceso a la información pública, que propicien una buena interacción entre la población y el gobierno.</w:t>
            </w:r>
          </w:p>
        </w:tc>
        <w:tc>
          <w:tcPr>
            <w:tcW w:w="2126" w:type="dxa"/>
          </w:tcPr>
          <w:p w14:paraId="65E854A0" w14:textId="77777777" w:rsidR="00A10A60" w:rsidRPr="00A10A60" w:rsidRDefault="00A10A60" w:rsidP="00A10A60">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sz w:val="18"/>
                <w:szCs w:val="18"/>
              </w:rPr>
            </w:pPr>
            <w:r w:rsidRPr="00A10A60">
              <w:rPr>
                <w:rFonts w:ascii="Century Gothic" w:hAnsi="Century Gothic"/>
                <w:b/>
                <w:sz w:val="18"/>
                <w:szCs w:val="18"/>
              </w:rPr>
              <w:t>Dependencia Responsable</w:t>
            </w:r>
          </w:p>
        </w:tc>
      </w:tr>
      <w:tr w:rsidR="00A10A60" w:rsidRPr="00A10A60" w14:paraId="38596F8F" w14:textId="77777777" w:rsidTr="00A10A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gridSpan w:val="2"/>
          </w:tcPr>
          <w:p w14:paraId="28B37DF8" w14:textId="77777777" w:rsidR="00A10A60" w:rsidRPr="00A10A60" w:rsidRDefault="00A10A60" w:rsidP="00A10A60">
            <w:pPr>
              <w:jc w:val="center"/>
              <w:rPr>
                <w:rFonts w:ascii="Century Gothic" w:hAnsi="Century Gothic"/>
                <w:b w:val="0"/>
                <w:sz w:val="18"/>
                <w:szCs w:val="18"/>
              </w:rPr>
            </w:pPr>
          </w:p>
          <w:p w14:paraId="08F44A2B" w14:textId="77777777" w:rsidR="00A10A60" w:rsidRPr="00A10A60" w:rsidRDefault="00A10A60" w:rsidP="00A10A60">
            <w:pPr>
              <w:jc w:val="center"/>
              <w:rPr>
                <w:rFonts w:ascii="Century Gothic" w:hAnsi="Century Gothic"/>
                <w:b w:val="0"/>
                <w:sz w:val="18"/>
                <w:szCs w:val="18"/>
              </w:rPr>
            </w:pPr>
          </w:p>
          <w:p w14:paraId="7AB9B62E" w14:textId="77777777" w:rsidR="00A10A60" w:rsidRPr="00A10A60" w:rsidRDefault="00A10A60" w:rsidP="00A10A60">
            <w:pPr>
              <w:rPr>
                <w:rFonts w:ascii="Century Gothic" w:hAnsi="Century Gothic"/>
                <w:b w:val="0"/>
                <w:sz w:val="18"/>
                <w:szCs w:val="18"/>
              </w:rPr>
            </w:pPr>
          </w:p>
          <w:p w14:paraId="418F0B9B" w14:textId="77777777" w:rsidR="00A10A60" w:rsidRPr="00A10A60" w:rsidRDefault="00A10A60" w:rsidP="00A10A60">
            <w:pPr>
              <w:jc w:val="center"/>
              <w:rPr>
                <w:rFonts w:ascii="Century Gothic" w:hAnsi="Century Gothic"/>
                <w:b w:val="0"/>
                <w:sz w:val="18"/>
                <w:szCs w:val="18"/>
              </w:rPr>
            </w:pPr>
          </w:p>
          <w:p w14:paraId="27BD0DC1" w14:textId="77777777" w:rsidR="00A10A60" w:rsidRPr="00A10A60" w:rsidRDefault="00A10A60" w:rsidP="00A10A60">
            <w:pPr>
              <w:jc w:val="center"/>
              <w:rPr>
                <w:rFonts w:ascii="Century Gothic" w:hAnsi="Century Gothic"/>
                <w:bCs w:val="0"/>
                <w:sz w:val="18"/>
                <w:szCs w:val="18"/>
              </w:rPr>
            </w:pPr>
            <w:r w:rsidRPr="00A10A60">
              <w:rPr>
                <w:rFonts w:ascii="Century Gothic" w:hAnsi="Century Gothic"/>
                <w:bCs w:val="0"/>
                <w:sz w:val="18"/>
                <w:szCs w:val="18"/>
              </w:rPr>
              <w:t>Acciones Especificas</w:t>
            </w:r>
          </w:p>
        </w:tc>
        <w:tc>
          <w:tcPr>
            <w:tcW w:w="9498" w:type="dxa"/>
            <w:gridSpan w:val="3"/>
          </w:tcPr>
          <w:p w14:paraId="1AC573CA"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Actualizar el Padrón de contribuyentes</w:t>
            </w:r>
          </w:p>
          <w:p w14:paraId="23F7DB96"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Realizar campañas de difusión de pago.</w:t>
            </w:r>
          </w:p>
          <w:p w14:paraId="76AFBCBD" w14:textId="1ED109FD"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Suscribir convenios</w:t>
            </w:r>
          </w:p>
          <w:p w14:paraId="4EE8A827"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Efectuar el registro de los ingresos</w:t>
            </w:r>
          </w:p>
          <w:p w14:paraId="4E87C5FF" w14:textId="77777777"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Efectuar el registro de los egresos</w:t>
            </w:r>
          </w:p>
          <w:p w14:paraId="703940F3" w14:textId="2F6BDA00" w:rsidR="00A10A60" w:rsidRPr="00A10A60" w:rsidRDefault="00A10A60" w:rsidP="005A1ADF">
            <w:pPr>
              <w:pStyle w:val="Prrafodelista"/>
              <w:numPr>
                <w:ilvl w:val="0"/>
                <w:numId w:val="19"/>
              </w:numPr>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Registrar el gasto vía transferencias</w:t>
            </w:r>
          </w:p>
          <w:p w14:paraId="5F7D8E15" w14:textId="77777777" w:rsidR="00A10A60" w:rsidRPr="00A10A60" w:rsidRDefault="00A10A60" w:rsidP="005A1ADF">
            <w:pPr>
              <w:pStyle w:val="Prrafodelista"/>
              <w:widowControl w:val="0"/>
              <w:numPr>
                <w:ilvl w:val="0"/>
                <w:numId w:val="19"/>
              </w:num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Formación de COCICOVIS</w:t>
            </w:r>
          </w:p>
          <w:p w14:paraId="6EC0935E" w14:textId="77777777" w:rsidR="00A10A60" w:rsidRPr="00A10A60" w:rsidRDefault="00A10A60" w:rsidP="005A1ADF">
            <w:pPr>
              <w:pStyle w:val="Prrafodelista"/>
              <w:widowControl w:val="0"/>
              <w:numPr>
                <w:ilvl w:val="0"/>
                <w:numId w:val="19"/>
              </w:num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Realizar sesiones del Comité Coordinador Municipal.</w:t>
            </w:r>
          </w:p>
          <w:p w14:paraId="6CE271E2" w14:textId="77777777" w:rsidR="00A10A60" w:rsidRPr="00A10A60" w:rsidRDefault="00A10A60" w:rsidP="005A1ADF">
            <w:pPr>
              <w:widowControl w:val="0"/>
              <w:numPr>
                <w:ilvl w:val="0"/>
                <w:numId w:val="18"/>
              </w:num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Elaborar un programa de auditorías en el municipio</w:t>
            </w:r>
          </w:p>
          <w:p w14:paraId="4637EB4E" w14:textId="77777777" w:rsidR="00A10A60" w:rsidRPr="00A10A60" w:rsidRDefault="00A10A60" w:rsidP="005A1ADF">
            <w:pPr>
              <w:widowControl w:val="0"/>
              <w:numPr>
                <w:ilvl w:val="0"/>
                <w:numId w:val="18"/>
              </w:numPr>
              <w:autoSpaceDE w:val="0"/>
              <w:autoSpaceDN w:val="0"/>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18"/>
                <w:szCs w:val="18"/>
              </w:rPr>
            </w:pPr>
            <w:r w:rsidRPr="00A10A60">
              <w:rPr>
                <w:rFonts w:ascii="Century Gothic" w:hAnsi="Century Gothic"/>
                <w:sz w:val="18"/>
                <w:szCs w:val="18"/>
              </w:rPr>
              <w:t>Instrumentar el Programa Anual de Adquisiciones</w:t>
            </w:r>
          </w:p>
        </w:tc>
        <w:tc>
          <w:tcPr>
            <w:tcW w:w="2126" w:type="dxa"/>
          </w:tcPr>
          <w:p w14:paraId="6A4AE115" w14:textId="5478FF3B"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Tesorería Municipal</w:t>
            </w:r>
          </w:p>
          <w:p w14:paraId="55A9C2FC"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2664A5C5" w14:textId="77777777" w:rsidR="00A10A60" w:rsidRPr="00A10A60" w:rsidRDefault="00A10A60" w:rsidP="00A10A60">
            <w:pP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7E384CF5"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50ED3D67" w14:textId="77777777" w:rsidR="00A10A60" w:rsidRPr="00A10A60" w:rsidRDefault="00A10A60" w:rsidP="00A10A60">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A10A60">
              <w:rPr>
                <w:rFonts w:ascii="Century Gothic" w:hAnsi="Century Gothic"/>
                <w:bCs/>
                <w:sz w:val="18"/>
                <w:szCs w:val="18"/>
              </w:rPr>
              <w:t>Contraloría Interna</w:t>
            </w:r>
          </w:p>
        </w:tc>
      </w:tr>
    </w:tbl>
    <w:p w14:paraId="58318B69" w14:textId="78C8FCC5" w:rsidR="00A10A60" w:rsidRDefault="00A10A60" w:rsidP="000B531E">
      <w:pPr>
        <w:rPr>
          <w:rFonts w:ascii="Century Gothic" w:hAnsi="Century Gothic"/>
          <w:bCs/>
          <w:sz w:val="22"/>
          <w:szCs w:val="22"/>
          <w:lang w:val="es-ES"/>
        </w:rPr>
        <w:sectPr w:rsidR="00A10A60" w:rsidSect="0046755E">
          <w:pgSz w:w="15840" w:h="12240" w:orient="landscape"/>
          <w:pgMar w:top="1440" w:right="1440" w:bottom="1440" w:left="1440" w:header="709" w:footer="709" w:gutter="0"/>
          <w:cols w:space="708"/>
          <w:docGrid w:linePitch="360"/>
        </w:sectPr>
      </w:pPr>
    </w:p>
    <w:p w14:paraId="1D57F5A4" w14:textId="77777777" w:rsidR="00A10A60" w:rsidRDefault="00A10A60" w:rsidP="00A10A60">
      <w:pPr>
        <w:spacing w:before="166" w:line="362" w:lineRule="auto"/>
        <w:jc w:val="right"/>
        <w:rPr>
          <w:color w:val="8DD873" w:themeColor="accent6" w:themeTint="99"/>
          <w:sz w:val="36"/>
          <w:szCs w:val="36"/>
        </w:rPr>
      </w:pPr>
    </w:p>
    <w:p w14:paraId="4544F08F" w14:textId="77777777" w:rsidR="00A10A60" w:rsidRDefault="00A10A60" w:rsidP="00A10A60">
      <w:pPr>
        <w:spacing w:before="166" w:line="362" w:lineRule="auto"/>
        <w:jc w:val="right"/>
        <w:rPr>
          <w:color w:val="8DD873" w:themeColor="accent6" w:themeTint="99"/>
          <w:sz w:val="36"/>
          <w:szCs w:val="36"/>
        </w:rPr>
      </w:pPr>
    </w:p>
    <w:p w14:paraId="6667E752" w14:textId="77777777" w:rsidR="00A10A60" w:rsidRDefault="00A10A60" w:rsidP="00A10A60">
      <w:pPr>
        <w:spacing w:before="166" w:line="362" w:lineRule="auto"/>
        <w:jc w:val="right"/>
        <w:rPr>
          <w:color w:val="8DD873" w:themeColor="accent6" w:themeTint="99"/>
          <w:sz w:val="36"/>
          <w:szCs w:val="36"/>
        </w:rPr>
      </w:pPr>
    </w:p>
    <w:p w14:paraId="25026ED7" w14:textId="77777777" w:rsidR="00A10A60" w:rsidRDefault="00A10A60" w:rsidP="00A10A60">
      <w:pPr>
        <w:spacing w:before="166" w:line="362" w:lineRule="auto"/>
        <w:jc w:val="right"/>
        <w:rPr>
          <w:color w:val="8DD873" w:themeColor="accent6" w:themeTint="99"/>
          <w:sz w:val="36"/>
          <w:szCs w:val="36"/>
        </w:rPr>
      </w:pPr>
    </w:p>
    <w:p w14:paraId="16152D85" w14:textId="77777777" w:rsidR="00A10A60" w:rsidRDefault="00A10A60" w:rsidP="00A10A60">
      <w:pPr>
        <w:spacing w:before="166" w:line="362" w:lineRule="auto"/>
        <w:jc w:val="right"/>
        <w:rPr>
          <w:color w:val="8DD873" w:themeColor="accent6" w:themeTint="99"/>
          <w:sz w:val="36"/>
          <w:szCs w:val="36"/>
        </w:rPr>
      </w:pPr>
    </w:p>
    <w:p w14:paraId="5DF81F0C" w14:textId="77777777" w:rsidR="00A10A60" w:rsidRDefault="00A10A60" w:rsidP="00A10A60">
      <w:pPr>
        <w:spacing w:before="166" w:line="362" w:lineRule="auto"/>
        <w:jc w:val="right"/>
        <w:rPr>
          <w:color w:val="8DD873" w:themeColor="accent6" w:themeTint="99"/>
          <w:sz w:val="36"/>
          <w:szCs w:val="36"/>
        </w:rPr>
      </w:pPr>
    </w:p>
    <w:p w14:paraId="3869E567" w14:textId="77777777" w:rsidR="00A10A60" w:rsidRDefault="00A10A60" w:rsidP="00A10A60">
      <w:pPr>
        <w:spacing w:before="166" w:line="362" w:lineRule="auto"/>
        <w:jc w:val="right"/>
        <w:rPr>
          <w:color w:val="8DD873" w:themeColor="accent6" w:themeTint="99"/>
          <w:sz w:val="36"/>
          <w:szCs w:val="36"/>
        </w:rPr>
      </w:pPr>
    </w:p>
    <w:p w14:paraId="7763F5F2" w14:textId="77777777" w:rsidR="00A10A60" w:rsidRDefault="00A10A60" w:rsidP="00A10A60">
      <w:pPr>
        <w:spacing w:before="166" w:line="362" w:lineRule="auto"/>
        <w:jc w:val="right"/>
        <w:rPr>
          <w:color w:val="8DD873" w:themeColor="accent6" w:themeTint="99"/>
          <w:sz w:val="36"/>
          <w:szCs w:val="36"/>
        </w:rPr>
      </w:pPr>
    </w:p>
    <w:p w14:paraId="1D3B0660" w14:textId="77777777" w:rsidR="00A10A60" w:rsidRDefault="00A10A60" w:rsidP="00A10A60">
      <w:pPr>
        <w:spacing w:before="166" w:line="362" w:lineRule="auto"/>
        <w:jc w:val="right"/>
        <w:rPr>
          <w:color w:val="8DD873" w:themeColor="accent6" w:themeTint="99"/>
          <w:sz w:val="36"/>
          <w:szCs w:val="36"/>
        </w:rPr>
      </w:pPr>
    </w:p>
    <w:p w14:paraId="7DE0757D" w14:textId="77777777" w:rsidR="00A10A60" w:rsidRDefault="00A10A60" w:rsidP="00A10A60">
      <w:pPr>
        <w:spacing w:before="166" w:line="362" w:lineRule="auto"/>
        <w:jc w:val="right"/>
        <w:rPr>
          <w:color w:val="8DD873" w:themeColor="accent6" w:themeTint="99"/>
          <w:sz w:val="36"/>
          <w:szCs w:val="36"/>
        </w:rPr>
      </w:pPr>
    </w:p>
    <w:p w14:paraId="006677AB" w14:textId="77777777" w:rsidR="00A10A60" w:rsidRDefault="00A10A60" w:rsidP="00A10A60">
      <w:pPr>
        <w:spacing w:before="166" w:line="362" w:lineRule="auto"/>
        <w:jc w:val="right"/>
        <w:rPr>
          <w:color w:val="8DD873" w:themeColor="accent6" w:themeTint="99"/>
          <w:sz w:val="36"/>
          <w:szCs w:val="36"/>
        </w:rPr>
      </w:pPr>
    </w:p>
    <w:p w14:paraId="66D8BEF4" w14:textId="77777777" w:rsidR="00A10A60" w:rsidRDefault="00A10A60" w:rsidP="00A10A60">
      <w:pPr>
        <w:spacing w:before="166" w:line="362" w:lineRule="auto"/>
        <w:jc w:val="right"/>
        <w:rPr>
          <w:color w:val="8DD873" w:themeColor="accent6" w:themeTint="99"/>
          <w:sz w:val="36"/>
          <w:szCs w:val="36"/>
        </w:rPr>
      </w:pPr>
    </w:p>
    <w:p w14:paraId="5AAED46B" w14:textId="77777777" w:rsidR="00A10A60" w:rsidRDefault="00A10A60" w:rsidP="00A10A60">
      <w:pPr>
        <w:spacing w:before="166" w:line="362" w:lineRule="auto"/>
        <w:jc w:val="right"/>
        <w:rPr>
          <w:color w:val="8DD873" w:themeColor="accent6" w:themeTint="99"/>
          <w:sz w:val="36"/>
          <w:szCs w:val="36"/>
        </w:rPr>
      </w:pPr>
    </w:p>
    <w:p w14:paraId="18DCF4D4" w14:textId="77777777" w:rsidR="00876FF4" w:rsidRDefault="00876FF4" w:rsidP="00A10A60">
      <w:pPr>
        <w:spacing w:before="166" w:line="362" w:lineRule="auto"/>
        <w:rPr>
          <w:rFonts w:ascii="Century Gothic" w:hAnsi="Century Gothic"/>
          <w:b/>
          <w:bCs/>
          <w:color w:val="025850"/>
          <w:sz w:val="36"/>
          <w:szCs w:val="36"/>
        </w:rPr>
      </w:pPr>
    </w:p>
    <w:p w14:paraId="44CB2A0D" w14:textId="77777777" w:rsidR="00876FF4" w:rsidRDefault="00876FF4" w:rsidP="00A10A60">
      <w:pPr>
        <w:spacing w:before="166" w:line="362" w:lineRule="auto"/>
        <w:rPr>
          <w:rFonts w:ascii="Century Gothic" w:hAnsi="Century Gothic"/>
          <w:b/>
          <w:bCs/>
          <w:color w:val="025850"/>
          <w:sz w:val="36"/>
          <w:szCs w:val="36"/>
        </w:rPr>
      </w:pPr>
    </w:p>
    <w:p w14:paraId="7825896E" w14:textId="77777777" w:rsidR="00876FF4" w:rsidRDefault="00876FF4" w:rsidP="00A10A60">
      <w:pPr>
        <w:spacing w:before="166" w:line="362" w:lineRule="auto"/>
        <w:rPr>
          <w:rFonts w:ascii="Century Gothic" w:hAnsi="Century Gothic"/>
          <w:b/>
          <w:bCs/>
          <w:color w:val="025850"/>
          <w:sz w:val="28"/>
          <w:szCs w:val="28"/>
        </w:rPr>
      </w:pPr>
    </w:p>
    <w:p w14:paraId="0643A938" w14:textId="77777777" w:rsidR="00876FF4" w:rsidRDefault="00876FF4" w:rsidP="00876FF4">
      <w:pPr>
        <w:spacing w:before="166" w:line="240" w:lineRule="auto"/>
        <w:rPr>
          <w:rFonts w:ascii="Century Gothic" w:hAnsi="Century Gothic"/>
          <w:b/>
          <w:bCs/>
          <w:color w:val="025850"/>
          <w:sz w:val="28"/>
          <w:szCs w:val="28"/>
        </w:rPr>
      </w:pPr>
    </w:p>
    <w:p w14:paraId="0877DDB9" w14:textId="77777777" w:rsidR="00876FF4" w:rsidRDefault="00876FF4" w:rsidP="00876FF4">
      <w:pPr>
        <w:spacing w:before="166" w:line="240" w:lineRule="auto"/>
        <w:rPr>
          <w:rFonts w:ascii="Century Gothic" w:hAnsi="Century Gothic"/>
          <w:b/>
          <w:bCs/>
          <w:color w:val="025850"/>
          <w:sz w:val="28"/>
          <w:szCs w:val="28"/>
        </w:rPr>
      </w:pPr>
    </w:p>
    <w:p w14:paraId="29888928" w14:textId="6CBF7852" w:rsidR="00A10A60" w:rsidRPr="00876FF4" w:rsidRDefault="00A10A60" w:rsidP="00876FF4">
      <w:pPr>
        <w:spacing w:before="166" w:line="240" w:lineRule="auto"/>
        <w:rPr>
          <w:rFonts w:ascii="Century Gothic" w:hAnsi="Century Gothic"/>
          <w:b/>
          <w:bCs/>
          <w:color w:val="025850"/>
          <w:sz w:val="28"/>
          <w:szCs w:val="28"/>
        </w:rPr>
      </w:pPr>
      <w:r w:rsidRPr="00876FF4">
        <w:rPr>
          <w:rFonts w:ascii="Century Gothic" w:hAnsi="Century Gothic"/>
          <w:b/>
          <w:bCs/>
          <w:color w:val="025850"/>
          <w:sz w:val="28"/>
          <w:szCs w:val="28"/>
        </w:rPr>
        <w:t>EJE 2: BIENESTAR AMBIENTAL Y ACCESO UNIVERSAL AL AGUA</w:t>
      </w:r>
    </w:p>
    <w:p w14:paraId="592067F0" w14:textId="0017EA84" w:rsidR="00A10A60" w:rsidRPr="00876FF4" w:rsidRDefault="00A10A60" w:rsidP="00876FF4">
      <w:pPr>
        <w:spacing w:before="166" w:line="240" w:lineRule="auto"/>
        <w:rPr>
          <w:rFonts w:ascii="Century Gothic" w:hAnsi="Century Gothic"/>
          <w:b/>
          <w:bCs/>
          <w:color w:val="025850"/>
          <w:sz w:val="28"/>
          <w:szCs w:val="28"/>
        </w:rPr>
      </w:pPr>
      <w:r w:rsidRPr="00876FF4">
        <w:rPr>
          <w:rFonts w:ascii="Century Gothic" w:hAnsi="Century Gothic"/>
          <w:b/>
          <w:bCs/>
          <w:color w:val="025850"/>
          <w:sz w:val="28"/>
          <w:szCs w:val="28"/>
        </w:rPr>
        <w:t>“Preservación y promoción ecológica”</w:t>
      </w:r>
    </w:p>
    <w:p w14:paraId="18BA6F67" w14:textId="77777777" w:rsidR="00876FF4" w:rsidRDefault="00876FF4" w:rsidP="00A10A60">
      <w:pPr>
        <w:spacing w:before="166"/>
        <w:jc w:val="center"/>
        <w:rPr>
          <w:rFonts w:ascii="Century Gothic" w:hAnsi="Century Gothic"/>
          <w:b/>
          <w:bCs/>
          <w:color w:val="025850"/>
          <w:sz w:val="22"/>
          <w:szCs w:val="22"/>
          <w:lang w:val="es-US"/>
        </w:rPr>
      </w:pPr>
    </w:p>
    <w:p w14:paraId="4B404EC2" w14:textId="5316474E" w:rsidR="00A10A60" w:rsidRPr="00876FF4" w:rsidRDefault="00A10A60" w:rsidP="00A10A60">
      <w:pPr>
        <w:spacing w:before="166"/>
        <w:jc w:val="center"/>
        <w:rPr>
          <w:rFonts w:ascii="Century Gothic" w:hAnsi="Century Gothic"/>
          <w:b/>
          <w:bCs/>
          <w:color w:val="025850"/>
          <w:sz w:val="22"/>
          <w:szCs w:val="22"/>
          <w:lang w:val="es-US"/>
        </w:rPr>
      </w:pPr>
      <w:r w:rsidRPr="00876FF4">
        <w:rPr>
          <w:rFonts w:ascii="Century Gothic" w:hAnsi="Century Gothic"/>
          <w:b/>
          <w:bCs/>
          <w:color w:val="025850"/>
          <w:sz w:val="22"/>
          <w:szCs w:val="22"/>
          <w:lang w:val="es-US"/>
        </w:rPr>
        <w:t>“La relación entre los seres humanos y la naturaleza debe ser redefinida en términos de reciprocidad, respeto y cuidado"</w:t>
      </w:r>
    </w:p>
    <w:p w14:paraId="7D1A49E1" w14:textId="65CF6BEC" w:rsidR="00876FF4" w:rsidRDefault="00A10A60" w:rsidP="00A10A60">
      <w:pPr>
        <w:spacing w:before="166"/>
        <w:jc w:val="center"/>
        <w:rPr>
          <w:rFonts w:ascii="Century Gothic" w:hAnsi="Century Gothic"/>
          <w:b/>
          <w:bCs/>
          <w:color w:val="025850"/>
          <w:sz w:val="22"/>
          <w:szCs w:val="22"/>
          <w:lang w:val="es-US"/>
        </w:rPr>
      </w:pPr>
      <w:r w:rsidRPr="00876FF4">
        <w:rPr>
          <w:rFonts w:ascii="Century Gothic" w:hAnsi="Century Gothic"/>
          <w:b/>
          <w:bCs/>
          <w:color w:val="025850"/>
          <w:sz w:val="22"/>
          <w:szCs w:val="22"/>
          <w:lang w:val="es-US"/>
        </w:rPr>
        <w:t xml:space="preserve">Enrique </w:t>
      </w:r>
      <w:proofErr w:type="spellStart"/>
      <w:r w:rsidRPr="00876FF4">
        <w:rPr>
          <w:rFonts w:ascii="Century Gothic" w:hAnsi="Century Gothic"/>
          <w:b/>
          <w:bCs/>
          <w:color w:val="025850"/>
          <w:sz w:val="22"/>
          <w:szCs w:val="22"/>
          <w:lang w:val="es-US"/>
        </w:rPr>
        <w:t>Leff</w:t>
      </w:r>
      <w:proofErr w:type="spellEnd"/>
      <w:r w:rsidRPr="00876FF4">
        <w:rPr>
          <w:rFonts w:ascii="Century Gothic" w:hAnsi="Century Gothic"/>
          <w:b/>
          <w:bCs/>
          <w:color w:val="025850"/>
          <w:sz w:val="22"/>
          <w:szCs w:val="22"/>
          <w:lang w:val="es-US"/>
        </w:rPr>
        <w:t>.</w:t>
      </w:r>
    </w:p>
    <w:p w14:paraId="616C17FF" w14:textId="77777777" w:rsidR="00876FF4" w:rsidRDefault="00876FF4">
      <w:pPr>
        <w:rPr>
          <w:rFonts w:ascii="Century Gothic" w:hAnsi="Century Gothic"/>
          <w:b/>
          <w:bCs/>
          <w:color w:val="025850"/>
          <w:sz w:val="22"/>
          <w:szCs w:val="22"/>
          <w:lang w:val="es-US"/>
        </w:rPr>
      </w:pPr>
      <w:r>
        <w:rPr>
          <w:rFonts w:ascii="Century Gothic" w:hAnsi="Century Gothic"/>
          <w:b/>
          <w:bCs/>
          <w:color w:val="025850"/>
          <w:sz w:val="22"/>
          <w:szCs w:val="22"/>
          <w:lang w:val="es-US"/>
        </w:rPr>
        <w:br w:type="page"/>
      </w:r>
    </w:p>
    <w:p w14:paraId="5FCCC110" w14:textId="77777777" w:rsidR="008B2A01" w:rsidRPr="008B2A01" w:rsidRDefault="008B2A01" w:rsidP="008B2A01">
      <w:pPr>
        <w:widowControl w:val="0"/>
        <w:autoSpaceDE w:val="0"/>
        <w:autoSpaceDN w:val="0"/>
        <w:spacing w:after="0" w:line="240" w:lineRule="auto"/>
        <w:jc w:val="both"/>
        <w:rPr>
          <w:rFonts w:ascii="Century Gothic" w:hAnsi="Century Gothic"/>
          <w:b/>
          <w:color w:val="025850"/>
          <w:sz w:val="22"/>
          <w:szCs w:val="22"/>
        </w:rPr>
      </w:pPr>
      <w:r w:rsidRPr="008B2A01">
        <w:rPr>
          <w:rFonts w:ascii="Century Gothic" w:hAnsi="Century Gothic"/>
          <w:b/>
          <w:color w:val="025850"/>
          <w:sz w:val="22"/>
          <w:szCs w:val="22"/>
        </w:rPr>
        <w:lastRenderedPageBreak/>
        <w:t>Agua para todos, “hacia un nuevo modelo de gestión del agua”</w:t>
      </w:r>
    </w:p>
    <w:p w14:paraId="188033D8" w14:textId="77777777" w:rsidR="008B2A01" w:rsidRPr="008B2A01" w:rsidRDefault="008B2A01" w:rsidP="008B2A01">
      <w:pPr>
        <w:jc w:val="both"/>
        <w:rPr>
          <w:rFonts w:ascii="Century Gothic" w:hAnsi="Century Gothic"/>
          <w:b/>
          <w:sz w:val="22"/>
          <w:szCs w:val="22"/>
        </w:rPr>
      </w:pPr>
    </w:p>
    <w:p w14:paraId="1E72FEE7" w14:textId="3F4D233A"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
          <w:sz w:val="22"/>
          <w:szCs w:val="22"/>
        </w:rPr>
        <w:t>“</w:t>
      </w:r>
      <w:r w:rsidRPr="008B2A01">
        <w:rPr>
          <w:rFonts w:ascii="Century Gothic" w:hAnsi="Century Gothic"/>
          <w:bCs/>
          <w:sz w:val="22"/>
          <w:szCs w:val="22"/>
        </w:rPr>
        <w:t xml:space="preserve">Datos de la Secretaría de Medio Ambiente y Recursos Naturales, indica que mundo ofrece claras señales de que la humanidad enfrenta una grave crisis. Una crisis que no se observa tan solo en la gran proporción de la población, sino que vive en severas condiciones de pobreza, ni en la inequitativa distribución de la riqueza o en las alarmantes consecuencias socioambientales del cambio climático y la pérdida de los ecosistemas y su biodiversidad. </w:t>
      </w:r>
    </w:p>
    <w:p w14:paraId="52556186" w14:textId="682B5636"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Es una crisis que sacude y cuestiona de frente al modelo que ha guiado el derrotero de la mayoría de las naciones en las últimas décadas; es una crisis del modelo civilizatorio moderno. Es la crisis del mundo globalizado, industrial, hiperconsumista, individualista, narcisista y depredador de la naturaleza.</w:t>
      </w:r>
    </w:p>
    <w:p w14:paraId="68E89E44" w14:textId="0D4D43B6"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Los científicos han mostrado desde décadas atrás la magnitud del impacto humano sobre el planeta. Sus resultados revelan que la apropiación humana de los recursos es avasalladora y que su huella </w:t>
      </w:r>
      <w:r w:rsidRPr="008B2A01">
        <w:rPr>
          <w:rFonts w:ascii="Century Gothic" w:hAnsi="Century Gothic"/>
          <w:bCs/>
          <w:sz w:val="22"/>
          <w:szCs w:val="22"/>
        </w:rPr>
        <w:t xml:space="preserve">puede apreciarse sobre las tres cuartas partes de la superficie del globo, en algunos casos con cicatrices tan profundas que perdurarán muy lejos en el tiempo. La magnitud de la apropiación de los recursos del planeta convierte al ser humano en la especie más voraz sobre el globo: consume alrededor de la cuarta parte de la productividad primaria planetaria, mucho más de lo que podría esperarse para una especie que no alcanza ni el uno por ciento de la biomasa global. Pero los recursos naturales no son infinitos. </w:t>
      </w:r>
    </w:p>
    <w:p w14:paraId="5FEF407F" w14:textId="61973F30"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La humanidad rebasó hace casi 50 años la capacidad del planeta para mantener las necesidades de su población de manera sustentable, y desde hace cinco años el déficit alcanza el 60%. La humanidad no solo vive a crédito con los recursos del planeta, continúa destruyendo y degradando el patrimonio natural remanente. Con el fuerte impulso de los intereses de una minoría global depredadora, siguen su curso, por ejemplo, la deforestación y la degradación de las selvas tropicales mundiales y la extracción sin medida de minerales e hidrocarburos. Las aguas que resultan del metabolismo social siguen vertiéndose sin tratamiento y </w:t>
      </w:r>
      <w:r w:rsidRPr="008B2A01">
        <w:rPr>
          <w:rFonts w:ascii="Century Gothic" w:hAnsi="Century Gothic"/>
          <w:bCs/>
          <w:sz w:val="22"/>
          <w:szCs w:val="22"/>
        </w:rPr>
        <w:lastRenderedPageBreak/>
        <w:t>contaminando lagos y ríos hasta llegar al mar, degradando la calidad de sus aguas y dañando sus ecosistemas. A la par, la emisión de gases y compuestos de efecto invernadero y otros contaminantes hacia la atmósfera continúa provocando su calentamiento más allá de los límites que los científicos consideran seguros para la humanidad y los ecosistemas.</w:t>
      </w:r>
    </w:p>
    <w:p w14:paraId="689F0A76" w14:textId="3AA00DC7"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Nuestro país, Estado de México y municipios no han conseguido escapar a la tendencia global de la pérdida y degradación de su valioso patrimonio natural. Puede decirse, sin riesgo de caer en exageraciones, que enfrenta una difícil situación ambiental que, en casos particulares, se agrava y puede calificarse como de </w:t>
      </w:r>
      <w:r w:rsidRPr="008B2A01">
        <w:rPr>
          <w:rFonts w:ascii="Century Gothic" w:hAnsi="Century Gothic"/>
          <w:bCs/>
          <w:i/>
          <w:iCs/>
          <w:sz w:val="22"/>
          <w:szCs w:val="22"/>
        </w:rPr>
        <w:t>emergencia ambiental</w:t>
      </w:r>
      <w:r w:rsidRPr="008B2A01">
        <w:rPr>
          <w:rFonts w:ascii="Century Gothic" w:hAnsi="Century Gothic"/>
          <w:bCs/>
          <w:sz w:val="22"/>
          <w:szCs w:val="22"/>
        </w:rPr>
        <w:t>. De no detenerse la inercia de las fuerzas que, con el modelo neoliberal, han puesto al país frente a esta crisis, las generaciones presentes y las que vendrán están en un inminente riesgo.</w:t>
      </w:r>
    </w:p>
    <w:p w14:paraId="05C98FBC" w14:textId="02601205"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El modelo que siguió el país por décadas ha dejado una profunda huella ambiental y social. El uso no sustentable del territorio y de su patrimonio natural provocó la pérdida de importantes superficies de ecosistemas naturales y de su biodiversidad, la </w:t>
      </w:r>
      <w:r w:rsidRPr="008B2A01">
        <w:rPr>
          <w:rFonts w:ascii="Century Gothic" w:hAnsi="Century Gothic"/>
          <w:bCs/>
          <w:sz w:val="22"/>
          <w:szCs w:val="22"/>
        </w:rPr>
        <w:t>degradación ambiental y el deterioro de la calidad de vida de la población. Hasta mediados de la presente década, el país había transformado poco menos de la tercera parte de sus ecosistemas naturales hacia actividades productivas, principalmente las agropecuarias y zonas urbanas.</w:t>
      </w:r>
    </w:p>
    <w:p w14:paraId="16E5F11A" w14:textId="293D5B78"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Por su parte, la crisis climática constituye una batalla propia de supervivencia de nuestra especie. Para el caso de México, la acción climática representa, como para muchos otros países, la búsqueda del bienestar actual y futuro de la población. En la actualidad, se tiene evidencia científica suficiente para asegurar que este fenómeno tiene efectos en nuestro territorio. </w:t>
      </w:r>
    </w:p>
    <w:p w14:paraId="74F38CBF" w14:textId="31EAE2B6"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En los últimos 50 años, las temperaturas promedio han aumentado y se ha modificado la distribución de las lluvias en el territorio. Algunos de los cambios observados podrían recrudecerse: se proyectan entre 2015 y 2039 temperaturas anuales mayores en el norte del país y en el caso de las lluvias, una disminución de entre 10 y 20% Es importante reconocer que el cambio climático no solo tiene impactos en el ambiente; también alcanza distintas </w:t>
      </w:r>
      <w:r w:rsidRPr="008B2A01">
        <w:rPr>
          <w:rFonts w:ascii="Century Gothic" w:hAnsi="Century Gothic"/>
          <w:bCs/>
          <w:sz w:val="22"/>
          <w:szCs w:val="22"/>
        </w:rPr>
        <w:lastRenderedPageBreak/>
        <w:t xml:space="preserve">esferas de la sociedad, afectando la salud y comprometiendo la seguridad alimentaria, la disponibilidad y calidad del agua y el desarrollo de las actividades productivas. </w:t>
      </w:r>
    </w:p>
    <w:p w14:paraId="3A7CF81B" w14:textId="1B082AF9"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En este sentido, México es particularmente vulnerable a los impactos del cambio climático: se estima que alrededor del 68% de la población y el 71% de su Producto Interno Bruto (PIB) están expuestos a sus efectos negativos. Es por ello </w:t>
      </w:r>
      <w:proofErr w:type="gramStart"/>
      <w:r w:rsidRPr="008B2A01">
        <w:rPr>
          <w:rFonts w:ascii="Century Gothic" w:hAnsi="Century Gothic"/>
          <w:bCs/>
          <w:sz w:val="22"/>
          <w:szCs w:val="22"/>
        </w:rPr>
        <w:t>que</w:t>
      </w:r>
      <w:proofErr w:type="gramEnd"/>
      <w:r w:rsidRPr="008B2A01">
        <w:rPr>
          <w:rFonts w:ascii="Century Gothic" w:hAnsi="Century Gothic"/>
          <w:bCs/>
          <w:sz w:val="22"/>
          <w:szCs w:val="22"/>
        </w:rPr>
        <w:t xml:space="preserve"> las acciones encaminadas al combate del cambio climático tendrán un carácter urgente y será necesario fortalecer la acción climática a fin de que nuestro país transite hacia una economía baja en carbono, a la par que su población, ecosistemas, sistemas productivos e infraestructura estratégica sean resilientes a los efectos de este fenómeno.</w:t>
      </w:r>
    </w:p>
    <w:p w14:paraId="6746F853" w14:textId="77777777" w:rsidR="008B2A01" w:rsidRPr="008B2A01" w:rsidRDefault="008B2A01" w:rsidP="008B2A01">
      <w:pPr>
        <w:spacing w:line="360" w:lineRule="auto"/>
        <w:ind w:firstLine="708"/>
        <w:jc w:val="both"/>
        <w:rPr>
          <w:rFonts w:ascii="Century Gothic" w:hAnsi="Century Gothic"/>
          <w:sz w:val="22"/>
          <w:szCs w:val="22"/>
        </w:rPr>
      </w:pPr>
      <w:r w:rsidRPr="008B2A01">
        <w:rPr>
          <w:rFonts w:ascii="Century Gothic" w:hAnsi="Century Gothic"/>
          <w:bCs/>
          <w:sz w:val="22"/>
          <w:szCs w:val="22"/>
        </w:rPr>
        <w:t xml:space="preserve">En el caso particular de San Antonio la Isla, el </w:t>
      </w:r>
      <w:r w:rsidRPr="008B2A01">
        <w:rPr>
          <w:rFonts w:ascii="Century Gothic" w:hAnsi="Century Gothic"/>
          <w:sz w:val="22"/>
          <w:szCs w:val="22"/>
        </w:rPr>
        <w:t>sistema de infraestructura permite suministrar agua potable a los hogares, negocios y edificios en una comunidad, al mismo tiempo que se encarga de recolectar y eliminar las aguas residuales y pluviales de manera segura y eficiente.</w:t>
      </w:r>
    </w:p>
    <w:p w14:paraId="28B18429" w14:textId="77777777" w:rsidR="008B2A01" w:rsidRPr="008B2A01" w:rsidRDefault="008B2A01" w:rsidP="008B2A01">
      <w:pPr>
        <w:spacing w:line="360" w:lineRule="auto"/>
        <w:ind w:firstLine="708"/>
        <w:jc w:val="both"/>
        <w:rPr>
          <w:rFonts w:ascii="Century Gothic" w:hAnsi="Century Gothic"/>
          <w:bCs/>
          <w:sz w:val="22"/>
          <w:szCs w:val="22"/>
        </w:rPr>
      </w:pPr>
    </w:p>
    <w:p w14:paraId="3E61A172" w14:textId="2365578B" w:rsidR="008B2A01" w:rsidRPr="008B2A01" w:rsidRDefault="008B2A01" w:rsidP="008B2A01">
      <w:pPr>
        <w:spacing w:line="360" w:lineRule="auto"/>
        <w:ind w:firstLine="708"/>
        <w:jc w:val="both"/>
        <w:rPr>
          <w:rFonts w:ascii="Century Gothic" w:hAnsi="Century Gothic"/>
          <w:sz w:val="22"/>
          <w:szCs w:val="22"/>
        </w:rPr>
      </w:pPr>
      <w:r w:rsidRPr="008B2A01">
        <w:rPr>
          <w:rFonts w:ascii="Century Gothic" w:hAnsi="Century Gothic"/>
          <w:sz w:val="22"/>
          <w:szCs w:val="22"/>
        </w:rPr>
        <w:t>El proceso de conexión de agua implica la instalación de una red de tuberías que transporta el agua potable desde una fuente de suministro, como una planta de tratamiento de agua o un pozo, hasta los puntos de consumo. Estos puntos de consumo pueden ser viviendas, comercios, oficinas, escuelas u otros edificios. La red de tuberías se extiende por todo el municipio, conectando cada lugar con el suministro central.</w:t>
      </w:r>
    </w:p>
    <w:p w14:paraId="14D22154" w14:textId="01DC351C" w:rsidR="008B2A01" w:rsidRPr="008B2A01" w:rsidRDefault="008B2A01" w:rsidP="008B2A01">
      <w:pPr>
        <w:spacing w:line="360" w:lineRule="auto"/>
        <w:ind w:firstLine="708"/>
        <w:jc w:val="both"/>
        <w:rPr>
          <w:rFonts w:ascii="Century Gothic" w:hAnsi="Century Gothic"/>
          <w:sz w:val="22"/>
          <w:szCs w:val="22"/>
        </w:rPr>
      </w:pPr>
      <w:r w:rsidRPr="008B2A01">
        <w:rPr>
          <w:rFonts w:ascii="Century Gothic" w:hAnsi="Century Gothic"/>
          <w:sz w:val="22"/>
          <w:szCs w:val="22"/>
        </w:rPr>
        <w:t>Este importante servicio exige un uso racional y una administración eficiente tanto del recurso natural, como de las finanzas que hacen posible su operación. El suministro del servicio de agua en el Municipio es responsabilidad del Ayuntamiento, así como también la prestación de los servicios de agua potable, alcantarillado y saneamiento.</w:t>
      </w:r>
    </w:p>
    <w:p w14:paraId="5C55627D" w14:textId="37854000" w:rsidR="008B2A01" w:rsidRDefault="008B2A01" w:rsidP="008B2A01">
      <w:pPr>
        <w:spacing w:line="360" w:lineRule="auto"/>
        <w:ind w:firstLine="708"/>
        <w:jc w:val="both"/>
        <w:rPr>
          <w:rFonts w:ascii="Century Gothic" w:hAnsi="Century Gothic"/>
          <w:sz w:val="22"/>
          <w:szCs w:val="22"/>
        </w:rPr>
      </w:pPr>
      <w:r w:rsidRPr="008B2A01">
        <w:rPr>
          <w:rFonts w:ascii="Century Gothic" w:hAnsi="Century Gothic"/>
          <w:sz w:val="22"/>
          <w:szCs w:val="22"/>
        </w:rPr>
        <w:t xml:space="preserve">Actualmente, se abastece con 3,030,394 m3 de agua a la población </w:t>
      </w:r>
      <w:proofErr w:type="spellStart"/>
      <w:r w:rsidRPr="008B2A01">
        <w:rPr>
          <w:rFonts w:ascii="Century Gothic" w:hAnsi="Century Gothic"/>
          <w:sz w:val="22"/>
          <w:szCs w:val="22"/>
        </w:rPr>
        <w:t>Islense</w:t>
      </w:r>
      <w:proofErr w:type="spellEnd"/>
      <w:r w:rsidRPr="008B2A01">
        <w:rPr>
          <w:rFonts w:ascii="Century Gothic" w:hAnsi="Century Gothic"/>
          <w:sz w:val="22"/>
          <w:szCs w:val="22"/>
        </w:rPr>
        <w:t xml:space="preserve"> a través de nuestros 5 pozos y donde aún no hay red de agua o esta escasea a través de la pipa en forma gratuita. Reconocemos que ofrecer alternativas que solucionen el rezago en materia de agua </w:t>
      </w:r>
      <w:r w:rsidRPr="008B2A01">
        <w:rPr>
          <w:rFonts w:ascii="Century Gothic" w:hAnsi="Century Gothic"/>
          <w:sz w:val="22"/>
          <w:szCs w:val="22"/>
        </w:rPr>
        <w:lastRenderedPageBreak/>
        <w:t>potable, no es tarea fácil, implica dar soluciones eficientes en el presente, considerando seriamente las necesidades del futuro; somos una población que crece a un acelerado ritmo y que, por tanto, los requerimientos de servicios y de infraestructura también están en aumento constante.</w:t>
      </w:r>
    </w:p>
    <w:tbl>
      <w:tblPr>
        <w:tblStyle w:val="Tablaconcuadrcula4-nfasis2"/>
        <w:tblW w:w="6133" w:type="dxa"/>
        <w:tblLayout w:type="fixed"/>
        <w:tblLook w:val="01E0" w:firstRow="1" w:lastRow="1" w:firstColumn="1" w:lastColumn="1" w:noHBand="0" w:noVBand="0"/>
      </w:tblPr>
      <w:tblGrid>
        <w:gridCol w:w="3114"/>
        <w:gridCol w:w="3019"/>
      </w:tblGrid>
      <w:tr w:rsidR="008B2A01" w:rsidRPr="008B2A01" w14:paraId="43834037" w14:textId="77777777" w:rsidTr="008B2A01">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6133" w:type="dxa"/>
            <w:gridSpan w:val="2"/>
          </w:tcPr>
          <w:p w14:paraId="0F7CD850" w14:textId="77777777" w:rsidR="008B2A01" w:rsidRPr="008B2A01" w:rsidRDefault="008B2A01" w:rsidP="008035D9">
            <w:pPr>
              <w:ind w:firstLine="708"/>
              <w:jc w:val="both"/>
              <w:rPr>
                <w:rFonts w:ascii="Century Gothic" w:hAnsi="Century Gothic"/>
              </w:rPr>
            </w:pPr>
            <w:r w:rsidRPr="008B2A01">
              <w:rPr>
                <w:rFonts w:ascii="Century Gothic" w:hAnsi="Century Gothic"/>
              </w:rPr>
              <w:t>Indicadores de servicio de agua potable</w:t>
            </w:r>
          </w:p>
        </w:tc>
      </w:tr>
      <w:tr w:rsidR="008B2A01" w:rsidRPr="008B2A01" w14:paraId="1359D65F" w14:textId="77777777" w:rsidTr="008B2A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Pr>
          <w:p w14:paraId="1D435EF1"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Fuentes de abastecimiento de agua potable</w:t>
            </w:r>
          </w:p>
        </w:tc>
        <w:tc>
          <w:tcPr>
            <w:cnfStyle w:val="000100000000" w:firstRow="0" w:lastRow="0" w:firstColumn="0" w:lastColumn="1" w:oddVBand="0" w:evenVBand="0" w:oddHBand="0" w:evenHBand="0" w:firstRowFirstColumn="0" w:firstRowLastColumn="0" w:lastRowFirstColumn="0" w:lastRowLastColumn="0"/>
            <w:tcW w:w="3019" w:type="dxa"/>
          </w:tcPr>
          <w:p w14:paraId="3C9DF8AD"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4</w:t>
            </w:r>
          </w:p>
        </w:tc>
      </w:tr>
      <w:tr w:rsidR="008B2A01" w:rsidRPr="008B2A01" w14:paraId="49E14EAE" w14:textId="77777777" w:rsidTr="008B2A01">
        <w:trPr>
          <w:trHeight w:val="279"/>
        </w:trPr>
        <w:tc>
          <w:tcPr>
            <w:cnfStyle w:val="001000000000" w:firstRow="0" w:lastRow="0" w:firstColumn="1" w:lastColumn="0" w:oddVBand="0" w:evenVBand="0" w:oddHBand="0" w:evenHBand="0" w:firstRowFirstColumn="0" w:firstRowLastColumn="0" w:lastRowFirstColumn="0" w:lastRowLastColumn="0"/>
            <w:tcW w:w="3114" w:type="dxa"/>
          </w:tcPr>
          <w:p w14:paraId="7881C5F6"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Estaciones de bombeo</w:t>
            </w:r>
          </w:p>
        </w:tc>
        <w:tc>
          <w:tcPr>
            <w:cnfStyle w:val="000100000000" w:firstRow="0" w:lastRow="0" w:firstColumn="0" w:lastColumn="1" w:oddVBand="0" w:evenVBand="0" w:oddHBand="0" w:evenHBand="0" w:firstRowFirstColumn="0" w:firstRowLastColumn="0" w:lastRowFirstColumn="0" w:lastRowLastColumn="0"/>
            <w:tcW w:w="3019" w:type="dxa"/>
          </w:tcPr>
          <w:p w14:paraId="25946B33"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7</w:t>
            </w:r>
          </w:p>
        </w:tc>
      </w:tr>
      <w:tr w:rsidR="008B2A01" w:rsidRPr="008B2A01" w14:paraId="2E9216B2" w14:textId="77777777" w:rsidTr="008B2A01">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114" w:type="dxa"/>
          </w:tcPr>
          <w:p w14:paraId="63944A2B"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Líneas de conducción</w:t>
            </w:r>
          </w:p>
        </w:tc>
        <w:tc>
          <w:tcPr>
            <w:cnfStyle w:val="000100000000" w:firstRow="0" w:lastRow="0" w:firstColumn="0" w:lastColumn="1" w:oddVBand="0" w:evenVBand="0" w:oddHBand="0" w:evenHBand="0" w:firstRowFirstColumn="0" w:firstRowLastColumn="0" w:lastRowFirstColumn="0" w:lastRowLastColumn="0"/>
            <w:tcW w:w="3019" w:type="dxa"/>
          </w:tcPr>
          <w:p w14:paraId="4AEE2F1C"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4</w:t>
            </w:r>
          </w:p>
        </w:tc>
      </w:tr>
      <w:tr w:rsidR="008B2A01" w:rsidRPr="008B2A01" w14:paraId="2CA46827" w14:textId="77777777" w:rsidTr="008B2A01">
        <w:trPr>
          <w:trHeight w:val="558"/>
        </w:trPr>
        <w:tc>
          <w:tcPr>
            <w:cnfStyle w:val="001000000000" w:firstRow="0" w:lastRow="0" w:firstColumn="1" w:lastColumn="0" w:oddVBand="0" w:evenVBand="0" w:oddHBand="0" w:evenHBand="0" w:firstRowFirstColumn="0" w:firstRowLastColumn="0" w:lastRowFirstColumn="0" w:lastRowLastColumn="0"/>
            <w:tcW w:w="3114" w:type="dxa"/>
          </w:tcPr>
          <w:p w14:paraId="357D761E"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Tanques de almacenamiento superficial y elevado</w:t>
            </w:r>
          </w:p>
        </w:tc>
        <w:tc>
          <w:tcPr>
            <w:cnfStyle w:val="000100000000" w:firstRow="0" w:lastRow="0" w:firstColumn="0" w:lastColumn="1" w:oddVBand="0" w:evenVBand="0" w:oddHBand="0" w:evenHBand="0" w:firstRowFirstColumn="0" w:firstRowLastColumn="0" w:lastRowFirstColumn="0" w:lastRowLastColumn="0"/>
            <w:tcW w:w="3019" w:type="dxa"/>
          </w:tcPr>
          <w:p w14:paraId="2929335E"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10</w:t>
            </w:r>
          </w:p>
        </w:tc>
      </w:tr>
      <w:tr w:rsidR="008B2A01" w:rsidRPr="008B2A01" w14:paraId="13DA2E66" w14:textId="77777777" w:rsidTr="008B2A01">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Pr>
          <w:p w14:paraId="3A3C7330"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Red de distribución primaria y secundaria</w:t>
            </w:r>
          </w:p>
        </w:tc>
        <w:tc>
          <w:tcPr>
            <w:cnfStyle w:val="000100000000" w:firstRow="0" w:lastRow="0" w:firstColumn="0" w:lastColumn="1" w:oddVBand="0" w:evenVBand="0" w:oddHBand="0" w:evenHBand="0" w:firstRowFirstColumn="0" w:firstRowLastColumn="0" w:lastRowFirstColumn="0" w:lastRowLastColumn="0"/>
            <w:tcW w:w="3019" w:type="dxa"/>
          </w:tcPr>
          <w:p w14:paraId="3C1BDC2B"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4</w:t>
            </w:r>
          </w:p>
        </w:tc>
      </w:tr>
      <w:tr w:rsidR="008B2A01" w:rsidRPr="008B2A01" w14:paraId="63F4985E" w14:textId="77777777" w:rsidTr="008B2A01">
        <w:trPr>
          <w:trHeight w:val="349"/>
        </w:trPr>
        <w:tc>
          <w:tcPr>
            <w:cnfStyle w:val="001000000000" w:firstRow="0" w:lastRow="0" w:firstColumn="1" w:lastColumn="0" w:oddVBand="0" w:evenVBand="0" w:oddHBand="0" w:evenHBand="0" w:firstRowFirstColumn="0" w:firstRowLastColumn="0" w:lastRowFirstColumn="0" w:lastRowLastColumn="0"/>
            <w:tcW w:w="3114" w:type="dxa"/>
          </w:tcPr>
          <w:p w14:paraId="3432AB30"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Localidades con acceso a agua potable</w:t>
            </w:r>
          </w:p>
        </w:tc>
        <w:tc>
          <w:tcPr>
            <w:cnfStyle w:val="000100000000" w:firstRow="0" w:lastRow="0" w:firstColumn="0" w:lastColumn="1" w:oddVBand="0" w:evenVBand="0" w:oddHBand="0" w:evenHBand="0" w:firstRowFirstColumn="0" w:firstRowLastColumn="0" w:lastRowFirstColumn="0" w:lastRowLastColumn="0"/>
            <w:tcW w:w="3019" w:type="dxa"/>
          </w:tcPr>
          <w:p w14:paraId="16DE29C1"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2</w:t>
            </w:r>
          </w:p>
        </w:tc>
      </w:tr>
      <w:tr w:rsidR="008B2A01" w:rsidRPr="008B2A01" w14:paraId="14B18015" w14:textId="77777777" w:rsidTr="008B2A01">
        <w:trPr>
          <w:cnfStyle w:val="010000000000" w:firstRow="0" w:lastRow="1"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114" w:type="dxa"/>
          </w:tcPr>
          <w:p w14:paraId="39864463" w14:textId="77777777" w:rsidR="008B2A01" w:rsidRPr="008B2A01" w:rsidRDefault="008B2A01" w:rsidP="008B2A01">
            <w:pPr>
              <w:jc w:val="both"/>
              <w:rPr>
                <w:rFonts w:ascii="Century Gothic" w:hAnsi="Century Gothic"/>
                <w:b w:val="0"/>
                <w:bCs w:val="0"/>
              </w:rPr>
            </w:pPr>
            <w:r w:rsidRPr="008B2A01">
              <w:rPr>
                <w:rFonts w:ascii="Century Gothic" w:hAnsi="Century Gothic"/>
                <w:b w:val="0"/>
                <w:bCs w:val="0"/>
              </w:rPr>
              <w:t>Localidades sin acceso a agua potable</w:t>
            </w:r>
          </w:p>
        </w:tc>
        <w:tc>
          <w:tcPr>
            <w:cnfStyle w:val="000100000000" w:firstRow="0" w:lastRow="0" w:firstColumn="0" w:lastColumn="1" w:oddVBand="0" w:evenVBand="0" w:oddHBand="0" w:evenHBand="0" w:firstRowFirstColumn="0" w:firstRowLastColumn="0" w:lastRowFirstColumn="0" w:lastRowLastColumn="0"/>
            <w:tcW w:w="3019" w:type="dxa"/>
          </w:tcPr>
          <w:p w14:paraId="6EFA5591" w14:textId="77777777" w:rsidR="008B2A01" w:rsidRPr="008B2A01" w:rsidRDefault="008B2A01" w:rsidP="008035D9">
            <w:pPr>
              <w:ind w:firstLine="708"/>
              <w:jc w:val="both"/>
              <w:rPr>
                <w:rFonts w:ascii="Century Gothic" w:hAnsi="Century Gothic"/>
                <w:b w:val="0"/>
                <w:bCs w:val="0"/>
              </w:rPr>
            </w:pPr>
            <w:r w:rsidRPr="008B2A01">
              <w:rPr>
                <w:rFonts w:ascii="Century Gothic" w:hAnsi="Century Gothic"/>
                <w:b w:val="0"/>
                <w:bCs w:val="0"/>
              </w:rPr>
              <w:t>1</w:t>
            </w:r>
          </w:p>
        </w:tc>
      </w:tr>
    </w:tbl>
    <w:p w14:paraId="604D6D23" w14:textId="5DDD2FB6" w:rsidR="00D343CF" w:rsidRDefault="008B2A01" w:rsidP="008B2A01">
      <w:pPr>
        <w:spacing w:line="240" w:lineRule="auto"/>
        <w:rPr>
          <w:rFonts w:ascii="Century Gothic" w:hAnsi="Century Gothic"/>
          <w:sz w:val="16"/>
          <w:szCs w:val="16"/>
        </w:rPr>
      </w:pPr>
      <w:r w:rsidRPr="008B2A01">
        <w:rPr>
          <w:rFonts w:ascii="Century Gothic" w:hAnsi="Century Gothic"/>
          <w:sz w:val="16"/>
          <w:szCs w:val="16"/>
        </w:rPr>
        <w:t>Fuente: Municipio de San Antonio la Isla, Dirección de Agua, Drenaje y Saneamiento</w:t>
      </w:r>
    </w:p>
    <w:p w14:paraId="01227FFC" w14:textId="1387BEB5" w:rsidR="008B2A01" w:rsidRPr="008B2A01" w:rsidRDefault="008B2A01" w:rsidP="008B2A01">
      <w:pPr>
        <w:spacing w:line="360" w:lineRule="auto"/>
        <w:ind w:firstLine="708"/>
        <w:jc w:val="both"/>
        <w:rPr>
          <w:rFonts w:ascii="Century Gothic" w:hAnsi="Century Gothic"/>
          <w:sz w:val="22"/>
          <w:szCs w:val="22"/>
        </w:rPr>
      </w:pPr>
      <w:r w:rsidRPr="008B2A01">
        <w:rPr>
          <w:rFonts w:ascii="Century Gothic" w:hAnsi="Century Gothic"/>
          <w:sz w:val="22"/>
          <w:szCs w:val="22"/>
        </w:rPr>
        <w:t>Para garantizar la calidad de agua que se suministra a la población, se tiene un convenio de cloración con la CAEM, de las diferentes fuentes de suministro a la población. Se cuenta también con un programa de limpieza de cisterna y tanques elevados dos veces por año.</w:t>
      </w:r>
    </w:p>
    <w:p w14:paraId="23949561" w14:textId="77777777" w:rsidR="008B2A01" w:rsidRPr="008B2A01" w:rsidRDefault="008B2A01" w:rsidP="008B2A0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8B2A01">
        <w:rPr>
          <w:rFonts w:ascii="Century Gothic" w:eastAsia="Times New Roman" w:hAnsi="Century Gothic" w:cs="Times New Roman"/>
          <w:sz w:val="22"/>
          <w:szCs w:val="22"/>
          <w:lang w:eastAsia="es-MX"/>
        </w:rPr>
        <w:t>El agua en San Antonio la Isla es un recurso esencial que se emplea en diversos ámbitos para garantizar el bienestar de la población y el desarrollo del municipio. Uno de los principales usos es el doméstico, ya que las familias dependen de este recurso para beber, cocinar, bañarse, lavar la ropa, limpiar el hogar y regar jardines. Sin embargo, el uso ineficiente y la presencia de fugas contribuyen al desperdicio de agua en muchas viviendas.</w:t>
      </w:r>
    </w:p>
    <w:p w14:paraId="163371E0" w14:textId="77777777" w:rsidR="008B2A01" w:rsidRPr="008B2A01" w:rsidRDefault="008B2A01" w:rsidP="008B2A0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8B2A01">
        <w:rPr>
          <w:rFonts w:ascii="Century Gothic" w:eastAsia="Times New Roman" w:hAnsi="Century Gothic" w:cs="Times New Roman"/>
          <w:sz w:val="22"/>
          <w:szCs w:val="22"/>
          <w:lang w:eastAsia="es-MX"/>
        </w:rPr>
        <w:t>Otro sector que requiere agua es la agricultura, utilizada para el riego de cultivos y la producción de alimentos. Aunque San Antonio la Isla no es un municipio con una gran actividad agrícola, las tierras destinadas a este rubro necesitan abastecimiento de agua, lo que puede representar un reto en temporadas de sequía.</w:t>
      </w:r>
    </w:p>
    <w:p w14:paraId="4EA44FDD" w14:textId="77777777" w:rsidR="008B2A01" w:rsidRPr="008B2A01" w:rsidRDefault="008B2A01" w:rsidP="008B2A0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8B2A01">
        <w:rPr>
          <w:rFonts w:ascii="Century Gothic" w:eastAsia="Times New Roman" w:hAnsi="Century Gothic" w:cs="Times New Roman"/>
          <w:sz w:val="22"/>
          <w:szCs w:val="22"/>
          <w:lang w:eastAsia="es-MX"/>
        </w:rPr>
        <w:t>El agua también es fundamental en la industria y el comercio, donde pequeños y medianos negocios como restaurantes, lavanderías y panaderías la emplean en sus operaciones diarias. Su correcto suministro es clave para mantener la actividad económica y garantizar la higiene en estos establecimientos.</w:t>
      </w:r>
    </w:p>
    <w:p w14:paraId="1098BD4C" w14:textId="77777777" w:rsidR="008B2A01" w:rsidRPr="008B2A01" w:rsidRDefault="008B2A01" w:rsidP="008B2A0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8B2A01">
        <w:rPr>
          <w:rFonts w:ascii="Century Gothic" w:eastAsia="Times New Roman" w:hAnsi="Century Gothic" w:cs="Times New Roman"/>
          <w:sz w:val="22"/>
          <w:szCs w:val="22"/>
          <w:lang w:eastAsia="es-MX"/>
        </w:rPr>
        <w:lastRenderedPageBreak/>
        <w:t>A nivel municipal, el agua es utilizada para el mantenimiento de parques, jardines y espacios públicos. También es imprescindible en instituciones de salud y educación, donde garantiza condiciones adecuadas de higiene y saneamiento. Además, es un elemento vital en el sistema de recolección y tratamiento de aguas residuales, contribuyendo a la salud pública y la conservación del medio ambiente.</w:t>
      </w:r>
    </w:p>
    <w:p w14:paraId="4EA2CCE6" w14:textId="48616358" w:rsidR="008B2A01" w:rsidRDefault="008B2A01" w:rsidP="008B2A0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8B2A01">
        <w:rPr>
          <w:rFonts w:ascii="Century Gothic" w:eastAsia="Times New Roman" w:hAnsi="Century Gothic" w:cs="Times New Roman"/>
          <w:sz w:val="22"/>
          <w:szCs w:val="22"/>
          <w:lang w:eastAsia="es-MX"/>
        </w:rPr>
        <w:t>Dado el crecimiento de la población y la sobreexplotación de los mantos acuíferos, el abastecimiento de agua en San Antonio la Isla enfrenta desafíos importantes. Es necesario adoptar un enfoque de uso responsable en todos los sectores para garantizar que este recurso siga estando disponible para las futuras generaciones.</w:t>
      </w:r>
    </w:p>
    <w:p w14:paraId="73ED5A37" w14:textId="21EE2FB8" w:rsidR="008B2A01" w:rsidRPr="008B2A01" w:rsidRDefault="008B2A01" w:rsidP="008B2A01">
      <w:pPr>
        <w:spacing w:before="100" w:beforeAutospacing="1" w:after="100" w:afterAutospacing="1" w:line="360" w:lineRule="auto"/>
        <w:jc w:val="both"/>
        <w:rPr>
          <w:rFonts w:ascii="Century Gothic" w:eastAsia="Times New Roman" w:hAnsi="Century Gothic" w:cs="Times New Roman"/>
          <w:sz w:val="22"/>
          <w:szCs w:val="22"/>
          <w:lang w:eastAsia="es-MX"/>
        </w:rPr>
      </w:pPr>
      <w:r>
        <w:rPr>
          <w:noProof/>
        </w:rPr>
        <w:drawing>
          <wp:inline distT="0" distB="0" distL="0" distR="0" wp14:anchorId="2395B6BC" wp14:editId="290A792E">
            <wp:extent cx="3890010" cy="2334006"/>
            <wp:effectExtent l="0" t="0" r="15240" b="9525"/>
            <wp:docPr id="8" name="Gráfico 8">
              <a:extLst xmlns:a="http://schemas.openxmlformats.org/drawingml/2006/main">
                <a:ext uri="{FF2B5EF4-FFF2-40B4-BE49-F238E27FC236}">
                  <a16:creationId xmlns:a16="http://schemas.microsoft.com/office/drawing/2014/main" id="{9245BD4B-F103-4A63-B212-9EFDC440A4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8F0A57">
        <w:rPr>
          <w:rFonts w:ascii="Century Gothic" w:hAnsi="Century Gothic"/>
          <w:sz w:val="16"/>
          <w:szCs w:val="16"/>
        </w:rPr>
        <w:t>Fuente: Dirección de Agua, SALI 2025</w:t>
      </w:r>
    </w:p>
    <w:p w14:paraId="7D1B2BDB" w14:textId="49A974F8"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Los ecosistemas forestales tienen la capacidad de disminuir el efecto invernadero a través de dos procesos relacionados con el ciclo del carbono, la fijación o captura de carbono y la reducción de emisiones debidas a la deforestación y degradación forestal.</w:t>
      </w:r>
    </w:p>
    <w:p w14:paraId="25A3BDB1" w14:textId="04F920BE"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 xml:space="preserve">Los bosques durante su crecimiento absorben el bióxido de carbono (CO2) de la atmósfera y lo convierten en carbono que se almacena en su tronco, raíces y hojas. Adicionalmente queda carbono almacenado en el suelo, en la materia orgánica, al ras del suelo (hojarasca) y en los árboles muertos. Este proceso en el que los bosques capturan carbono de la atmósfera contribuye a </w:t>
      </w:r>
      <w:r w:rsidRPr="008B2A01">
        <w:rPr>
          <w:rFonts w:ascii="Century Gothic" w:hAnsi="Century Gothic"/>
          <w:bCs/>
          <w:sz w:val="22"/>
          <w:szCs w:val="22"/>
        </w:rPr>
        <w:lastRenderedPageBreak/>
        <w:t>la mitigación del cambio climático. Un bosque que crece está catalogado como un sumidero de carbono.</w:t>
      </w:r>
    </w:p>
    <w:p w14:paraId="4245AC6F" w14:textId="6469D9E9" w:rsidR="008B2A01" w:rsidRPr="008B2A01" w:rsidRDefault="008B2A01" w:rsidP="008B2A01">
      <w:pPr>
        <w:spacing w:line="360" w:lineRule="auto"/>
        <w:ind w:firstLine="708"/>
        <w:jc w:val="both"/>
        <w:rPr>
          <w:rFonts w:ascii="Century Gothic" w:hAnsi="Century Gothic"/>
          <w:bCs/>
          <w:sz w:val="22"/>
          <w:szCs w:val="22"/>
        </w:rPr>
      </w:pPr>
      <w:r w:rsidRPr="008B2A01">
        <w:rPr>
          <w:rFonts w:ascii="Century Gothic" w:hAnsi="Century Gothic"/>
          <w:bCs/>
          <w:sz w:val="22"/>
          <w:szCs w:val="22"/>
        </w:rPr>
        <w:t>De forma inversa, con la destrucción de un bosque o su degradación, se libera hacia la atmósfera el carbono que alguna vez fue almacenado, contribuyendo a agravar el problema del cambio climático. Se estima a nivel mundial que el cambio de uso de suelo es una de las fuentes más importantes de Gases Efecto Invernadero (GEI).</w:t>
      </w:r>
    </w:p>
    <w:p w14:paraId="05F4F23F" w14:textId="7BFBAD57" w:rsidR="00DD1E72" w:rsidRDefault="008B2A01" w:rsidP="008B2A01">
      <w:pPr>
        <w:spacing w:line="360" w:lineRule="auto"/>
        <w:ind w:firstLine="708"/>
        <w:jc w:val="both"/>
        <w:rPr>
          <w:rFonts w:ascii="Corbel" w:hAnsi="Corbel"/>
          <w:bCs/>
        </w:rPr>
      </w:pPr>
      <w:r w:rsidRPr="008B2A01">
        <w:rPr>
          <w:rFonts w:ascii="Century Gothic" w:hAnsi="Century Gothic"/>
          <w:bCs/>
          <w:sz w:val="22"/>
          <w:szCs w:val="22"/>
        </w:rPr>
        <w:t>Debido a que la extensión territorial de San Antonio la Isla no cuenta con zonas forestales de alto impacto, el índice para la conservación de estas se encuentra bajo a nivel estatal. Sin embargo, el municipio está comprometido con los recursos forestales y su reforestación en las áreas rurales y urbanas. Esto tiene relevancia para los habitantes del municipio ya que se crea una conexión con el entorno natural y la vida urbana</w:t>
      </w:r>
      <w:r w:rsidRPr="007E4930">
        <w:rPr>
          <w:rFonts w:ascii="Corbel" w:hAnsi="Corbel"/>
          <w:bCs/>
        </w:rPr>
        <w:t>.</w:t>
      </w:r>
    </w:p>
    <w:p w14:paraId="0135E61C" w14:textId="77777777" w:rsidR="00DD1E72" w:rsidRDefault="00DD1E72">
      <w:pPr>
        <w:rPr>
          <w:rFonts w:ascii="Corbel" w:hAnsi="Corbel"/>
          <w:bCs/>
        </w:rPr>
      </w:pPr>
      <w:r>
        <w:rPr>
          <w:rFonts w:ascii="Corbel" w:hAnsi="Corbel"/>
          <w:bCs/>
        </w:rPr>
        <w:br w:type="page"/>
      </w:r>
    </w:p>
    <w:p w14:paraId="1D9E5352" w14:textId="77777777" w:rsidR="00DD1E72" w:rsidRDefault="00DD1E72">
      <w:pPr>
        <w:rPr>
          <w:rFonts w:ascii="Corbel" w:hAnsi="Corbel"/>
          <w:bCs/>
        </w:rPr>
        <w:sectPr w:rsidR="00DD1E72" w:rsidSect="00A10A60">
          <w:pgSz w:w="15840" w:h="12240" w:orient="landscape"/>
          <w:pgMar w:top="1440" w:right="1440" w:bottom="1440" w:left="1440" w:header="709" w:footer="709" w:gutter="0"/>
          <w:cols w:num="2" w:space="708"/>
          <w:docGrid w:linePitch="360"/>
        </w:sectPr>
      </w:pPr>
    </w:p>
    <w:tbl>
      <w:tblPr>
        <w:tblStyle w:val="Tablaconcuadrcula4-nfasis2"/>
        <w:tblW w:w="13223" w:type="dxa"/>
        <w:tblLook w:val="04A0" w:firstRow="1" w:lastRow="0" w:firstColumn="1" w:lastColumn="0" w:noHBand="0" w:noVBand="1"/>
      </w:tblPr>
      <w:tblGrid>
        <w:gridCol w:w="2145"/>
        <w:gridCol w:w="2385"/>
        <w:gridCol w:w="2173"/>
        <w:gridCol w:w="2173"/>
        <w:gridCol w:w="2172"/>
        <w:gridCol w:w="2175"/>
      </w:tblGrid>
      <w:tr w:rsidR="00DD1E72" w:rsidRPr="00DD1E72" w14:paraId="0E061B38" w14:textId="77777777" w:rsidTr="00DD1E72">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13223" w:type="dxa"/>
            <w:gridSpan w:val="6"/>
          </w:tcPr>
          <w:p w14:paraId="64AAF857" w14:textId="77777777" w:rsidR="00DD1E72" w:rsidRPr="00DD1E72" w:rsidRDefault="00DD1E72" w:rsidP="008035D9">
            <w:pPr>
              <w:jc w:val="center"/>
              <w:rPr>
                <w:rFonts w:ascii="Century Gothic" w:hAnsi="Century Gothic"/>
              </w:rPr>
            </w:pPr>
            <w:r w:rsidRPr="00DD1E72">
              <w:rPr>
                <w:rFonts w:ascii="Century Gothic" w:hAnsi="Century Gothic"/>
              </w:rPr>
              <w:lastRenderedPageBreak/>
              <w:t>Distribución de la superficie forestal por municipio</w:t>
            </w:r>
          </w:p>
        </w:tc>
      </w:tr>
      <w:tr w:rsidR="00DD1E72" w:rsidRPr="00DD1E72" w14:paraId="25FC6328" w14:textId="77777777" w:rsidTr="00DD1E7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45" w:type="dxa"/>
          </w:tcPr>
          <w:p w14:paraId="1B4EDF41" w14:textId="77777777" w:rsidR="00DD1E72" w:rsidRPr="00DD1E72" w:rsidRDefault="00DD1E72" w:rsidP="008035D9">
            <w:pPr>
              <w:rPr>
                <w:rFonts w:ascii="Century Gothic" w:hAnsi="Century Gothic"/>
              </w:rPr>
            </w:pPr>
            <w:r w:rsidRPr="00DD1E72">
              <w:rPr>
                <w:rFonts w:ascii="Century Gothic" w:hAnsi="Century Gothic"/>
              </w:rPr>
              <w:t>Región</w:t>
            </w:r>
          </w:p>
        </w:tc>
        <w:tc>
          <w:tcPr>
            <w:tcW w:w="2385" w:type="dxa"/>
          </w:tcPr>
          <w:p w14:paraId="3BD78506"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Municipio</w:t>
            </w:r>
          </w:p>
        </w:tc>
        <w:tc>
          <w:tcPr>
            <w:tcW w:w="2173" w:type="dxa"/>
          </w:tcPr>
          <w:p w14:paraId="56170ACC"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Superficie total (ha)</w:t>
            </w:r>
          </w:p>
        </w:tc>
        <w:tc>
          <w:tcPr>
            <w:tcW w:w="2173" w:type="dxa"/>
          </w:tcPr>
          <w:p w14:paraId="4D06293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Superficie forestal (ha)</w:t>
            </w:r>
          </w:p>
        </w:tc>
        <w:tc>
          <w:tcPr>
            <w:tcW w:w="2172" w:type="dxa"/>
          </w:tcPr>
          <w:p w14:paraId="006845E1"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 respecto a la superficie total de la zona</w:t>
            </w:r>
          </w:p>
        </w:tc>
        <w:tc>
          <w:tcPr>
            <w:tcW w:w="2172" w:type="dxa"/>
          </w:tcPr>
          <w:p w14:paraId="3B4D77DE"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 respecto a la superficie forestal estatal</w:t>
            </w:r>
          </w:p>
        </w:tc>
      </w:tr>
      <w:tr w:rsidR="00DD1E72" w:rsidRPr="00DD1E72" w14:paraId="3D375865" w14:textId="77777777" w:rsidTr="00DD1E72">
        <w:trPr>
          <w:trHeight w:val="436"/>
        </w:trPr>
        <w:tc>
          <w:tcPr>
            <w:cnfStyle w:val="001000000000" w:firstRow="0" w:lastRow="0" w:firstColumn="1" w:lastColumn="0" w:oddVBand="0" w:evenVBand="0" w:oddHBand="0" w:evenHBand="0" w:firstRowFirstColumn="0" w:firstRowLastColumn="0" w:lastRowFirstColumn="0" w:lastRowLastColumn="0"/>
            <w:tcW w:w="2145" w:type="dxa"/>
          </w:tcPr>
          <w:p w14:paraId="5E74BFC9"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3FEE5C1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Atizapán</w:t>
            </w:r>
          </w:p>
        </w:tc>
        <w:tc>
          <w:tcPr>
            <w:tcW w:w="2173" w:type="dxa"/>
          </w:tcPr>
          <w:p w14:paraId="364F783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849.17</w:t>
            </w:r>
          </w:p>
        </w:tc>
        <w:tc>
          <w:tcPr>
            <w:tcW w:w="2173" w:type="dxa"/>
          </w:tcPr>
          <w:p w14:paraId="21C3564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11.26</w:t>
            </w:r>
          </w:p>
        </w:tc>
        <w:tc>
          <w:tcPr>
            <w:tcW w:w="2172" w:type="dxa"/>
          </w:tcPr>
          <w:p w14:paraId="5DD1D781"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w:t>
            </w:r>
          </w:p>
        </w:tc>
        <w:tc>
          <w:tcPr>
            <w:tcW w:w="2172" w:type="dxa"/>
          </w:tcPr>
          <w:p w14:paraId="5645576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w:t>
            </w:r>
          </w:p>
        </w:tc>
      </w:tr>
      <w:tr w:rsidR="00DD1E72" w:rsidRPr="00DD1E72" w14:paraId="7BCA43A0" w14:textId="77777777" w:rsidTr="00DD1E7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45" w:type="dxa"/>
          </w:tcPr>
          <w:p w14:paraId="0F470132"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3205A13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Capulhuac</w:t>
            </w:r>
          </w:p>
        </w:tc>
        <w:tc>
          <w:tcPr>
            <w:tcW w:w="2173" w:type="dxa"/>
          </w:tcPr>
          <w:p w14:paraId="1D06DB2E"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2,085.04</w:t>
            </w:r>
          </w:p>
        </w:tc>
        <w:tc>
          <w:tcPr>
            <w:tcW w:w="2173" w:type="dxa"/>
          </w:tcPr>
          <w:p w14:paraId="2B133487"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208.97</w:t>
            </w:r>
          </w:p>
        </w:tc>
        <w:tc>
          <w:tcPr>
            <w:tcW w:w="2172" w:type="dxa"/>
          </w:tcPr>
          <w:p w14:paraId="1AD2D71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w:t>
            </w:r>
          </w:p>
        </w:tc>
        <w:tc>
          <w:tcPr>
            <w:tcW w:w="2172" w:type="dxa"/>
          </w:tcPr>
          <w:p w14:paraId="2592621A"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w:t>
            </w:r>
          </w:p>
        </w:tc>
      </w:tr>
      <w:tr w:rsidR="00DD1E72" w:rsidRPr="00DD1E72" w14:paraId="544B1386" w14:textId="77777777" w:rsidTr="00DD1E72">
        <w:trPr>
          <w:trHeight w:val="453"/>
        </w:trPr>
        <w:tc>
          <w:tcPr>
            <w:cnfStyle w:val="001000000000" w:firstRow="0" w:lastRow="0" w:firstColumn="1" w:lastColumn="0" w:oddVBand="0" w:evenVBand="0" w:oddHBand="0" w:evenHBand="0" w:firstRowFirstColumn="0" w:firstRowLastColumn="0" w:lastRowFirstColumn="0" w:lastRowLastColumn="0"/>
            <w:tcW w:w="2145" w:type="dxa"/>
          </w:tcPr>
          <w:p w14:paraId="19915C92"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789901DC"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Almoloya del Río</w:t>
            </w:r>
          </w:p>
        </w:tc>
        <w:tc>
          <w:tcPr>
            <w:tcW w:w="2173" w:type="dxa"/>
          </w:tcPr>
          <w:p w14:paraId="20E9574D"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911</w:t>
            </w:r>
          </w:p>
        </w:tc>
        <w:tc>
          <w:tcPr>
            <w:tcW w:w="2173" w:type="dxa"/>
          </w:tcPr>
          <w:p w14:paraId="32C6DA8C"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125.8</w:t>
            </w:r>
          </w:p>
        </w:tc>
        <w:tc>
          <w:tcPr>
            <w:tcW w:w="2172" w:type="dxa"/>
          </w:tcPr>
          <w:p w14:paraId="11BB01D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w:t>
            </w:r>
          </w:p>
        </w:tc>
        <w:tc>
          <w:tcPr>
            <w:tcW w:w="2172" w:type="dxa"/>
          </w:tcPr>
          <w:p w14:paraId="4E41FB1B"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w:t>
            </w:r>
          </w:p>
        </w:tc>
      </w:tr>
      <w:tr w:rsidR="00DD1E72" w:rsidRPr="00DD1E72" w14:paraId="728CF753" w14:textId="77777777" w:rsidTr="00DD1E7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145" w:type="dxa"/>
          </w:tcPr>
          <w:p w14:paraId="5F38D7EA"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22C01CDA"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Lerma</w:t>
            </w:r>
          </w:p>
        </w:tc>
        <w:tc>
          <w:tcPr>
            <w:tcW w:w="2173" w:type="dxa"/>
          </w:tcPr>
          <w:p w14:paraId="3F1F9FCD"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22,951.57</w:t>
            </w:r>
          </w:p>
        </w:tc>
        <w:tc>
          <w:tcPr>
            <w:tcW w:w="2173" w:type="dxa"/>
          </w:tcPr>
          <w:p w14:paraId="3B4255B0"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8,293.59</w:t>
            </w:r>
          </w:p>
        </w:tc>
        <w:tc>
          <w:tcPr>
            <w:tcW w:w="2172" w:type="dxa"/>
          </w:tcPr>
          <w:p w14:paraId="7ADE0F16"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2.8%</w:t>
            </w:r>
          </w:p>
        </w:tc>
        <w:tc>
          <w:tcPr>
            <w:tcW w:w="2172" w:type="dxa"/>
          </w:tcPr>
          <w:p w14:paraId="33F5AA24"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0.7%</w:t>
            </w:r>
          </w:p>
        </w:tc>
      </w:tr>
      <w:tr w:rsidR="00DD1E72" w:rsidRPr="00DD1E72" w14:paraId="643FD556" w14:textId="77777777" w:rsidTr="00DD1E72">
        <w:trPr>
          <w:trHeight w:val="453"/>
        </w:trPr>
        <w:tc>
          <w:tcPr>
            <w:cnfStyle w:val="001000000000" w:firstRow="0" w:lastRow="0" w:firstColumn="1" w:lastColumn="0" w:oddVBand="0" w:evenVBand="0" w:oddHBand="0" w:evenHBand="0" w:firstRowFirstColumn="0" w:firstRowLastColumn="0" w:lastRowFirstColumn="0" w:lastRowLastColumn="0"/>
            <w:tcW w:w="2145" w:type="dxa"/>
          </w:tcPr>
          <w:p w14:paraId="24F91999"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0357D28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Ocoyoacac</w:t>
            </w:r>
          </w:p>
        </w:tc>
        <w:tc>
          <w:tcPr>
            <w:tcW w:w="2173" w:type="dxa"/>
          </w:tcPr>
          <w:p w14:paraId="5B347DF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13,856.01</w:t>
            </w:r>
          </w:p>
        </w:tc>
        <w:tc>
          <w:tcPr>
            <w:tcW w:w="2173" w:type="dxa"/>
          </w:tcPr>
          <w:p w14:paraId="07D1C01B"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7,948.81</w:t>
            </w:r>
          </w:p>
        </w:tc>
        <w:tc>
          <w:tcPr>
            <w:tcW w:w="2172" w:type="dxa"/>
          </w:tcPr>
          <w:p w14:paraId="14C38EF3"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2.7%</w:t>
            </w:r>
          </w:p>
        </w:tc>
        <w:tc>
          <w:tcPr>
            <w:tcW w:w="2172" w:type="dxa"/>
          </w:tcPr>
          <w:p w14:paraId="2D4FAA2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0.7%</w:t>
            </w:r>
          </w:p>
        </w:tc>
      </w:tr>
      <w:tr w:rsidR="00DD1E72" w:rsidRPr="00DD1E72" w14:paraId="5B7BC2AE" w14:textId="77777777" w:rsidTr="00DD1E72">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145" w:type="dxa"/>
          </w:tcPr>
          <w:p w14:paraId="7FE83A67"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0B156C6B"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San Antonio la Isla</w:t>
            </w:r>
          </w:p>
        </w:tc>
        <w:tc>
          <w:tcPr>
            <w:tcW w:w="2173" w:type="dxa"/>
          </w:tcPr>
          <w:p w14:paraId="4FED070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2,517.68</w:t>
            </w:r>
          </w:p>
        </w:tc>
        <w:tc>
          <w:tcPr>
            <w:tcW w:w="2173" w:type="dxa"/>
          </w:tcPr>
          <w:p w14:paraId="5333A6A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0.36</w:t>
            </w:r>
          </w:p>
        </w:tc>
        <w:tc>
          <w:tcPr>
            <w:tcW w:w="2172" w:type="dxa"/>
          </w:tcPr>
          <w:p w14:paraId="7F8D5252"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w:t>
            </w:r>
          </w:p>
        </w:tc>
        <w:tc>
          <w:tcPr>
            <w:tcW w:w="2172" w:type="dxa"/>
          </w:tcPr>
          <w:p w14:paraId="6B9C0514"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3.3%</w:t>
            </w:r>
          </w:p>
        </w:tc>
      </w:tr>
      <w:tr w:rsidR="00DD1E72" w:rsidRPr="00DD1E72" w14:paraId="0C40A56D" w14:textId="77777777" w:rsidTr="00DD1E72">
        <w:trPr>
          <w:trHeight w:val="453"/>
        </w:trPr>
        <w:tc>
          <w:tcPr>
            <w:cnfStyle w:val="001000000000" w:firstRow="0" w:lastRow="0" w:firstColumn="1" w:lastColumn="0" w:oddVBand="0" w:evenVBand="0" w:oddHBand="0" w:evenHBand="0" w:firstRowFirstColumn="0" w:firstRowLastColumn="0" w:lastRowFirstColumn="0" w:lastRowLastColumn="0"/>
            <w:tcW w:w="2145" w:type="dxa"/>
          </w:tcPr>
          <w:p w14:paraId="35E87523"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31E2971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Texcalyacac</w:t>
            </w:r>
          </w:p>
        </w:tc>
        <w:tc>
          <w:tcPr>
            <w:tcW w:w="2173" w:type="dxa"/>
          </w:tcPr>
          <w:p w14:paraId="5CCAD286"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2,460.49</w:t>
            </w:r>
          </w:p>
        </w:tc>
        <w:tc>
          <w:tcPr>
            <w:tcW w:w="2173" w:type="dxa"/>
          </w:tcPr>
          <w:p w14:paraId="6BFB4CF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1,112.44</w:t>
            </w:r>
          </w:p>
        </w:tc>
        <w:tc>
          <w:tcPr>
            <w:tcW w:w="2172" w:type="dxa"/>
          </w:tcPr>
          <w:p w14:paraId="22C4D4AF"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0.3%</w:t>
            </w:r>
          </w:p>
        </w:tc>
        <w:tc>
          <w:tcPr>
            <w:tcW w:w="2172" w:type="dxa"/>
          </w:tcPr>
          <w:p w14:paraId="74200A86"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0.1%</w:t>
            </w:r>
          </w:p>
        </w:tc>
      </w:tr>
      <w:tr w:rsidR="00DD1E72" w:rsidRPr="00DD1E72" w14:paraId="1B94092C" w14:textId="77777777" w:rsidTr="00DD1E72">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145" w:type="dxa"/>
          </w:tcPr>
          <w:p w14:paraId="27170C0F"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3A365D8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Tianguistenco</w:t>
            </w:r>
          </w:p>
        </w:tc>
        <w:tc>
          <w:tcPr>
            <w:tcW w:w="2173" w:type="dxa"/>
          </w:tcPr>
          <w:p w14:paraId="52AF328D"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13,109.97</w:t>
            </w:r>
          </w:p>
        </w:tc>
        <w:tc>
          <w:tcPr>
            <w:tcW w:w="2173" w:type="dxa"/>
          </w:tcPr>
          <w:p w14:paraId="263326A3"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4,637.25</w:t>
            </w:r>
          </w:p>
        </w:tc>
        <w:tc>
          <w:tcPr>
            <w:tcW w:w="2172" w:type="dxa"/>
          </w:tcPr>
          <w:p w14:paraId="135E05C6"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1.6%</w:t>
            </w:r>
          </w:p>
        </w:tc>
        <w:tc>
          <w:tcPr>
            <w:tcW w:w="2172" w:type="dxa"/>
          </w:tcPr>
          <w:p w14:paraId="19102625"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0.4%</w:t>
            </w:r>
          </w:p>
        </w:tc>
      </w:tr>
      <w:tr w:rsidR="00DD1E72" w:rsidRPr="00DD1E72" w14:paraId="431A9C02" w14:textId="77777777" w:rsidTr="00DD1E72">
        <w:trPr>
          <w:trHeight w:val="436"/>
        </w:trPr>
        <w:tc>
          <w:tcPr>
            <w:cnfStyle w:val="001000000000" w:firstRow="0" w:lastRow="0" w:firstColumn="1" w:lastColumn="0" w:oddVBand="0" w:evenVBand="0" w:oddHBand="0" w:evenHBand="0" w:firstRowFirstColumn="0" w:firstRowLastColumn="0" w:lastRowFirstColumn="0" w:lastRowLastColumn="0"/>
            <w:tcW w:w="2145" w:type="dxa"/>
          </w:tcPr>
          <w:p w14:paraId="1930AB83" w14:textId="77777777" w:rsidR="00DD1E72" w:rsidRPr="00DD1E72" w:rsidRDefault="00DD1E72" w:rsidP="008035D9">
            <w:pPr>
              <w:rPr>
                <w:rFonts w:ascii="Century Gothic" w:hAnsi="Century Gothic"/>
              </w:rPr>
            </w:pPr>
            <w:r w:rsidRPr="00DD1E72">
              <w:rPr>
                <w:rFonts w:ascii="Century Gothic" w:hAnsi="Century Gothic"/>
              </w:rPr>
              <w:t>16</w:t>
            </w:r>
          </w:p>
        </w:tc>
        <w:tc>
          <w:tcPr>
            <w:tcW w:w="2385" w:type="dxa"/>
          </w:tcPr>
          <w:p w14:paraId="7B3081D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Xalatlaco</w:t>
            </w:r>
          </w:p>
        </w:tc>
        <w:tc>
          <w:tcPr>
            <w:tcW w:w="2173" w:type="dxa"/>
          </w:tcPr>
          <w:p w14:paraId="0EF26A0E"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10,766.68</w:t>
            </w:r>
          </w:p>
        </w:tc>
        <w:tc>
          <w:tcPr>
            <w:tcW w:w="2173" w:type="dxa"/>
          </w:tcPr>
          <w:p w14:paraId="04DB5742"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6,434.09</w:t>
            </w:r>
          </w:p>
        </w:tc>
        <w:tc>
          <w:tcPr>
            <w:tcW w:w="2172" w:type="dxa"/>
          </w:tcPr>
          <w:p w14:paraId="6DAF2CFB"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2.25%</w:t>
            </w:r>
          </w:p>
        </w:tc>
        <w:tc>
          <w:tcPr>
            <w:tcW w:w="2172" w:type="dxa"/>
          </w:tcPr>
          <w:p w14:paraId="745D8740"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0.5%</w:t>
            </w:r>
          </w:p>
        </w:tc>
      </w:tr>
    </w:tbl>
    <w:p w14:paraId="6EF677A2" w14:textId="61847558" w:rsidR="00DD1E72" w:rsidRDefault="00DD1E72" w:rsidP="00DD1E72">
      <w:pPr>
        <w:rPr>
          <w:rFonts w:ascii="Century Gothic" w:hAnsi="Century Gothic"/>
          <w:sz w:val="16"/>
          <w:szCs w:val="16"/>
        </w:rPr>
      </w:pPr>
      <w:r w:rsidRPr="004D1C4D">
        <w:rPr>
          <w:rFonts w:ascii="Century Gothic" w:hAnsi="Century Gothic"/>
          <w:sz w:val="16"/>
          <w:szCs w:val="16"/>
        </w:rPr>
        <w:t>Fuente: COPLADEM (2024). Con información del Inventario Forestal 2022 y PROBOSQUE, 2023.</w:t>
      </w:r>
    </w:p>
    <w:p w14:paraId="3196A316" w14:textId="77777777" w:rsidR="00DD1E72" w:rsidRDefault="00DD1E72">
      <w:pPr>
        <w:rPr>
          <w:rFonts w:ascii="Century Gothic" w:hAnsi="Century Gothic"/>
          <w:sz w:val="16"/>
          <w:szCs w:val="16"/>
        </w:rPr>
      </w:pPr>
      <w:r>
        <w:rPr>
          <w:rFonts w:ascii="Century Gothic" w:hAnsi="Century Gothic"/>
          <w:sz w:val="16"/>
          <w:szCs w:val="16"/>
        </w:rPr>
        <w:br w:type="page"/>
      </w:r>
    </w:p>
    <w:p w14:paraId="0C9420DD" w14:textId="77777777" w:rsidR="00DD1E72" w:rsidRDefault="00DD1E72" w:rsidP="00DD1E72">
      <w:pPr>
        <w:rPr>
          <w:rFonts w:ascii="Century Gothic" w:hAnsi="Century Gothic"/>
          <w:sz w:val="16"/>
          <w:szCs w:val="16"/>
        </w:rPr>
        <w:sectPr w:rsidR="00DD1E72" w:rsidSect="00DD1E72">
          <w:pgSz w:w="15840" w:h="12240" w:orient="landscape"/>
          <w:pgMar w:top="1440" w:right="1440" w:bottom="1440" w:left="1440" w:header="709" w:footer="709" w:gutter="0"/>
          <w:cols w:space="708"/>
          <w:docGrid w:linePitch="360"/>
        </w:sectPr>
      </w:pPr>
    </w:p>
    <w:p w14:paraId="29BD85EB" w14:textId="77777777" w:rsidR="00DD1E72" w:rsidRPr="00DD1E72" w:rsidRDefault="00DD1E72" w:rsidP="00DD1E72">
      <w:pPr>
        <w:pStyle w:val="NormalWeb"/>
        <w:spacing w:line="360" w:lineRule="auto"/>
        <w:jc w:val="both"/>
        <w:rPr>
          <w:rFonts w:ascii="Century Gothic" w:hAnsi="Century Gothic"/>
          <w:sz w:val="22"/>
          <w:szCs w:val="22"/>
        </w:rPr>
      </w:pPr>
      <w:r w:rsidRPr="00DD1E72">
        <w:rPr>
          <w:rFonts w:ascii="Century Gothic" w:hAnsi="Century Gothic"/>
          <w:sz w:val="22"/>
          <w:szCs w:val="22"/>
        </w:rPr>
        <w:lastRenderedPageBreak/>
        <w:t xml:space="preserve">Con el propósito de preservar su entorno natural y mitigar los efectos de la erosión del suelo, San Antonio la </w:t>
      </w:r>
      <w:proofErr w:type="gramStart"/>
      <w:r w:rsidRPr="00DD1E72">
        <w:rPr>
          <w:rFonts w:ascii="Century Gothic" w:hAnsi="Century Gothic"/>
          <w:sz w:val="22"/>
          <w:szCs w:val="22"/>
        </w:rPr>
        <w:t>Isla,  ha</w:t>
      </w:r>
      <w:proofErr w:type="gramEnd"/>
      <w:r w:rsidRPr="00DD1E72">
        <w:rPr>
          <w:rFonts w:ascii="Century Gothic" w:hAnsi="Century Gothic"/>
          <w:sz w:val="22"/>
          <w:szCs w:val="22"/>
        </w:rPr>
        <w:t xml:space="preserve"> desarrollado diversas iniciativas de reforestación. Estas acciones han sido implementadas tanto en áreas rurales como urbanas, con el objetivo de restaurar la cobertura vegetal, mejorar la calidad del aire y contribuir a la conservación de la biodiversidad local.</w:t>
      </w:r>
    </w:p>
    <w:p w14:paraId="66C754B9" w14:textId="77777777" w:rsidR="00DD1E72" w:rsidRPr="00DD1E72" w:rsidRDefault="00DD1E72" w:rsidP="00DD1E72">
      <w:pPr>
        <w:pStyle w:val="NormalWeb"/>
        <w:spacing w:line="360" w:lineRule="auto"/>
        <w:jc w:val="both"/>
        <w:rPr>
          <w:rFonts w:ascii="Century Gothic" w:hAnsi="Century Gothic"/>
          <w:sz w:val="22"/>
          <w:szCs w:val="22"/>
        </w:rPr>
      </w:pPr>
      <w:r w:rsidRPr="00DD1E72">
        <w:rPr>
          <w:rFonts w:ascii="Century Gothic" w:hAnsi="Century Gothic"/>
          <w:sz w:val="22"/>
          <w:szCs w:val="22"/>
        </w:rPr>
        <w:t>A través de la plantación de árboles y la rehabilitación de espacios verdes, se busca fortalecer los ecosistemas y crear condiciones más favorables para la flora y fauna de la región. Además, estas estrategias forman parte de un esfuerzo integral para combatir el cambio climático, promover la infiltración de agua en los mantos acuíferos y embellecer el paisaje urbano.</w:t>
      </w:r>
    </w:p>
    <w:p w14:paraId="080A1A92" w14:textId="63DE75FD" w:rsidR="00DD1E72" w:rsidRDefault="00DD1E72" w:rsidP="00DD1E72">
      <w:pPr>
        <w:pStyle w:val="NormalWeb"/>
        <w:spacing w:line="360" w:lineRule="auto"/>
        <w:jc w:val="both"/>
        <w:rPr>
          <w:rFonts w:ascii="Century Gothic" w:hAnsi="Century Gothic"/>
          <w:sz w:val="22"/>
          <w:szCs w:val="22"/>
        </w:rPr>
      </w:pPr>
      <w:r w:rsidRPr="00DD1E72">
        <w:rPr>
          <w:rFonts w:ascii="Century Gothic" w:hAnsi="Century Gothic"/>
          <w:sz w:val="22"/>
          <w:szCs w:val="22"/>
        </w:rPr>
        <w:t>El compromiso del municipio con la reforestación refleja una visión a largo plazo orientada a la sostenibilidad ambiental. Para garantizar el éxito de estas iniciativas, es fundamental la participación activa de la comunidad, así como el seguimiento adecuado para asegurar la supervivencia de los árboles plantados.</w:t>
      </w:r>
    </w:p>
    <w:p w14:paraId="68616052" w14:textId="77777777" w:rsidR="00DD1E72" w:rsidRDefault="00DD1E72">
      <w:pPr>
        <w:rPr>
          <w:rFonts w:ascii="Century Gothic" w:eastAsia="Times New Roman" w:hAnsi="Century Gothic" w:cs="Times New Roman"/>
          <w:sz w:val="22"/>
          <w:szCs w:val="22"/>
          <w:lang w:eastAsia="es-MX"/>
        </w:rPr>
      </w:pPr>
      <w:r>
        <w:rPr>
          <w:rFonts w:ascii="Century Gothic" w:hAnsi="Century Gothic"/>
          <w:sz w:val="22"/>
          <w:szCs w:val="22"/>
        </w:rPr>
        <w:br w:type="page"/>
      </w:r>
    </w:p>
    <w:p w14:paraId="2A6D7F64" w14:textId="77777777" w:rsidR="00DD1E72" w:rsidRDefault="00DD1E72" w:rsidP="00DD1E72">
      <w:pPr>
        <w:pStyle w:val="NormalWeb"/>
        <w:spacing w:line="360" w:lineRule="auto"/>
        <w:jc w:val="both"/>
        <w:rPr>
          <w:rFonts w:ascii="Century Gothic" w:hAnsi="Century Gothic"/>
          <w:sz w:val="22"/>
          <w:szCs w:val="22"/>
        </w:rPr>
        <w:sectPr w:rsidR="00DD1E72" w:rsidSect="00DD1E72">
          <w:pgSz w:w="15840" w:h="12240" w:orient="landscape"/>
          <w:pgMar w:top="1440" w:right="1440" w:bottom="1440" w:left="1440" w:header="709" w:footer="709" w:gutter="0"/>
          <w:cols w:num="2" w:space="708"/>
          <w:docGrid w:linePitch="360"/>
        </w:sectPr>
      </w:pPr>
    </w:p>
    <w:tbl>
      <w:tblPr>
        <w:tblStyle w:val="Tablaconcuadrcula4-nfasis2"/>
        <w:tblW w:w="13017" w:type="dxa"/>
        <w:tblLook w:val="04A0" w:firstRow="1" w:lastRow="0" w:firstColumn="1" w:lastColumn="0" w:noHBand="0" w:noVBand="1"/>
      </w:tblPr>
      <w:tblGrid>
        <w:gridCol w:w="1940"/>
        <w:gridCol w:w="1617"/>
        <w:gridCol w:w="1161"/>
        <w:gridCol w:w="1618"/>
        <w:gridCol w:w="1160"/>
        <w:gridCol w:w="1620"/>
        <w:gridCol w:w="1160"/>
        <w:gridCol w:w="1575"/>
        <w:gridCol w:w="1160"/>
        <w:gridCol w:w="6"/>
      </w:tblGrid>
      <w:tr w:rsidR="00DD1E72" w:rsidRPr="00DD1E72" w14:paraId="3D7C2199" w14:textId="77777777" w:rsidTr="00DD1E72">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13017" w:type="dxa"/>
            <w:gridSpan w:val="10"/>
          </w:tcPr>
          <w:p w14:paraId="203572A7" w14:textId="77777777" w:rsidR="00DD1E72" w:rsidRPr="00DD1E72" w:rsidRDefault="00DD1E72" w:rsidP="008035D9">
            <w:pPr>
              <w:jc w:val="center"/>
              <w:rPr>
                <w:rFonts w:ascii="Century Gothic" w:hAnsi="Century Gothic"/>
              </w:rPr>
            </w:pPr>
            <w:r w:rsidRPr="00DD1E72">
              <w:rPr>
                <w:rFonts w:ascii="Century Gothic" w:hAnsi="Century Gothic"/>
              </w:rPr>
              <w:lastRenderedPageBreak/>
              <w:t>Reforestación, 2020 – 2022</w:t>
            </w:r>
          </w:p>
        </w:tc>
      </w:tr>
      <w:tr w:rsidR="00DD1E72" w:rsidRPr="00DD1E72" w14:paraId="72FC195B" w14:textId="77777777" w:rsidTr="00DD1E7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4721" w:type="dxa"/>
            <w:gridSpan w:val="3"/>
          </w:tcPr>
          <w:p w14:paraId="5E21B582" w14:textId="77777777" w:rsidR="00DD1E72" w:rsidRPr="00DD1E72" w:rsidRDefault="00DD1E72" w:rsidP="008035D9">
            <w:pPr>
              <w:jc w:val="center"/>
              <w:rPr>
                <w:rFonts w:ascii="Century Gothic" w:hAnsi="Century Gothic"/>
              </w:rPr>
            </w:pPr>
            <w:r w:rsidRPr="00DD1E72">
              <w:rPr>
                <w:rFonts w:ascii="Century Gothic" w:hAnsi="Century Gothic"/>
              </w:rPr>
              <w:t>2020</w:t>
            </w:r>
          </w:p>
        </w:tc>
        <w:tc>
          <w:tcPr>
            <w:tcW w:w="4398" w:type="dxa"/>
            <w:gridSpan w:val="3"/>
          </w:tcPr>
          <w:p w14:paraId="4E3D2EA4" w14:textId="77777777" w:rsidR="00DD1E72" w:rsidRPr="00DD1E72" w:rsidRDefault="00DD1E72" w:rsidP="008035D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2021</w:t>
            </w:r>
          </w:p>
        </w:tc>
        <w:tc>
          <w:tcPr>
            <w:tcW w:w="3897" w:type="dxa"/>
            <w:gridSpan w:val="4"/>
          </w:tcPr>
          <w:p w14:paraId="1C33316E" w14:textId="77777777" w:rsidR="00DD1E72" w:rsidRPr="00DD1E72" w:rsidRDefault="00DD1E72" w:rsidP="008035D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2022</w:t>
            </w:r>
          </w:p>
        </w:tc>
      </w:tr>
      <w:tr w:rsidR="00DD1E72" w:rsidRPr="00DD1E72" w14:paraId="3AB1D99B" w14:textId="77777777" w:rsidTr="00DD1E72">
        <w:trPr>
          <w:gridAfter w:val="1"/>
          <w:wAfter w:w="6" w:type="dxa"/>
          <w:trHeight w:val="772"/>
        </w:trPr>
        <w:tc>
          <w:tcPr>
            <w:cnfStyle w:val="001000000000" w:firstRow="0" w:lastRow="0" w:firstColumn="1" w:lastColumn="0" w:oddVBand="0" w:evenVBand="0" w:oddHBand="0" w:evenHBand="0" w:firstRowFirstColumn="0" w:firstRowLastColumn="0" w:lastRowFirstColumn="0" w:lastRowLastColumn="0"/>
            <w:tcW w:w="1942" w:type="dxa"/>
          </w:tcPr>
          <w:p w14:paraId="4C65B470" w14:textId="77777777" w:rsidR="00DD1E72" w:rsidRPr="00DD1E72" w:rsidRDefault="00DD1E72" w:rsidP="008035D9">
            <w:pPr>
              <w:rPr>
                <w:rFonts w:ascii="Century Gothic" w:hAnsi="Century Gothic"/>
                <w:sz w:val="20"/>
                <w:szCs w:val="20"/>
              </w:rPr>
            </w:pPr>
            <w:r w:rsidRPr="00DD1E72">
              <w:rPr>
                <w:rFonts w:ascii="Century Gothic" w:hAnsi="Century Gothic"/>
                <w:sz w:val="20"/>
                <w:szCs w:val="20"/>
              </w:rPr>
              <w:t>Municipio</w:t>
            </w:r>
          </w:p>
        </w:tc>
        <w:tc>
          <w:tcPr>
            <w:tcW w:w="1618" w:type="dxa"/>
          </w:tcPr>
          <w:p w14:paraId="74C81A9B"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1E72">
              <w:rPr>
                <w:rFonts w:ascii="Century Gothic" w:hAnsi="Century Gothic"/>
                <w:sz w:val="20"/>
                <w:szCs w:val="20"/>
              </w:rPr>
              <w:t>Superficie Reforestada (ha)</w:t>
            </w:r>
          </w:p>
        </w:tc>
        <w:tc>
          <w:tcPr>
            <w:tcW w:w="1160" w:type="dxa"/>
          </w:tcPr>
          <w:p w14:paraId="3BB1980E"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gramStart"/>
            <w:r w:rsidRPr="00DD1E72">
              <w:rPr>
                <w:rFonts w:ascii="Century Gothic" w:hAnsi="Century Gothic"/>
                <w:sz w:val="20"/>
                <w:szCs w:val="20"/>
              </w:rPr>
              <w:t>Total</w:t>
            </w:r>
            <w:proofErr w:type="gramEnd"/>
            <w:r w:rsidRPr="00DD1E72">
              <w:rPr>
                <w:rFonts w:ascii="Century Gothic" w:hAnsi="Century Gothic"/>
                <w:sz w:val="20"/>
                <w:szCs w:val="20"/>
              </w:rPr>
              <w:t xml:space="preserve"> de Plantas</w:t>
            </w:r>
          </w:p>
        </w:tc>
        <w:tc>
          <w:tcPr>
            <w:tcW w:w="1618" w:type="dxa"/>
          </w:tcPr>
          <w:p w14:paraId="272332B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1E72">
              <w:rPr>
                <w:rFonts w:ascii="Century Gothic" w:hAnsi="Century Gothic"/>
                <w:sz w:val="20"/>
                <w:szCs w:val="20"/>
              </w:rPr>
              <w:t>Superficie Reforestada (Hectáreas)</w:t>
            </w:r>
          </w:p>
        </w:tc>
        <w:tc>
          <w:tcPr>
            <w:tcW w:w="1160" w:type="dxa"/>
          </w:tcPr>
          <w:p w14:paraId="0C5D8A53"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gramStart"/>
            <w:r w:rsidRPr="00DD1E72">
              <w:rPr>
                <w:rFonts w:ascii="Century Gothic" w:hAnsi="Century Gothic"/>
                <w:sz w:val="20"/>
                <w:szCs w:val="20"/>
              </w:rPr>
              <w:t>Total</w:t>
            </w:r>
            <w:proofErr w:type="gramEnd"/>
            <w:r w:rsidRPr="00DD1E72">
              <w:rPr>
                <w:rFonts w:ascii="Century Gothic" w:hAnsi="Century Gothic"/>
                <w:sz w:val="20"/>
                <w:szCs w:val="20"/>
              </w:rPr>
              <w:t xml:space="preserve"> de Plantas</w:t>
            </w:r>
          </w:p>
        </w:tc>
        <w:tc>
          <w:tcPr>
            <w:tcW w:w="1618" w:type="dxa"/>
          </w:tcPr>
          <w:p w14:paraId="7B903E9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1E72">
              <w:rPr>
                <w:rFonts w:ascii="Century Gothic" w:hAnsi="Century Gothic"/>
                <w:sz w:val="20"/>
                <w:szCs w:val="20"/>
              </w:rPr>
              <w:t>Superficie Reforestada (Hectáreas)</w:t>
            </w:r>
          </w:p>
        </w:tc>
        <w:tc>
          <w:tcPr>
            <w:tcW w:w="1160" w:type="dxa"/>
          </w:tcPr>
          <w:p w14:paraId="67BDCF51"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gramStart"/>
            <w:r w:rsidRPr="00DD1E72">
              <w:rPr>
                <w:rFonts w:ascii="Century Gothic" w:hAnsi="Century Gothic"/>
                <w:sz w:val="20"/>
                <w:szCs w:val="20"/>
              </w:rPr>
              <w:t>Total</w:t>
            </w:r>
            <w:proofErr w:type="gramEnd"/>
            <w:r w:rsidRPr="00DD1E72">
              <w:rPr>
                <w:rFonts w:ascii="Century Gothic" w:hAnsi="Century Gothic"/>
                <w:sz w:val="20"/>
                <w:szCs w:val="20"/>
              </w:rPr>
              <w:t xml:space="preserve"> de Plantas</w:t>
            </w:r>
          </w:p>
        </w:tc>
        <w:tc>
          <w:tcPr>
            <w:tcW w:w="1575" w:type="dxa"/>
          </w:tcPr>
          <w:p w14:paraId="77C7338F"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DD1E72">
              <w:rPr>
                <w:rFonts w:ascii="Century Gothic" w:hAnsi="Century Gothic"/>
                <w:sz w:val="20"/>
                <w:szCs w:val="20"/>
              </w:rPr>
              <w:t>Superficie reforestada (Hectáreas)</w:t>
            </w:r>
          </w:p>
        </w:tc>
        <w:tc>
          <w:tcPr>
            <w:tcW w:w="1160" w:type="dxa"/>
          </w:tcPr>
          <w:p w14:paraId="3011ECB0"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roofErr w:type="gramStart"/>
            <w:r w:rsidRPr="00DD1E72">
              <w:rPr>
                <w:rFonts w:ascii="Century Gothic" w:hAnsi="Century Gothic"/>
                <w:sz w:val="20"/>
                <w:szCs w:val="20"/>
              </w:rPr>
              <w:t>Total</w:t>
            </w:r>
            <w:proofErr w:type="gramEnd"/>
            <w:r w:rsidRPr="00DD1E72">
              <w:rPr>
                <w:rFonts w:ascii="Century Gothic" w:hAnsi="Century Gothic"/>
                <w:sz w:val="20"/>
                <w:szCs w:val="20"/>
              </w:rPr>
              <w:t xml:space="preserve"> de plantas</w:t>
            </w:r>
          </w:p>
        </w:tc>
      </w:tr>
      <w:tr w:rsidR="00DD1E72" w:rsidRPr="00DD1E72" w14:paraId="77AA4425" w14:textId="77777777" w:rsidTr="00DD1E72">
        <w:trPr>
          <w:gridAfter w:val="1"/>
          <w:cnfStyle w:val="000000100000" w:firstRow="0" w:lastRow="0" w:firstColumn="0" w:lastColumn="0" w:oddVBand="0" w:evenVBand="0" w:oddHBand="1" w:evenHBand="0" w:firstRowFirstColumn="0" w:firstRowLastColumn="0" w:lastRowFirstColumn="0" w:lastRowLastColumn="0"/>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53F5D597" w14:textId="77777777" w:rsidR="00DD1E72" w:rsidRPr="00DD1E72" w:rsidRDefault="00DD1E72" w:rsidP="008035D9">
            <w:pPr>
              <w:rPr>
                <w:rFonts w:ascii="Century Gothic" w:hAnsi="Century Gothic"/>
              </w:rPr>
            </w:pPr>
            <w:r w:rsidRPr="00DD1E72">
              <w:rPr>
                <w:rFonts w:ascii="Century Gothic" w:hAnsi="Century Gothic"/>
              </w:rPr>
              <w:t>Atizapán</w:t>
            </w:r>
          </w:p>
        </w:tc>
        <w:tc>
          <w:tcPr>
            <w:tcW w:w="1618" w:type="dxa"/>
          </w:tcPr>
          <w:p w14:paraId="190FEA3C"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1299B440"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w:t>
            </w:r>
          </w:p>
        </w:tc>
        <w:tc>
          <w:tcPr>
            <w:tcW w:w="1618" w:type="dxa"/>
          </w:tcPr>
          <w:p w14:paraId="2DA4B46C"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22AA5D6A"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2,165</w:t>
            </w:r>
          </w:p>
        </w:tc>
        <w:tc>
          <w:tcPr>
            <w:tcW w:w="1618" w:type="dxa"/>
          </w:tcPr>
          <w:p w14:paraId="7CCE7E9A"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18DBC4A5"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8,350</w:t>
            </w:r>
          </w:p>
        </w:tc>
        <w:tc>
          <w:tcPr>
            <w:tcW w:w="1575" w:type="dxa"/>
          </w:tcPr>
          <w:p w14:paraId="4213BA9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09EA2C1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8,350</w:t>
            </w:r>
          </w:p>
        </w:tc>
      </w:tr>
      <w:tr w:rsidR="00DD1E72" w:rsidRPr="00DD1E72" w14:paraId="6AE076E2" w14:textId="77777777" w:rsidTr="00DD1E72">
        <w:trPr>
          <w:gridAfter w:val="1"/>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5A053ED1" w14:textId="77777777" w:rsidR="00DD1E72" w:rsidRPr="00DD1E72" w:rsidRDefault="00DD1E72" w:rsidP="008035D9">
            <w:pPr>
              <w:rPr>
                <w:rFonts w:ascii="Century Gothic" w:hAnsi="Century Gothic"/>
              </w:rPr>
            </w:pPr>
            <w:r w:rsidRPr="00DD1E72">
              <w:rPr>
                <w:rFonts w:ascii="Century Gothic" w:hAnsi="Century Gothic"/>
              </w:rPr>
              <w:t>Capulhuac</w:t>
            </w:r>
          </w:p>
        </w:tc>
        <w:tc>
          <w:tcPr>
            <w:tcW w:w="1618" w:type="dxa"/>
          </w:tcPr>
          <w:p w14:paraId="1647D00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5C04C9A0"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9,425</w:t>
            </w:r>
          </w:p>
        </w:tc>
        <w:tc>
          <w:tcPr>
            <w:tcW w:w="1618" w:type="dxa"/>
          </w:tcPr>
          <w:p w14:paraId="3EB7EF9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316F665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6,170</w:t>
            </w:r>
          </w:p>
        </w:tc>
        <w:tc>
          <w:tcPr>
            <w:tcW w:w="1618" w:type="dxa"/>
          </w:tcPr>
          <w:p w14:paraId="19B62CC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7CE10DA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10,436</w:t>
            </w:r>
          </w:p>
        </w:tc>
        <w:tc>
          <w:tcPr>
            <w:tcW w:w="1575" w:type="dxa"/>
          </w:tcPr>
          <w:p w14:paraId="60D5E2C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086A237F"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10,436</w:t>
            </w:r>
          </w:p>
        </w:tc>
      </w:tr>
      <w:tr w:rsidR="00DD1E72" w:rsidRPr="00DD1E72" w14:paraId="5A810B61" w14:textId="77777777" w:rsidTr="00DD1E72">
        <w:trPr>
          <w:gridAfter w:val="1"/>
          <w:cnfStyle w:val="000000100000" w:firstRow="0" w:lastRow="0" w:firstColumn="0" w:lastColumn="0" w:oddVBand="0" w:evenVBand="0" w:oddHBand="1" w:evenHBand="0" w:firstRowFirstColumn="0" w:firstRowLastColumn="0" w:lastRowFirstColumn="0" w:lastRowLastColumn="0"/>
          <w:wAfter w:w="6" w:type="dxa"/>
          <w:trHeight w:val="562"/>
        </w:trPr>
        <w:tc>
          <w:tcPr>
            <w:cnfStyle w:val="001000000000" w:firstRow="0" w:lastRow="0" w:firstColumn="1" w:lastColumn="0" w:oddVBand="0" w:evenVBand="0" w:oddHBand="0" w:evenHBand="0" w:firstRowFirstColumn="0" w:firstRowLastColumn="0" w:lastRowFirstColumn="0" w:lastRowLastColumn="0"/>
            <w:tcW w:w="1942" w:type="dxa"/>
          </w:tcPr>
          <w:p w14:paraId="403D9B56" w14:textId="77777777" w:rsidR="00DD1E72" w:rsidRPr="00DD1E72" w:rsidRDefault="00DD1E72" w:rsidP="008035D9">
            <w:pPr>
              <w:rPr>
                <w:rFonts w:ascii="Century Gothic" w:hAnsi="Century Gothic"/>
              </w:rPr>
            </w:pPr>
            <w:r w:rsidRPr="00DD1E72">
              <w:rPr>
                <w:rFonts w:ascii="Century Gothic" w:hAnsi="Century Gothic"/>
              </w:rPr>
              <w:t>Almoloya del Río</w:t>
            </w:r>
          </w:p>
        </w:tc>
        <w:tc>
          <w:tcPr>
            <w:tcW w:w="1618" w:type="dxa"/>
          </w:tcPr>
          <w:p w14:paraId="167D06FD"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5581DC1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1,011</w:t>
            </w:r>
          </w:p>
        </w:tc>
        <w:tc>
          <w:tcPr>
            <w:tcW w:w="1618" w:type="dxa"/>
          </w:tcPr>
          <w:p w14:paraId="71E569CB"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0918923A"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2,045</w:t>
            </w:r>
          </w:p>
        </w:tc>
        <w:tc>
          <w:tcPr>
            <w:tcW w:w="1618" w:type="dxa"/>
          </w:tcPr>
          <w:p w14:paraId="0EAE69C1"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541BCACF"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1,480</w:t>
            </w:r>
          </w:p>
        </w:tc>
        <w:tc>
          <w:tcPr>
            <w:tcW w:w="1575" w:type="dxa"/>
          </w:tcPr>
          <w:p w14:paraId="49403BCB"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4042B75C"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1,480</w:t>
            </w:r>
          </w:p>
        </w:tc>
      </w:tr>
      <w:tr w:rsidR="00DD1E72" w:rsidRPr="00DD1E72" w14:paraId="518EAFEB" w14:textId="77777777" w:rsidTr="00DD1E72">
        <w:trPr>
          <w:gridAfter w:val="1"/>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239E629B" w14:textId="77777777" w:rsidR="00DD1E72" w:rsidRPr="00DD1E72" w:rsidRDefault="00DD1E72" w:rsidP="008035D9">
            <w:pPr>
              <w:rPr>
                <w:rFonts w:ascii="Century Gothic" w:hAnsi="Century Gothic"/>
              </w:rPr>
            </w:pPr>
            <w:r w:rsidRPr="00DD1E72">
              <w:rPr>
                <w:rFonts w:ascii="Century Gothic" w:hAnsi="Century Gothic"/>
              </w:rPr>
              <w:t>Lerma</w:t>
            </w:r>
          </w:p>
        </w:tc>
        <w:tc>
          <w:tcPr>
            <w:tcW w:w="1618" w:type="dxa"/>
          </w:tcPr>
          <w:p w14:paraId="0E398A0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33.68</w:t>
            </w:r>
          </w:p>
        </w:tc>
        <w:tc>
          <w:tcPr>
            <w:tcW w:w="1160" w:type="dxa"/>
          </w:tcPr>
          <w:p w14:paraId="507137D0"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59,108</w:t>
            </w:r>
          </w:p>
        </w:tc>
        <w:tc>
          <w:tcPr>
            <w:tcW w:w="1618" w:type="dxa"/>
          </w:tcPr>
          <w:p w14:paraId="2276F76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2.40</w:t>
            </w:r>
          </w:p>
        </w:tc>
        <w:tc>
          <w:tcPr>
            <w:tcW w:w="1160" w:type="dxa"/>
          </w:tcPr>
          <w:p w14:paraId="48FE509C"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77,195</w:t>
            </w:r>
          </w:p>
        </w:tc>
        <w:tc>
          <w:tcPr>
            <w:tcW w:w="1618" w:type="dxa"/>
          </w:tcPr>
          <w:p w14:paraId="5F6745DD"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15.00</w:t>
            </w:r>
          </w:p>
        </w:tc>
        <w:tc>
          <w:tcPr>
            <w:tcW w:w="1160" w:type="dxa"/>
          </w:tcPr>
          <w:p w14:paraId="17F01D4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72,000</w:t>
            </w:r>
          </w:p>
        </w:tc>
        <w:tc>
          <w:tcPr>
            <w:tcW w:w="1575" w:type="dxa"/>
          </w:tcPr>
          <w:p w14:paraId="71A01F81"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15.00</w:t>
            </w:r>
          </w:p>
        </w:tc>
        <w:tc>
          <w:tcPr>
            <w:tcW w:w="1160" w:type="dxa"/>
          </w:tcPr>
          <w:p w14:paraId="26E59B97"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72,114</w:t>
            </w:r>
          </w:p>
        </w:tc>
      </w:tr>
      <w:tr w:rsidR="00DD1E72" w:rsidRPr="00DD1E72" w14:paraId="259487AA" w14:textId="77777777" w:rsidTr="00DD1E72">
        <w:trPr>
          <w:gridAfter w:val="1"/>
          <w:cnfStyle w:val="000000100000" w:firstRow="0" w:lastRow="0" w:firstColumn="0" w:lastColumn="0" w:oddVBand="0" w:evenVBand="0" w:oddHBand="1" w:evenHBand="0" w:firstRowFirstColumn="0" w:firstRowLastColumn="0" w:lastRowFirstColumn="0" w:lastRowLastColumn="0"/>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69FFAFD2" w14:textId="77777777" w:rsidR="00DD1E72" w:rsidRPr="00DD1E72" w:rsidRDefault="00DD1E72" w:rsidP="008035D9">
            <w:pPr>
              <w:rPr>
                <w:rFonts w:ascii="Century Gothic" w:hAnsi="Century Gothic"/>
              </w:rPr>
            </w:pPr>
            <w:r w:rsidRPr="00DD1E72">
              <w:rPr>
                <w:rFonts w:ascii="Century Gothic" w:hAnsi="Century Gothic"/>
              </w:rPr>
              <w:t>Ocoyoacac</w:t>
            </w:r>
          </w:p>
        </w:tc>
        <w:tc>
          <w:tcPr>
            <w:tcW w:w="1618" w:type="dxa"/>
          </w:tcPr>
          <w:p w14:paraId="1109093F"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5.00</w:t>
            </w:r>
          </w:p>
        </w:tc>
        <w:tc>
          <w:tcPr>
            <w:tcW w:w="1160" w:type="dxa"/>
          </w:tcPr>
          <w:p w14:paraId="22B47654"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15,463</w:t>
            </w:r>
          </w:p>
        </w:tc>
        <w:tc>
          <w:tcPr>
            <w:tcW w:w="1618" w:type="dxa"/>
          </w:tcPr>
          <w:p w14:paraId="002C3016"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3A3D7EFB"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37,866</w:t>
            </w:r>
          </w:p>
        </w:tc>
        <w:tc>
          <w:tcPr>
            <w:tcW w:w="1618" w:type="dxa"/>
          </w:tcPr>
          <w:p w14:paraId="643D257F"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45.00</w:t>
            </w:r>
          </w:p>
        </w:tc>
        <w:tc>
          <w:tcPr>
            <w:tcW w:w="1160" w:type="dxa"/>
          </w:tcPr>
          <w:p w14:paraId="18D457D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65,000</w:t>
            </w:r>
          </w:p>
        </w:tc>
        <w:tc>
          <w:tcPr>
            <w:tcW w:w="1575" w:type="dxa"/>
          </w:tcPr>
          <w:p w14:paraId="253AEA17"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45.00</w:t>
            </w:r>
          </w:p>
        </w:tc>
        <w:tc>
          <w:tcPr>
            <w:tcW w:w="1160" w:type="dxa"/>
          </w:tcPr>
          <w:p w14:paraId="6033280E"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65,229</w:t>
            </w:r>
          </w:p>
        </w:tc>
      </w:tr>
      <w:tr w:rsidR="00DD1E72" w:rsidRPr="00DD1E72" w14:paraId="32FA051B" w14:textId="77777777" w:rsidTr="00DD1E72">
        <w:trPr>
          <w:gridAfter w:val="1"/>
          <w:wAfter w:w="6" w:type="dxa"/>
          <w:trHeight w:val="842"/>
        </w:trPr>
        <w:tc>
          <w:tcPr>
            <w:cnfStyle w:val="001000000000" w:firstRow="0" w:lastRow="0" w:firstColumn="1" w:lastColumn="0" w:oddVBand="0" w:evenVBand="0" w:oddHBand="0" w:evenHBand="0" w:firstRowFirstColumn="0" w:firstRowLastColumn="0" w:lastRowFirstColumn="0" w:lastRowLastColumn="0"/>
            <w:tcW w:w="1942" w:type="dxa"/>
          </w:tcPr>
          <w:p w14:paraId="4E2551C9" w14:textId="77777777" w:rsidR="00DD1E72" w:rsidRPr="00DD1E72" w:rsidRDefault="00DD1E72" w:rsidP="008035D9">
            <w:pPr>
              <w:rPr>
                <w:rFonts w:ascii="Century Gothic" w:hAnsi="Century Gothic"/>
              </w:rPr>
            </w:pPr>
            <w:r w:rsidRPr="00DD1E72">
              <w:rPr>
                <w:rFonts w:ascii="Century Gothic" w:hAnsi="Century Gothic"/>
              </w:rPr>
              <w:t>San Antonio la Isla</w:t>
            </w:r>
          </w:p>
        </w:tc>
        <w:tc>
          <w:tcPr>
            <w:tcW w:w="1618" w:type="dxa"/>
          </w:tcPr>
          <w:p w14:paraId="08BF5B5F"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30210CB3"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1,513</w:t>
            </w:r>
          </w:p>
        </w:tc>
        <w:tc>
          <w:tcPr>
            <w:tcW w:w="1618" w:type="dxa"/>
          </w:tcPr>
          <w:p w14:paraId="7EF109E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00163C84"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1,450</w:t>
            </w:r>
          </w:p>
        </w:tc>
        <w:tc>
          <w:tcPr>
            <w:tcW w:w="1618" w:type="dxa"/>
          </w:tcPr>
          <w:p w14:paraId="701C33A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04F63AC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1,285</w:t>
            </w:r>
          </w:p>
        </w:tc>
        <w:tc>
          <w:tcPr>
            <w:tcW w:w="1575" w:type="dxa"/>
          </w:tcPr>
          <w:p w14:paraId="7539B2E4"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4190C36C"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1,285</w:t>
            </w:r>
          </w:p>
          <w:p w14:paraId="69A5E3F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p w14:paraId="1C2783D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p>
        </w:tc>
      </w:tr>
      <w:tr w:rsidR="00DD1E72" w:rsidRPr="00DD1E72" w14:paraId="435CA54D" w14:textId="77777777" w:rsidTr="00DD1E72">
        <w:trPr>
          <w:gridAfter w:val="1"/>
          <w:cnfStyle w:val="000000100000" w:firstRow="0" w:lastRow="0" w:firstColumn="0" w:lastColumn="0" w:oddVBand="0" w:evenVBand="0" w:oddHBand="1" w:evenHBand="0" w:firstRowFirstColumn="0" w:firstRowLastColumn="0" w:lastRowFirstColumn="0" w:lastRowLastColumn="0"/>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3CA2BE84" w14:textId="77777777" w:rsidR="00DD1E72" w:rsidRPr="00DD1E72" w:rsidRDefault="00DD1E72" w:rsidP="008035D9">
            <w:pPr>
              <w:rPr>
                <w:rFonts w:ascii="Century Gothic" w:hAnsi="Century Gothic"/>
              </w:rPr>
            </w:pPr>
            <w:r w:rsidRPr="00DD1E72">
              <w:rPr>
                <w:rFonts w:ascii="Century Gothic" w:hAnsi="Century Gothic"/>
              </w:rPr>
              <w:t>Texcalyacac</w:t>
            </w:r>
          </w:p>
        </w:tc>
        <w:tc>
          <w:tcPr>
            <w:tcW w:w="1618" w:type="dxa"/>
          </w:tcPr>
          <w:p w14:paraId="4A73A266"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5129F1BB"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w:t>
            </w:r>
          </w:p>
        </w:tc>
        <w:tc>
          <w:tcPr>
            <w:tcW w:w="1618" w:type="dxa"/>
          </w:tcPr>
          <w:p w14:paraId="512B6222"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08608BF8"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3,250</w:t>
            </w:r>
          </w:p>
        </w:tc>
        <w:tc>
          <w:tcPr>
            <w:tcW w:w="1618" w:type="dxa"/>
          </w:tcPr>
          <w:p w14:paraId="7AE665DB"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73DE8EAC"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2,350</w:t>
            </w:r>
          </w:p>
        </w:tc>
        <w:tc>
          <w:tcPr>
            <w:tcW w:w="1575" w:type="dxa"/>
          </w:tcPr>
          <w:p w14:paraId="3C14501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7251B36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2,350</w:t>
            </w:r>
          </w:p>
        </w:tc>
      </w:tr>
      <w:tr w:rsidR="00DD1E72" w:rsidRPr="00DD1E72" w14:paraId="4AB915E4" w14:textId="77777777" w:rsidTr="00DD1E72">
        <w:trPr>
          <w:gridAfter w:val="1"/>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543E5303" w14:textId="77777777" w:rsidR="00DD1E72" w:rsidRPr="00DD1E72" w:rsidRDefault="00DD1E72" w:rsidP="008035D9">
            <w:pPr>
              <w:rPr>
                <w:rFonts w:ascii="Century Gothic" w:hAnsi="Century Gothic"/>
              </w:rPr>
            </w:pPr>
            <w:r w:rsidRPr="00DD1E72">
              <w:rPr>
                <w:rFonts w:ascii="Century Gothic" w:hAnsi="Century Gothic"/>
              </w:rPr>
              <w:t>Tianguistenco</w:t>
            </w:r>
          </w:p>
        </w:tc>
        <w:tc>
          <w:tcPr>
            <w:tcW w:w="1618" w:type="dxa"/>
          </w:tcPr>
          <w:p w14:paraId="76038456"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17.20</w:t>
            </w:r>
          </w:p>
        </w:tc>
        <w:tc>
          <w:tcPr>
            <w:tcW w:w="1160" w:type="dxa"/>
          </w:tcPr>
          <w:p w14:paraId="7FF8C6CF"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49,948</w:t>
            </w:r>
          </w:p>
        </w:tc>
        <w:tc>
          <w:tcPr>
            <w:tcW w:w="1618" w:type="dxa"/>
          </w:tcPr>
          <w:p w14:paraId="05EFDEE0"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5E45EB99"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63,913</w:t>
            </w:r>
          </w:p>
        </w:tc>
        <w:tc>
          <w:tcPr>
            <w:tcW w:w="1618" w:type="dxa"/>
          </w:tcPr>
          <w:p w14:paraId="3B6C3D93"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428306F2"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73,011</w:t>
            </w:r>
          </w:p>
        </w:tc>
        <w:tc>
          <w:tcPr>
            <w:tcW w:w="1575" w:type="dxa"/>
          </w:tcPr>
          <w:p w14:paraId="37AE43E3"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0.00</w:t>
            </w:r>
          </w:p>
        </w:tc>
        <w:tc>
          <w:tcPr>
            <w:tcW w:w="1160" w:type="dxa"/>
          </w:tcPr>
          <w:p w14:paraId="336F2A5E"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73,011</w:t>
            </w:r>
          </w:p>
        </w:tc>
      </w:tr>
      <w:tr w:rsidR="00DD1E72" w:rsidRPr="00DD1E72" w14:paraId="65215175" w14:textId="77777777" w:rsidTr="00DD1E72">
        <w:trPr>
          <w:gridAfter w:val="1"/>
          <w:cnfStyle w:val="000000100000" w:firstRow="0" w:lastRow="0" w:firstColumn="0" w:lastColumn="0" w:oddVBand="0" w:evenVBand="0" w:oddHBand="1" w:evenHBand="0" w:firstRowFirstColumn="0" w:firstRowLastColumn="0" w:lastRowFirstColumn="0" w:lastRowLastColumn="0"/>
          <w:wAfter w:w="6" w:type="dxa"/>
          <w:trHeight w:val="281"/>
        </w:trPr>
        <w:tc>
          <w:tcPr>
            <w:cnfStyle w:val="001000000000" w:firstRow="0" w:lastRow="0" w:firstColumn="1" w:lastColumn="0" w:oddVBand="0" w:evenVBand="0" w:oddHBand="0" w:evenHBand="0" w:firstRowFirstColumn="0" w:firstRowLastColumn="0" w:lastRowFirstColumn="0" w:lastRowLastColumn="0"/>
            <w:tcW w:w="1942" w:type="dxa"/>
          </w:tcPr>
          <w:p w14:paraId="39899914" w14:textId="77777777" w:rsidR="00DD1E72" w:rsidRPr="00DD1E72" w:rsidRDefault="00DD1E72" w:rsidP="008035D9">
            <w:pPr>
              <w:rPr>
                <w:rFonts w:ascii="Century Gothic" w:hAnsi="Century Gothic"/>
              </w:rPr>
            </w:pPr>
            <w:r w:rsidRPr="00DD1E72">
              <w:rPr>
                <w:rFonts w:ascii="Century Gothic" w:hAnsi="Century Gothic"/>
              </w:rPr>
              <w:t>Xalatlaco</w:t>
            </w:r>
          </w:p>
        </w:tc>
        <w:tc>
          <w:tcPr>
            <w:tcW w:w="1618" w:type="dxa"/>
          </w:tcPr>
          <w:p w14:paraId="6EC27884"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48.43</w:t>
            </w:r>
          </w:p>
        </w:tc>
        <w:tc>
          <w:tcPr>
            <w:tcW w:w="1160" w:type="dxa"/>
          </w:tcPr>
          <w:p w14:paraId="35966181"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54,418</w:t>
            </w:r>
          </w:p>
        </w:tc>
        <w:tc>
          <w:tcPr>
            <w:tcW w:w="1618" w:type="dxa"/>
          </w:tcPr>
          <w:p w14:paraId="65276DF3"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35.00</w:t>
            </w:r>
          </w:p>
        </w:tc>
        <w:tc>
          <w:tcPr>
            <w:tcW w:w="1160" w:type="dxa"/>
          </w:tcPr>
          <w:p w14:paraId="34B1E62F"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41,022</w:t>
            </w:r>
          </w:p>
        </w:tc>
        <w:tc>
          <w:tcPr>
            <w:tcW w:w="1618" w:type="dxa"/>
          </w:tcPr>
          <w:p w14:paraId="27D869EC"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82.20</w:t>
            </w:r>
          </w:p>
        </w:tc>
        <w:tc>
          <w:tcPr>
            <w:tcW w:w="1160" w:type="dxa"/>
          </w:tcPr>
          <w:p w14:paraId="34645C33"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83,460</w:t>
            </w:r>
          </w:p>
        </w:tc>
        <w:tc>
          <w:tcPr>
            <w:tcW w:w="1575" w:type="dxa"/>
          </w:tcPr>
          <w:p w14:paraId="0931E5B9"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82.20</w:t>
            </w:r>
          </w:p>
        </w:tc>
        <w:tc>
          <w:tcPr>
            <w:tcW w:w="1160" w:type="dxa"/>
          </w:tcPr>
          <w:p w14:paraId="5A46B1D6" w14:textId="77777777" w:rsidR="00DD1E72" w:rsidRPr="00DD1E72" w:rsidRDefault="00DD1E72"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DD1E72">
              <w:rPr>
                <w:rFonts w:ascii="Century Gothic" w:hAnsi="Century Gothic"/>
              </w:rPr>
              <w:t>83,460</w:t>
            </w:r>
          </w:p>
        </w:tc>
      </w:tr>
      <w:tr w:rsidR="00DD1E72" w:rsidRPr="00DD1E72" w14:paraId="5F4A0BBA" w14:textId="77777777" w:rsidTr="00DD1E72">
        <w:trPr>
          <w:gridAfter w:val="1"/>
          <w:wAfter w:w="6" w:type="dxa"/>
          <w:trHeight w:val="562"/>
        </w:trPr>
        <w:tc>
          <w:tcPr>
            <w:cnfStyle w:val="001000000000" w:firstRow="0" w:lastRow="0" w:firstColumn="1" w:lastColumn="0" w:oddVBand="0" w:evenVBand="0" w:oddHBand="0" w:evenHBand="0" w:firstRowFirstColumn="0" w:firstRowLastColumn="0" w:lastRowFirstColumn="0" w:lastRowLastColumn="0"/>
            <w:tcW w:w="1942" w:type="dxa"/>
          </w:tcPr>
          <w:p w14:paraId="4A3ED2DD" w14:textId="77777777" w:rsidR="00DD1E72" w:rsidRPr="00DD1E72" w:rsidRDefault="00DD1E72" w:rsidP="008035D9">
            <w:pPr>
              <w:rPr>
                <w:rFonts w:ascii="Century Gothic" w:hAnsi="Century Gothic"/>
              </w:rPr>
            </w:pPr>
            <w:proofErr w:type="gramStart"/>
            <w:r w:rsidRPr="00DD1E72">
              <w:rPr>
                <w:rFonts w:ascii="Century Gothic" w:hAnsi="Century Gothic"/>
              </w:rPr>
              <w:t>TOTAL</w:t>
            </w:r>
            <w:proofErr w:type="gramEnd"/>
            <w:r w:rsidRPr="00DD1E72">
              <w:rPr>
                <w:rFonts w:ascii="Century Gothic" w:hAnsi="Century Gothic"/>
              </w:rPr>
              <w:t xml:space="preserve"> REGIÓN</w:t>
            </w:r>
          </w:p>
        </w:tc>
        <w:tc>
          <w:tcPr>
            <w:tcW w:w="1618" w:type="dxa"/>
          </w:tcPr>
          <w:p w14:paraId="672C4E8F"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70.63</w:t>
            </w:r>
          </w:p>
        </w:tc>
        <w:tc>
          <w:tcPr>
            <w:tcW w:w="1160" w:type="dxa"/>
          </w:tcPr>
          <w:p w14:paraId="29CEC1D5"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190,886</w:t>
            </w:r>
          </w:p>
        </w:tc>
        <w:tc>
          <w:tcPr>
            <w:tcW w:w="1618" w:type="dxa"/>
          </w:tcPr>
          <w:p w14:paraId="7BEEC1D8"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37.4</w:t>
            </w:r>
          </w:p>
        </w:tc>
        <w:tc>
          <w:tcPr>
            <w:tcW w:w="1160" w:type="dxa"/>
          </w:tcPr>
          <w:p w14:paraId="118F87E3"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235,076</w:t>
            </w:r>
          </w:p>
        </w:tc>
        <w:tc>
          <w:tcPr>
            <w:tcW w:w="1618" w:type="dxa"/>
          </w:tcPr>
          <w:p w14:paraId="4A5CD23A"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142.2</w:t>
            </w:r>
          </w:p>
        </w:tc>
        <w:tc>
          <w:tcPr>
            <w:tcW w:w="1160" w:type="dxa"/>
          </w:tcPr>
          <w:p w14:paraId="65F9CED7"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317,715</w:t>
            </w:r>
          </w:p>
        </w:tc>
        <w:tc>
          <w:tcPr>
            <w:tcW w:w="1575" w:type="dxa"/>
          </w:tcPr>
          <w:p w14:paraId="3B80EACB"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142.2</w:t>
            </w:r>
          </w:p>
        </w:tc>
        <w:tc>
          <w:tcPr>
            <w:tcW w:w="1160" w:type="dxa"/>
          </w:tcPr>
          <w:p w14:paraId="5BBC3BAC" w14:textId="77777777" w:rsidR="00DD1E72" w:rsidRPr="00DD1E72" w:rsidRDefault="00DD1E72"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DD1E72">
              <w:rPr>
                <w:rFonts w:ascii="Century Gothic" w:hAnsi="Century Gothic"/>
              </w:rPr>
              <w:t>317,715</w:t>
            </w:r>
          </w:p>
        </w:tc>
      </w:tr>
    </w:tbl>
    <w:p w14:paraId="2D858F6C" w14:textId="77777777" w:rsidR="00DD1E72" w:rsidRDefault="00DD1E72" w:rsidP="00DD1E72">
      <w:pPr>
        <w:rPr>
          <w:rFonts w:ascii="Century Gothic" w:hAnsi="Century Gothic"/>
          <w:sz w:val="16"/>
          <w:szCs w:val="16"/>
        </w:rPr>
      </w:pPr>
      <w:r w:rsidRPr="0060314A">
        <w:rPr>
          <w:rFonts w:ascii="Century Gothic" w:hAnsi="Century Gothic"/>
          <w:sz w:val="16"/>
          <w:szCs w:val="16"/>
        </w:rPr>
        <w:t>Fuente: COPLADEM (2024). Con información de la Protectora de Bosques del Estado de México (PROBOSQUE). Dirección de Restauración y Fomento Forestal, 2020-2023.</w:t>
      </w:r>
    </w:p>
    <w:p w14:paraId="38F32BA7" w14:textId="75B2567C" w:rsidR="00DD1E72" w:rsidRDefault="00DD1E72" w:rsidP="00DD1E72">
      <w:pPr>
        <w:pStyle w:val="NormalWeb"/>
        <w:spacing w:line="360" w:lineRule="auto"/>
        <w:jc w:val="both"/>
        <w:rPr>
          <w:rFonts w:ascii="Century Gothic" w:hAnsi="Century Gothic"/>
          <w:sz w:val="22"/>
          <w:szCs w:val="22"/>
        </w:rPr>
      </w:pPr>
    </w:p>
    <w:p w14:paraId="2B48A988" w14:textId="1D9C98C1" w:rsidR="00DD1E72" w:rsidRPr="00DD1E72" w:rsidRDefault="00DD1E72" w:rsidP="00DD1E72">
      <w:pPr>
        <w:rPr>
          <w:rFonts w:ascii="Century Gothic" w:eastAsia="Times New Roman" w:hAnsi="Century Gothic" w:cs="Times New Roman"/>
          <w:sz w:val="22"/>
          <w:szCs w:val="22"/>
          <w:lang w:eastAsia="es-MX"/>
        </w:rPr>
        <w:sectPr w:rsidR="00DD1E72" w:rsidRPr="00DD1E72" w:rsidSect="00DD1E72">
          <w:pgSz w:w="15840" w:h="12240" w:orient="landscape"/>
          <w:pgMar w:top="1440" w:right="1440" w:bottom="1440" w:left="1440" w:header="709" w:footer="709" w:gutter="0"/>
          <w:cols w:space="708"/>
          <w:docGrid w:linePitch="360"/>
        </w:sectPr>
      </w:pPr>
      <w:r>
        <w:rPr>
          <w:rFonts w:ascii="Century Gothic" w:hAnsi="Century Gothic"/>
          <w:sz w:val="22"/>
          <w:szCs w:val="22"/>
        </w:rPr>
        <w:br w:type="page"/>
      </w:r>
    </w:p>
    <w:p w14:paraId="07F5D7FD" w14:textId="2C74A691" w:rsidR="00DD1E72" w:rsidRP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lastRenderedPageBreak/>
        <w:t>Los espacios públicos y las áreas verdes son un punto importante para el municipio conforme a que funcionan como espacios recreativos y de convivencia con la población, además que es una forma de prevenir problemas como de drogadicción, contaminación del aire, entre otros. De acuerdo con la zona geográfica del municipio, cuenta con los principales árboles endémicos son: sauce llorón, mimbre, trueno, cedro, eucalipto, además de una gran variedad de frutales como ciruelo, manzano, peral, tejocote y capulín.</w:t>
      </w:r>
    </w:p>
    <w:p w14:paraId="7D6BC798" w14:textId="1226DE52" w:rsid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t xml:space="preserve">Cabe señalar que los árboles endémicos que se encuentran en el municipio son los más aptos para las zonas urbanas del territorio: Mimbre, ciruelo manzano y peral, una de sus principales características es que no son muy grandes y no afectan a la infraestructura vial, reducen la contaminación del aire, contaminación auditiva, además algunos de estos árboles proporcionarían frutos que la población puede aprovechar. También existen árboles, con diferentes características, las cuales tienen mayor beneficio para las zonas rurales estos son: Sauce, llorón, mimbre, cedro, eucalipto, tejocote y capulín; ya que brinda mayores </w:t>
      </w:r>
      <w:r w:rsidRPr="00DD1E72">
        <w:rPr>
          <w:rFonts w:ascii="Century Gothic" w:hAnsi="Century Gothic"/>
          <w:bCs/>
          <w:sz w:val="22"/>
          <w:szCs w:val="22"/>
        </w:rPr>
        <w:t>ventajas que pueden ser aprovechables en estas zonas como lo es la captación de agua, evita la erosión del suelo y puede servir como barreras de viento para los cultivos agrícolas.</w:t>
      </w:r>
    </w:p>
    <w:p w14:paraId="1D376181" w14:textId="29AE96B3" w:rsidR="00DD1E72" w:rsidRDefault="00DD1E72" w:rsidP="00DD1E72">
      <w:pPr>
        <w:spacing w:line="240" w:lineRule="auto"/>
        <w:jc w:val="both"/>
        <w:rPr>
          <w:rFonts w:ascii="Century Gothic" w:hAnsi="Century Gothic"/>
          <w:sz w:val="16"/>
          <w:szCs w:val="16"/>
        </w:rPr>
      </w:pPr>
      <w:r>
        <w:rPr>
          <w:noProof/>
        </w:rPr>
        <w:drawing>
          <wp:inline distT="0" distB="0" distL="0" distR="0" wp14:anchorId="579697BE" wp14:editId="6F742A55">
            <wp:extent cx="3890010" cy="2334006"/>
            <wp:effectExtent l="0" t="0" r="15240" b="9525"/>
            <wp:docPr id="13" name="Gráfico 13">
              <a:extLst xmlns:a="http://schemas.openxmlformats.org/drawingml/2006/main">
                <a:ext uri="{FF2B5EF4-FFF2-40B4-BE49-F238E27FC236}">
                  <a16:creationId xmlns:a16="http://schemas.microsoft.com/office/drawing/2014/main" id="{9E4007DF-FF45-4B7B-A079-EC916AA4C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60314A">
        <w:rPr>
          <w:rFonts w:ascii="Century Gothic" w:hAnsi="Century Gothic"/>
          <w:sz w:val="16"/>
          <w:szCs w:val="16"/>
        </w:rPr>
        <w:t>Fuente: COPLADEM (2024). Con información de la Protectora de Bosques del Estado de México (PROBOSQUE). Dirección de Restauración y Fomento Forestal, 2020-2023.</w:t>
      </w:r>
    </w:p>
    <w:p w14:paraId="29D81F41" w14:textId="77777777" w:rsidR="00DD1E72" w:rsidRPr="00DD1E72" w:rsidRDefault="00DD1E72" w:rsidP="00DD1E72">
      <w:pPr>
        <w:spacing w:line="240" w:lineRule="auto"/>
        <w:jc w:val="both"/>
        <w:rPr>
          <w:rFonts w:ascii="Century Gothic" w:hAnsi="Century Gothic"/>
          <w:bCs/>
          <w:sz w:val="22"/>
          <w:szCs w:val="22"/>
        </w:rPr>
      </w:pPr>
    </w:p>
    <w:p w14:paraId="322B83BE" w14:textId="6333CC5D" w:rsidR="00DD1E72" w:rsidRPr="00DD1E72" w:rsidRDefault="00DD1E72" w:rsidP="00DD1E72">
      <w:pPr>
        <w:widowControl w:val="0"/>
        <w:autoSpaceDE w:val="0"/>
        <w:autoSpaceDN w:val="0"/>
        <w:spacing w:after="0" w:line="360" w:lineRule="auto"/>
        <w:jc w:val="both"/>
        <w:rPr>
          <w:rFonts w:ascii="Century Gothic" w:hAnsi="Century Gothic"/>
          <w:b/>
          <w:color w:val="025850"/>
          <w:sz w:val="22"/>
          <w:szCs w:val="22"/>
        </w:rPr>
      </w:pPr>
      <w:r w:rsidRPr="00DD1E72">
        <w:rPr>
          <w:rFonts w:ascii="Century Gothic" w:hAnsi="Century Gothic"/>
          <w:b/>
          <w:color w:val="025850"/>
          <w:sz w:val="22"/>
          <w:szCs w:val="22"/>
        </w:rPr>
        <w:t>Protección animal</w:t>
      </w:r>
    </w:p>
    <w:p w14:paraId="5B8B5CF9" w14:textId="5533FE20" w:rsidR="00DD1E72" w:rsidRP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t xml:space="preserve">Las condiciones y elementos naturales que constituyen un medio saludable y de sobrevivencia a la humanidad, han sido la flora y fauna. Sin embargo, es el hombre el que acelera la alteración, perturbación o extinción en algunos casos de estos elementos </w:t>
      </w:r>
      <w:r w:rsidRPr="00DD1E72">
        <w:rPr>
          <w:rFonts w:ascii="Century Gothic" w:hAnsi="Century Gothic"/>
          <w:bCs/>
          <w:sz w:val="22"/>
          <w:szCs w:val="22"/>
        </w:rPr>
        <w:lastRenderedPageBreak/>
        <w:t>indispensables, ya sea con la contaminación de su medio, torturando, mutilando o exterminando la fauna.</w:t>
      </w:r>
    </w:p>
    <w:p w14:paraId="599F0858" w14:textId="46A8F282" w:rsidR="00DD1E72" w:rsidRP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t>“En el marco de la celebración del Día Mundial del Hábitat y los animales, en 2012 se declaró al Estado de México una "Entidad amiga de los animales", razón por la cual se creó la sub procuraduría de Protección a la Fauna, dependiente de la Procuraduría de Protección al Ambiente del Estado de México, instancia descentralizada de la Secretaría del Medio Ambiente que atiende las denuncias relativas al maltrato animal; por consiguiente aplicando el marco jurídico previsto en el Código para la Biodiversidad del Estado de México, que protege a la fauna doméstica y garantiza su bienestar; es prioridad para el Gobierno Estatal establecer canales de comunicación que permitan la interacción con el sector social dedicado a la protección y al bienestar animal.”</w:t>
      </w:r>
    </w:p>
    <w:p w14:paraId="11998E68" w14:textId="5A6C39BF" w:rsidR="00DD1E72" w:rsidRP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t xml:space="preserve">Adicionalmente, se ha creado el Consejo Ciudadano de Protección y Bienestar Animal del Estado de México, el cual funge como un canal permanente de comunicación entre las organizaciones protectoras de animales y el Gobierno Estatal; que es el mecanismo de participación social que propiciará la protección y el </w:t>
      </w:r>
      <w:r w:rsidRPr="00DD1E72">
        <w:rPr>
          <w:rFonts w:ascii="Century Gothic" w:hAnsi="Century Gothic"/>
          <w:bCs/>
          <w:sz w:val="22"/>
          <w:szCs w:val="22"/>
        </w:rPr>
        <w:t>bienestar de las especies sujetas al dominio, posesión, control, uso y aprovechamiento del ser humano a fin de garantizar su cuidado, bienestar y la preservación de sus especies y  se desempeña como órgano deliberativo de opinión en materia de protección y bienestar animal del Ejecutivo Estatal y emite recomendaciones al estado en la materia.</w:t>
      </w:r>
    </w:p>
    <w:p w14:paraId="497FAE4D" w14:textId="04F02A09" w:rsidR="00DD1E72" w:rsidRP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t>Así mismo se impulsan acciones que fomentan la cultura de respeto a fin de incidir en la población la necesidad de evitar conductas de maltrato de los animales, dentro de las acciones se encuentra: campañas de adopción, esterilización y vacunación.</w:t>
      </w:r>
    </w:p>
    <w:p w14:paraId="424EA8F3" w14:textId="2C17E761" w:rsidR="00DD1E72" w:rsidRPr="00DD1E72" w:rsidRDefault="00DD1E72" w:rsidP="00DD1E72">
      <w:pPr>
        <w:spacing w:line="360" w:lineRule="auto"/>
        <w:ind w:firstLine="708"/>
        <w:jc w:val="both"/>
        <w:rPr>
          <w:rFonts w:ascii="Century Gothic" w:hAnsi="Century Gothic"/>
          <w:bCs/>
          <w:sz w:val="22"/>
          <w:szCs w:val="22"/>
        </w:rPr>
      </w:pPr>
      <w:r w:rsidRPr="00DD1E72">
        <w:rPr>
          <w:rFonts w:ascii="Century Gothic" w:hAnsi="Century Gothic"/>
          <w:bCs/>
          <w:sz w:val="22"/>
          <w:szCs w:val="22"/>
        </w:rPr>
        <w:t>Salvemos a los animales en situación de calle y abandono. Evitemos que sigan sufriendo cientos de mascotas. Teniendo esa premisa, es grato que, por primera vez, en la historia de San Antonio la Isla, atenderemos de manera integral el respeto, cuidado y protección animal.</w:t>
      </w:r>
    </w:p>
    <w:p w14:paraId="59332BE6" w14:textId="77777777" w:rsidR="00DD1E72" w:rsidRDefault="00DD1E72" w:rsidP="00DD1E72">
      <w:pPr>
        <w:spacing w:line="360" w:lineRule="auto"/>
        <w:jc w:val="both"/>
        <w:rPr>
          <w:rFonts w:ascii="Corbel" w:hAnsi="Corbel"/>
          <w:b/>
          <w:bCs/>
          <w:color w:val="8DD873" w:themeColor="accent6" w:themeTint="99"/>
        </w:rPr>
      </w:pPr>
    </w:p>
    <w:p w14:paraId="5E02D21B" w14:textId="77777777" w:rsidR="000D3D0E" w:rsidRDefault="000D3D0E" w:rsidP="00DD1E72">
      <w:pPr>
        <w:spacing w:after="160" w:line="360" w:lineRule="auto"/>
        <w:jc w:val="both"/>
        <w:rPr>
          <w:rFonts w:ascii="Century Gothic" w:hAnsi="Century Gothic"/>
          <w:b/>
          <w:bCs/>
          <w:color w:val="025850"/>
          <w:sz w:val="22"/>
          <w:szCs w:val="22"/>
        </w:rPr>
      </w:pPr>
    </w:p>
    <w:p w14:paraId="5586B7BD" w14:textId="59243B46" w:rsidR="00DD1E72" w:rsidRPr="00DD1E72" w:rsidRDefault="00DD1E72" w:rsidP="00DD1E72">
      <w:pPr>
        <w:spacing w:after="160" w:line="360" w:lineRule="auto"/>
        <w:jc w:val="both"/>
        <w:rPr>
          <w:rFonts w:ascii="Century Gothic" w:hAnsi="Century Gothic"/>
          <w:b/>
          <w:bCs/>
          <w:color w:val="025850"/>
          <w:sz w:val="22"/>
          <w:szCs w:val="22"/>
        </w:rPr>
      </w:pPr>
      <w:r w:rsidRPr="00DD1E72">
        <w:rPr>
          <w:rFonts w:ascii="Century Gothic" w:hAnsi="Century Gothic"/>
          <w:b/>
          <w:bCs/>
          <w:color w:val="025850"/>
          <w:sz w:val="22"/>
          <w:szCs w:val="22"/>
        </w:rPr>
        <w:lastRenderedPageBreak/>
        <w:t>Energías limpias</w:t>
      </w:r>
    </w:p>
    <w:p w14:paraId="2C43B703"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La energía es un elemento fundamental para el desarrollo socioeconómico; se puede hablar de energía renovable y no renovable. La primera se obtiene de fuentes naturales, tiene capacidad de renovación y se obtiene del agua, el sol, el viento y la tierra; en cambio, la energía no renovable se refiere a las fuentes que si bien se encuentran en la naturaleza lo están en cantidad limitada, por lo que se agotan en la medida en que consumen y se clasifican de manera general en combustibles fósiles y nucleares. Sus fuentes principales son: el petróleo, el gas natural, la energía nuclear y el carbón mineral. </w:t>
      </w:r>
    </w:p>
    <w:p w14:paraId="3CD0B067"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 xml:space="preserve">“Mark Z. Jacobson, investigador de la Universidad de Stanford, comenta que la medida más viable para sustituir las energías contaminantes por unas fuentes de energías modernas, asequibles y </w:t>
      </w:r>
      <w:proofErr w:type="gramStart"/>
      <w:r w:rsidRPr="00DD1E72">
        <w:rPr>
          <w:rFonts w:ascii="Century Gothic" w:hAnsi="Century Gothic"/>
          <w:sz w:val="22"/>
          <w:szCs w:val="22"/>
        </w:rPr>
        <w:t>fiables,</w:t>
      </w:r>
      <w:proofErr w:type="gramEnd"/>
      <w:r w:rsidRPr="00DD1E72">
        <w:rPr>
          <w:rFonts w:ascii="Century Gothic" w:hAnsi="Century Gothic"/>
          <w:sz w:val="22"/>
          <w:szCs w:val="22"/>
        </w:rPr>
        <w:t xml:space="preserve"> puede ser a través del uso de las energías limpias (fundamentalmente eólica, hidráulica y solar) pero para ello se requiere invertir en nuevas tecnologías específicas y configurar estrategias políticas, económicas y sociales orientadas a generar cambios en el uso de la energía. Asimismo, hace </w:t>
      </w:r>
      <w:r w:rsidRPr="00DD1E72">
        <w:rPr>
          <w:rFonts w:ascii="Century Gothic" w:hAnsi="Century Gothic"/>
          <w:sz w:val="22"/>
          <w:szCs w:val="22"/>
        </w:rPr>
        <w:t>énfasis en que la transición al uso de energías limpias es necesario, ya que vendría acompañada a la creación de empleos estables, la prevención de millones de muertes causadas por la contaminación y una drástica reducción del calentamiento global.”</w:t>
      </w:r>
    </w:p>
    <w:p w14:paraId="2D0C2FBE"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 xml:space="preserve">La meta 7.2. De la Agenda 2030, considera que es necesario aumentar la proporción de energía renovable en el conjunto de fuentes energéticas, y la población joven como un actor central, pues serán quienes vivirán la transición energética producida por combustibles fósiles hacia energías renovables. </w:t>
      </w:r>
    </w:p>
    <w:p w14:paraId="47905B13"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 xml:space="preserve">Esta transición de paradigma energético podemos rastrearlo en dos variables de los modos de la vida cotidiana de los y las jóvenes: el transporte y la vivienda. </w:t>
      </w:r>
    </w:p>
    <w:p w14:paraId="0802B395"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 xml:space="preserve">Las oportunidades para aumentar el uso de energías limpias, aunque el 98.1% de las viviendas tiene focos ahorradores, solo el 2.9% utiliza calentador solar y solo el 0.5% utiliza paneles solares. Hay grandes espacios para la adopción de energías, siempre y cuando sean asequibles, lo cual poco a poco se ha venido generando. El costo de focos ahorrados ha disminuido de manera sostenida a la par de una mayor durabilidad de </w:t>
      </w:r>
      <w:proofErr w:type="gramStart"/>
      <w:r w:rsidRPr="00DD1E72">
        <w:rPr>
          <w:rFonts w:ascii="Century Gothic" w:hAnsi="Century Gothic"/>
          <w:sz w:val="22"/>
          <w:szCs w:val="22"/>
        </w:rPr>
        <w:t xml:space="preserve">los </w:t>
      </w:r>
      <w:r w:rsidRPr="00DD1E72">
        <w:rPr>
          <w:rFonts w:ascii="Century Gothic" w:hAnsi="Century Gothic"/>
          <w:sz w:val="22"/>
          <w:szCs w:val="22"/>
        </w:rPr>
        <w:lastRenderedPageBreak/>
        <w:t>mismos</w:t>
      </w:r>
      <w:proofErr w:type="gramEnd"/>
      <w:r w:rsidRPr="00DD1E72">
        <w:rPr>
          <w:rFonts w:ascii="Century Gothic" w:hAnsi="Century Gothic"/>
          <w:sz w:val="22"/>
          <w:szCs w:val="22"/>
        </w:rPr>
        <w:t xml:space="preserve"> y una evidente disminución del consumo promedio en los hogares.</w:t>
      </w:r>
    </w:p>
    <w:p w14:paraId="6AB02023"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El Estado de México posee un gran potencial para el desarrollo de energías renovables, con un enfoque especial en la energía solar. Para avanzar hacia un modelo energético sostenible, es crucial seguir impulsando la inversión en infraestructura eficiente y moderna, además de promover iniciativas que fomenten el uso de fuentes limpias. Estas acciones permitirán reducir el impacto ambiental, fortalecer el crecimiento económico y garantizar un futuro más sustentable tanto para la entidad como para el país.</w:t>
      </w:r>
    </w:p>
    <w:p w14:paraId="083CFDB0"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A nivel local, el municipio tiene registrados hasta el 2020, 12 607 ciudadanos usuarios de energía eléctrica.</w:t>
      </w:r>
    </w:p>
    <w:tbl>
      <w:tblPr>
        <w:tblStyle w:val="Tablaconcuadrcula4-nfasis2"/>
        <w:tblW w:w="0" w:type="auto"/>
        <w:jc w:val="center"/>
        <w:tblLayout w:type="fixed"/>
        <w:tblLook w:val="01E0" w:firstRow="1" w:lastRow="1" w:firstColumn="1" w:lastColumn="1" w:noHBand="0" w:noVBand="0"/>
      </w:tblPr>
      <w:tblGrid>
        <w:gridCol w:w="562"/>
        <w:gridCol w:w="1843"/>
        <w:gridCol w:w="2410"/>
      </w:tblGrid>
      <w:tr w:rsidR="00DD1E72" w:rsidRPr="00DD1E72" w14:paraId="720A7DAF" w14:textId="77777777" w:rsidTr="00DD1E72">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815" w:type="dxa"/>
            <w:gridSpan w:val="3"/>
          </w:tcPr>
          <w:p w14:paraId="58CAAAE2" w14:textId="77777777" w:rsidR="00DD1E72" w:rsidRPr="00DD1E72" w:rsidRDefault="00DD1E72" w:rsidP="008035D9">
            <w:pPr>
              <w:spacing w:after="160" w:line="259" w:lineRule="auto"/>
              <w:ind w:firstLine="708"/>
              <w:jc w:val="center"/>
              <w:rPr>
                <w:rFonts w:ascii="Century Gothic" w:hAnsi="Century Gothic"/>
                <w:b w:val="0"/>
                <w:sz w:val="18"/>
                <w:szCs w:val="18"/>
              </w:rPr>
            </w:pPr>
            <w:r w:rsidRPr="00DD1E72">
              <w:rPr>
                <w:rFonts w:ascii="Century Gothic" w:hAnsi="Century Gothic"/>
                <w:sz w:val="18"/>
                <w:szCs w:val="18"/>
              </w:rPr>
              <w:t>Usuarios de Energía Eléctrica</w:t>
            </w:r>
          </w:p>
        </w:tc>
      </w:tr>
      <w:tr w:rsidR="00DD1E72" w:rsidRPr="00DD1E72" w14:paraId="0BFBE3E8" w14:textId="77777777" w:rsidTr="00DD1E72">
        <w:trPr>
          <w:cnfStyle w:val="000000100000" w:firstRow="0" w:lastRow="0" w:firstColumn="0" w:lastColumn="0" w:oddVBand="0" w:evenVBand="0" w:oddHBand="1" w:evenHBand="0" w:firstRowFirstColumn="0" w:firstRowLastColumn="0" w:lastRowFirstColumn="0" w:lastRowLastColumn="0"/>
          <w:trHeight w:val="514"/>
          <w:jc w:val="center"/>
        </w:trPr>
        <w:tc>
          <w:tcPr>
            <w:cnfStyle w:val="001000000000" w:firstRow="0" w:lastRow="0" w:firstColumn="1" w:lastColumn="0" w:oddVBand="0" w:evenVBand="0" w:oddHBand="0" w:evenHBand="0" w:firstRowFirstColumn="0" w:firstRowLastColumn="0" w:lastRowFirstColumn="0" w:lastRowLastColumn="0"/>
            <w:tcW w:w="562" w:type="dxa"/>
          </w:tcPr>
          <w:p w14:paraId="17849DC2" w14:textId="77777777" w:rsidR="00DD1E72" w:rsidRPr="00DD1E72" w:rsidRDefault="00DD1E72" w:rsidP="008035D9">
            <w:pPr>
              <w:spacing w:after="160" w:line="259" w:lineRule="auto"/>
              <w:ind w:firstLine="708"/>
              <w:jc w:val="both"/>
              <w:rPr>
                <w:rFonts w:ascii="Century Gothic" w:hAnsi="Century Gothic"/>
                <w:b w:val="0"/>
                <w:sz w:val="18"/>
                <w:szCs w:val="18"/>
              </w:rPr>
            </w:pPr>
            <w:r w:rsidRPr="00DD1E72">
              <w:rPr>
                <w:rFonts w:ascii="Century Gothic" w:hAnsi="Century Gothic"/>
                <w:sz w:val="18"/>
                <w:szCs w:val="18"/>
              </w:rPr>
              <w:t>Año</w:t>
            </w:r>
          </w:p>
        </w:tc>
        <w:tc>
          <w:tcPr>
            <w:cnfStyle w:val="000010000000" w:firstRow="0" w:lastRow="0" w:firstColumn="0" w:lastColumn="0" w:oddVBand="1" w:evenVBand="0" w:oddHBand="0" w:evenHBand="0" w:firstRowFirstColumn="0" w:firstRowLastColumn="0" w:lastRowFirstColumn="0" w:lastRowLastColumn="0"/>
            <w:tcW w:w="1843" w:type="dxa"/>
          </w:tcPr>
          <w:p w14:paraId="55A4E6A1" w14:textId="77777777" w:rsidR="00DD1E72" w:rsidRPr="00DD1E72" w:rsidRDefault="00DD1E72" w:rsidP="008035D9">
            <w:pPr>
              <w:spacing w:after="160" w:line="259" w:lineRule="auto"/>
              <w:jc w:val="both"/>
              <w:rPr>
                <w:rFonts w:ascii="Century Gothic" w:hAnsi="Century Gothic"/>
                <w:b/>
                <w:sz w:val="18"/>
                <w:szCs w:val="18"/>
              </w:rPr>
            </w:pPr>
            <w:r w:rsidRPr="00DD1E72">
              <w:rPr>
                <w:rFonts w:ascii="Century Gothic" w:hAnsi="Century Gothic"/>
                <w:b/>
                <w:sz w:val="18"/>
                <w:szCs w:val="18"/>
              </w:rPr>
              <w:t>Número de Usuarios</w:t>
            </w:r>
          </w:p>
        </w:tc>
        <w:tc>
          <w:tcPr>
            <w:cnfStyle w:val="000100000000" w:firstRow="0" w:lastRow="0" w:firstColumn="0" w:lastColumn="1" w:oddVBand="0" w:evenVBand="0" w:oddHBand="0" w:evenHBand="0" w:firstRowFirstColumn="0" w:firstRowLastColumn="0" w:lastRowFirstColumn="0" w:lastRowLastColumn="0"/>
            <w:tcW w:w="2410" w:type="dxa"/>
          </w:tcPr>
          <w:p w14:paraId="32308F72" w14:textId="77777777" w:rsidR="00DD1E72" w:rsidRPr="00DD1E72" w:rsidRDefault="00DD1E72" w:rsidP="008035D9">
            <w:pPr>
              <w:spacing w:after="160" w:line="259" w:lineRule="auto"/>
              <w:jc w:val="both"/>
              <w:rPr>
                <w:rFonts w:ascii="Century Gothic" w:hAnsi="Century Gothic"/>
                <w:b w:val="0"/>
                <w:sz w:val="18"/>
                <w:szCs w:val="18"/>
              </w:rPr>
            </w:pPr>
            <w:r w:rsidRPr="00DD1E72">
              <w:rPr>
                <w:rFonts w:ascii="Century Gothic" w:hAnsi="Century Gothic"/>
                <w:sz w:val="18"/>
                <w:szCs w:val="18"/>
              </w:rPr>
              <w:t>Costo de la Tarifa por Consumo Básico</w:t>
            </w:r>
          </w:p>
        </w:tc>
      </w:tr>
      <w:tr w:rsidR="00DD1E72" w:rsidRPr="00DD1E72" w14:paraId="5372AEE2" w14:textId="77777777" w:rsidTr="00DD1E72">
        <w:trPr>
          <w:trHeight w:val="268"/>
          <w:jc w:val="center"/>
        </w:trPr>
        <w:tc>
          <w:tcPr>
            <w:cnfStyle w:val="001000000000" w:firstRow="0" w:lastRow="0" w:firstColumn="1" w:lastColumn="0" w:oddVBand="0" w:evenVBand="0" w:oddHBand="0" w:evenHBand="0" w:firstRowFirstColumn="0" w:firstRowLastColumn="0" w:lastRowFirstColumn="0" w:lastRowLastColumn="0"/>
            <w:tcW w:w="562" w:type="dxa"/>
          </w:tcPr>
          <w:p w14:paraId="5962E670"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2016</w:t>
            </w:r>
          </w:p>
        </w:tc>
        <w:tc>
          <w:tcPr>
            <w:cnfStyle w:val="000010000000" w:firstRow="0" w:lastRow="0" w:firstColumn="0" w:lastColumn="0" w:oddVBand="1" w:evenVBand="0" w:oddHBand="0" w:evenHBand="0" w:firstRowFirstColumn="0" w:firstRowLastColumn="0" w:lastRowFirstColumn="0" w:lastRowLastColumn="0"/>
            <w:tcW w:w="1843" w:type="dxa"/>
          </w:tcPr>
          <w:p w14:paraId="422F4881"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10,573</w:t>
            </w:r>
          </w:p>
        </w:tc>
        <w:tc>
          <w:tcPr>
            <w:cnfStyle w:val="000100000000" w:firstRow="0" w:lastRow="0" w:firstColumn="0" w:lastColumn="1" w:oddVBand="0" w:evenVBand="0" w:oddHBand="0" w:evenHBand="0" w:firstRowFirstColumn="0" w:firstRowLastColumn="0" w:lastRowFirstColumn="0" w:lastRowLastColumn="0"/>
            <w:tcW w:w="2410" w:type="dxa"/>
          </w:tcPr>
          <w:p w14:paraId="2AFD5355"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35 588.42</w:t>
            </w:r>
          </w:p>
        </w:tc>
      </w:tr>
      <w:tr w:rsidR="00DD1E72" w:rsidRPr="00DD1E72" w14:paraId="1DF286CE" w14:textId="77777777" w:rsidTr="00DD1E7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62" w:type="dxa"/>
          </w:tcPr>
          <w:p w14:paraId="71ABE71F"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2017</w:t>
            </w:r>
          </w:p>
        </w:tc>
        <w:tc>
          <w:tcPr>
            <w:cnfStyle w:val="000010000000" w:firstRow="0" w:lastRow="0" w:firstColumn="0" w:lastColumn="0" w:oddVBand="1" w:evenVBand="0" w:oddHBand="0" w:evenHBand="0" w:firstRowFirstColumn="0" w:firstRowLastColumn="0" w:lastRowFirstColumn="0" w:lastRowLastColumn="0"/>
            <w:tcW w:w="1843" w:type="dxa"/>
          </w:tcPr>
          <w:p w14:paraId="6ACE73FD"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11,780</w:t>
            </w:r>
          </w:p>
        </w:tc>
        <w:tc>
          <w:tcPr>
            <w:cnfStyle w:val="000100000000" w:firstRow="0" w:lastRow="0" w:firstColumn="0" w:lastColumn="1" w:oddVBand="0" w:evenVBand="0" w:oddHBand="0" w:evenHBand="0" w:firstRowFirstColumn="0" w:firstRowLastColumn="0" w:lastRowFirstColumn="0" w:lastRowLastColumn="0"/>
            <w:tcW w:w="2410" w:type="dxa"/>
          </w:tcPr>
          <w:p w14:paraId="0D44A820"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40 140.13</w:t>
            </w:r>
          </w:p>
        </w:tc>
      </w:tr>
      <w:tr w:rsidR="00DD1E72" w:rsidRPr="00DD1E72" w14:paraId="6D6F9364" w14:textId="77777777" w:rsidTr="00DD1E72">
        <w:trPr>
          <w:trHeight w:val="268"/>
          <w:jc w:val="center"/>
        </w:trPr>
        <w:tc>
          <w:tcPr>
            <w:cnfStyle w:val="001000000000" w:firstRow="0" w:lastRow="0" w:firstColumn="1" w:lastColumn="0" w:oddVBand="0" w:evenVBand="0" w:oddHBand="0" w:evenHBand="0" w:firstRowFirstColumn="0" w:firstRowLastColumn="0" w:lastRowFirstColumn="0" w:lastRowLastColumn="0"/>
            <w:tcW w:w="562" w:type="dxa"/>
          </w:tcPr>
          <w:p w14:paraId="7C2A42A2"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2018</w:t>
            </w:r>
          </w:p>
        </w:tc>
        <w:tc>
          <w:tcPr>
            <w:cnfStyle w:val="000010000000" w:firstRow="0" w:lastRow="0" w:firstColumn="0" w:lastColumn="0" w:oddVBand="1" w:evenVBand="0" w:oddHBand="0" w:evenHBand="0" w:firstRowFirstColumn="0" w:firstRowLastColumn="0" w:lastRowFirstColumn="0" w:lastRowLastColumn="0"/>
            <w:tcW w:w="1843" w:type="dxa"/>
          </w:tcPr>
          <w:p w14:paraId="7C4B2AB9"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12,038</w:t>
            </w:r>
          </w:p>
        </w:tc>
        <w:tc>
          <w:tcPr>
            <w:cnfStyle w:val="000100000000" w:firstRow="0" w:lastRow="0" w:firstColumn="0" w:lastColumn="1" w:oddVBand="0" w:evenVBand="0" w:oddHBand="0" w:evenHBand="0" w:firstRowFirstColumn="0" w:firstRowLastColumn="0" w:lastRowFirstColumn="0" w:lastRowLastColumn="0"/>
            <w:tcW w:w="2410" w:type="dxa"/>
          </w:tcPr>
          <w:p w14:paraId="6AB2EE5F"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38 028.61</w:t>
            </w:r>
          </w:p>
        </w:tc>
      </w:tr>
      <w:tr w:rsidR="00DD1E72" w:rsidRPr="00DD1E72" w14:paraId="71300EBA" w14:textId="77777777" w:rsidTr="00DD1E7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62" w:type="dxa"/>
          </w:tcPr>
          <w:p w14:paraId="6C765E35"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2019</w:t>
            </w:r>
          </w:p>
        </w:tc>
        <w:tc>
          <w:tcPr>
            <w:cnfStyle w:val="000010000000" w:firstRow="0" w:lastRow="0" w:firstColumn="0" w:lastColumn="0" w:oddVBand="1" w:evenVBand="0" w:oddHBand="0" w:evenHBand="0" w:firstRowFirstColumn="0" w:firstRowLastColumn="0" w:lastRowFirstColumn="0" w:lastRowLastColumn="0"/>
            <w:tcW w:w="1843" w:type="dxa"/>
          </w:tcPr>
          <w:p w14:paraId="14091343"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12,351</w:t>
            </w:r>
          </w:p>
        </w:tc>
        <w:tc>
          <w:tcPr>
            <w:cnfStyle w:val="000100000000" w:firstRow="0" w:lastRow="0" w:firstColumn="0" w:lastColumn="1" w:oddVBand="0" w:evenVBand="0" w:oddHBand="0" w:evenHBand="0" w:firstRowFirstColumn="0" w:firstRowLastColumn="0" w:lastRowFirstColumn="0" w:lastRowLastColumn="0"/>
            <w:tcW w:w="2410" w:type="dxa"/>
          </w:tcPr>
          <w:p w14:paraId="3B34BC7E"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222 327.01</w:t>
            </w:r>
          </w:p>
        </w:tc>
      </w:tr>
      <w:tr w:rsidR="00DD1E72" w:rsidRPr="00DD1E72" w14:paraId="39B106D2" w14:textId="77777777" w:rsidTr="00DD1E72">
        <w:trPr>
          <w:cnfStyle w:val="010000000000" w:firstRow="0" w:lastRow="1"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62" w:type="dxa"/>
          </w:tcPr>
          <w:p w14:paraId="5BB1F76B"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2020</w:t>
            </w:r>
          </w:p>
        </w:tc>
        <w:tc>
          <w:tcPr>
            <w:cnfStyle w:val="000010000000" w:firstRow="0" w:lastRow="0" w:firstColumn="0" w:lastColumn="0" w:oddVBand="1" w:evenVBand="0" w:oddHBand="0" w:evenHBand="0" w:firstRowFirstColumn="0" w:firstRowLastColumn="0" w:lastRowFirstColumn="0" w:lastRowLastColumn="0"/>
            <w:tcW w:w="1843" w:type="dxa"/>
          </w:tcPr>
          <w:p w14:paraId="556DBBD5"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12,607</w:t>
            </w:r>
          </w:p>
        </w:tc>
        <w:tc>
          <w:tcPr>
            <w:cnfStyle w:val="000100000000" w:firstRow="0" w:lastRow="0" w:firstColumn="0" w:lastColumn="1" w:oddVBand="0" w:evenVBand="0" w:oddHBand="0" w:evenHBand="0" w:firstRowFirstColumn="0" w:firstRowLastColumn="0" w:lastRowFirstColumn="0" w:lastRowLastColumn="0"/>
            <w:tcW w:w="2410" w:type="dxa"/>
          </w:tcPr>
          <w:p w14:paraId="6DCBACCC" w14:textId="77777777" w:rsidR="00DD1E72" w:rsidRPr="00DD1E72" w:rsidRDefault="00DD1E72" w:rsidP="008035D9">
            <w:pPr>
              <w:spacing w:after="160" w:line="259" w:lineRule="auto"/>
              <w:ind w:firstLine="708"/>
              <w:jc w:val="both"/>
              <w:rPr>
                <w:rFonts w:ascii="Century Gothic" w:hAnsi="Century Gothic"/>
                <w:sz w:val="18"/>
                <w:szCs w:val="18"/>
              </w:rPr>
            </w:pPr>
            <w:r w:rsidRPr="00DD1E72">
              <w:rPr>
                <w:rFonts w:ascii="Century Gothic" w:hAnsi="Century Gothic"/>
                <w:sz w:val="18"/>
                <w:szCs w:val="18"/>
              </w:rPr>
              <w:t>364 452.13</w:t>
            </w:r>
          </w:p>
        </w:tc>
      </w:tr>
    </w:tbl>
    <w:p w14:paraId="77373D4B" w14:textId="7E92BE3B" w:rsidR="00DD1E72" w:rsidRDefault="00DD1E72">
      <w:pPr>
        <w:rPr>
          <w:color w:val="8DD873" w:themeColor="accent6" w:themeTint="99"/>
          <w:sz w:val="36"/>
          <w:szCs w:val="36"/>
        </w:rPr>
      </w:pPr>
    </w:p>
    <w:p w14:paraId="2B65A1E0" w14:textId="77777777" w:rsidR="00DD1E72" w:rsidRP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Por otra parte, la creciente contaminación atmosférica ha ocasionado que cada vez más se promueva el uso de energías limpias en las casas de los islenses, dotándolos de calentadores solares. Esta acción permite a las familias tener la oportunidad de impulsar el consumo responsable y posicionarse como auto sustentables con la instalación de tecnología capaz de aprovechar los recursos renovables.</w:t>
      </w:r>
    </w:p>
    <w:p w14:paraId="74FFDF25" w14:textId="77777777" w:rsidR="00DD1E72" w:rsidRDefault="00DD1E72" w:rsidP="00DD1E72">
      <w:pPr>
        <w:spacing w:after="160" w:line="360" w:lineRule="auto"/>
        <w:ind w:firstLine="708"/>
        <w:jc w:val="both"/>
        <w:rPr>
          <w:rFonts w:ascii="Century Gothic" w:hAnsi="Century Gothic"/>
          <w:sz w:val="22"/>
          <w:szCs w:val="22"/>
        </w:rPr>
      </w:pPr>
      <w:r w:rsidRPr="00DD1E72">
        <w:rPr>
          <w:rFonts w:ascii="Century Gothic" w:hAnsi="Century Gothic"/>
          <w:sz w:val="22"/>
          <w:szCs w:val="22"/>
        </w:rPr>
        <w:t>Actividades domésticas como calentar el agua generan un consumo importante en gas o electricidad, lo que da como resultado tarifas altas en los recibos y la emisión de gases de efecto invernadero. Sin embargo, con el uso de energía solar podemos ayudar a reducir ambos efectos, beneficiando a nuestro presupuesto y al medio ambiente.</w:t>
      </w:r>
    </w:p>
    <w:p w14:paraId="085384C7" w14:textId="77777777" w:rsidR="000D3D0E" w:rsidRDefault="000D3D0E" w:rsidP="00DD1E72">
      <w:pPr>
        <w:spacing w:after="160" w:line="360" w:lineRule="auto"/>
        <w:ind w:firstLine="708"/>
        <w:jc w:val="both"/>
        <w:rPr>
          <w:rFonts w:ascii="Century Gothic" w:hAnsi="Century Gothic"/>
          <w:sz w:val="22"/>
          <w:szCs w:val="22"/>
        </w:rPr>
      </w:pPr>
    </w:p>
    <w:p w14:paraId="78C2DC54" w14:textId="77777777" w:rsidR="000D3D0E" w:rsidRPr="00DD1E72" w:rsidRDefault="000D3D0E" w:rsidP="00DD1E72">
      <w:pPr>
        <w:spacing w:after="160" w:line="360" w:lineRule="auto"/>
        <w:ind w:firstLine="708"/>
        <w:jc w:val="both"/>
        <w:rPr>
          <w:rFonts w:ascii="Century Gothic" w:hAnsi="Century Gothic"/>
          <w:sz w:val="22"/>
          <w:szCs w:val="22"/>
        </w:rPr>
      </w:pPr>
    </w:p>
    <w:p w14:paraId="3C7413EC" w14:textId="77777777" w:rsidR="002657E4" w:rsidRPr="002657E4" w:rsidRDefault="002657E4" w:rsidP="002657E4">
      <w:pPr>
        <w:widowControl w:val="0"/>
        <w:autoSpaceDE w:val="0"/>
        <w:autoSpaceDN w:val="0"/>
        <w:spacing w:after="0" w:line="360" w:lineRule="auto"/>
        <w:jc w:val="both"/>
        <w:rPr>
          <w:rFonts w:ascii="Century Gothic" w:hAnsi="Century Gothic"/>
          <w:b/>
          <w:color w:val="025850"/>
          <w:sz w:val="22"/>
          <w:szCs w:val="22"/>
        </w:rPr>
      </w:pPr>
      <w:r w:rsidRPr="002657E4">
        <w:rPr>
          <w:rFonts w:ascii="Century Gothic" w:hAnsi="Century Gothic"/>
          <w:b/>
          <w:color w:val="025850"/>
          <w:sz w:val="22"/>
          <w:szCs w:val="22"/>
        </w:rPr>
        <w:lastRenderedPageBreak/>
        <w:t>Gestión integral de residuos</w:t>
      </w:r>
    </w:p>
    <w:p w14:paraId="7914C96B" w14:textId="77777777" w:rsidR="002657E4" w:rsidRPr="002657E4" w:rsidRDefault="002657E4" w:rsidP="002657E4">
      <w:pPr>
        <w:spacing w:line="360" w:lineRule="auto"/>
        <w:rPr>
          <w:rFonts w:ascii="Century Gothic" w:hAnsi="Century Gothic"/>
          <w:sz w:val="22"/>
          <w:szCs w:val="22"/>
        </w:rPr>
      </w:pPr>
    </w:p>
    <w:p w14:paraId="22419C54" w14:textId="233F28EE" w:rsidR="002657E4" w:rsidRPr="002657E4" w:rsidRDefault="002657E4" w:rsidP="002657E4">
      <w:pPr>
        <w:spacing w:line="360" w:lineRule="auto"/>
        <w:ind w:firstLine="708"/>
        <w:jc w:val="both"/>
        <w:rPr>
          <w:rFonts w:ascii="Century Gothic" w:hAnsi="Century Gothic"/>
          <w:sz w:val="22"/>
          <w:szCs w:val="22"/>
        </w:rPr>
      </w:pPr>
      <w:r w:rsidRPr="002657E4">
        <w:rPr>
          <w:rFonts w:ascii="Century Gothic" w:hAnsi="Century Gothic"/>
          <w:sz w:val="22"/>
          <w:szCs w:val="22"/>
        </w:rPr>
        <w:t>Uno de los problemas más graves en San Antonio la Isla es la recolección de residuos sólidos, es de tal magnitud que afecta la vida cotidiana de la población en el ámbito ecológico, una parte importante está en las zonas limítrofes del municipio en donde se encuentran residuos a cielo abierto o bien en los cauces de las barrancas, lo que genera contaminación tanto atmosférica como en los mantos freáticos. Dentro de los desafíos y oportunidades destacan:</w:t>
      </w:r>
    </w:p>
    <w:p w14:paraId="4A16FC0F" w14:textId="77777777" w:rsidR="002657E4" w:rsidRPr="002657E4" w:rsidRDefault="002657E4" w:rsidP="00E50CE9">
      <w:pPr>
        <w:pStyle w:val="Prrafodelista"/>
        <w:widowControl w:val="0"/>
        <w:numPr>
          <w:ilvl w:val="0"/>
          <w:numId w:val="37"/>
        </w:numPr>
        <w:autoSpaceDE w:val="0"/>
        <w:autoSpaceDN w:val="0"/>
        <w:spacing w:after="0" w:line="360" w:lineRule="auto"/>
        <w:jc w:val="both"/>
        <w:rPr>
          <w:rFonts w:ascii="Century Gothic" w:hAnsi="Century Gothic"/>
          <w:sz w:val="22"/>
          <w:szCs w:val="22"/>
        </w:rPr>
      </w:pPr>
      <w:r w:rsidRPr="002657E4">
        <w:rPr>
          <w:rFonts w:ascii="Century Gothic" w:hAnsi="Century Gothic"/>
          <w:sz w:val="22"/>
          <w:szCs w:val="22"/>
        </w:rPr>
        <w:t>La falta de infraestructura adecuada para la gestión de residuos es un desafío común en muchos municipios.</w:t>
      </w:r>
    </w:p>
    <w:p w14:paraId="6ED0B878" w14:textId="77777777" w:rsidR="002657E4" w:rsidRPr="002657E4" w:rsidRDefault="002657E4" w:rsidP="00E50CE9">
      <w:pPr>
        <w:pStyle w:val="Prrafodelista"/>
        <w:widowControl w:val="0"/>
        <w:numPr>
          <w:ilvl w:val="0"/>
          <w:numId w:val="37"/>
        </w:numPr>
        <w:autoSpaceDE w:val="0"/>
        <w:autoSpaceDN w:val="0"/>
        <w:spacing w:after="0" w:line="360" w:lineRule="auto"/>
        <w:jc w:val="both"/>
        <w:rPr>
          <w:rFonts w:ascii="Century Gothic" w:hAnsi="Century Gothic"/>
          <w:sz w:val="22"/>
          <w:szCs w:val="22"/>
        </w:rPr>
      </w:pPr>
      <w:r w:rsidRPr="002657E4">
        <w:rPr>
          <w:rFonts w:ascii="Century Gothic" w:hAnsi="Century Gothic"/>
          <w:sz w:val="22"/>
          <w:szCs w:val="22"/>
        </w:rPr>
        <w:t>La falta de conciencia y educación sobre la importancia de la gestión integral de residuos es un desafío para cambiar los comportamientos y hábitos de la población.</w:t>
      </w:r>
    </w:p>
    <w:p w14:paraId="5841B872" w14:textId="77777777" w:rsidR="002657E4" w:rsidRPr="002657E4" w:rsidRDefault="002657E4" w:rsidP="00E50CE9">
      <w:pPr>
        <w:pStyle w:val="Prrafodelista"/>
        <w:widowControl w:val="0"/>
        <w:numPr>
          <w:ilvl w:val="0"/>
          <w:numId w:val="37"/>
        </w:numPr>
        <w:autoSpaceDE w:val="0"/>
        <w:autoSpaceDN w:val="0"/>
        <w:spacing w:after="0" w:line="360" w:lineRule="auto"/>
        <w:jc w:val="both"/>
        <w:rPr>
          <w:rFonts w:ascii="Century Gothic" w:hAnsi="Century Gothic"/>
          <w:sz w:val="22"/>
          <w:szCs w:val="22"/>
        </w:rPr>
      </w:pPr>
      <w:r w:rsidRPr="002657E4">
        <w:rPr>
          <w:rFonts w:ascii="Century Gothic" w:hAnsi="Century Gothic"/>
          <w:sz w:val="22"/>
          <w:szCs w:val="22"/>
        </w:rPr>
        <w:t>La gestión integral de residuos ofrece oportunidades para la innovación y el desarrollo de nuevas tecnologías y prácticas sostenibles.</w:t>
      </w:r>
    </w:p>
    <w:p w14:paraId="376681E0" w14:textId="77777777" w:rsidR="000D3D0E" w:rsidRDefault="000D3D0E" w:rsidP="000D3D0E">
      <w:pPr>
        <w:pStyle w:val="Prrafodelista"/>
        <w:widowControl w:val="0"/>
        <w:autoSpaceDE w:val="0"/>
        <w:autoSpaceDN w:val="0"/>
        <w:spacing w:after="0" w:line="360" w:lineRule="auto"/>
        <w:jc w:val="both"/>
        <w:rPr>
          <w:rFonts w:ascii="Century Gothic" w:hAnsi="Century Gothic"/>
          <w:sz w:val="22"/>
          <w:szCs w:val="22"/>
        </w:rPr>
      </w:pPr>
    </w:p>
    <w:p w14:paraId="5E98EA69" w14:textId="6E8675EA" w:rsidR="00DD1E72" w:rsidRDefault="002657E4" w:rsidP="00E50CE9">
      <w:pPr>
        <w:pStyle w:val="Prrafodelista"/>
        <w:widowControl w:val="0"/>
        <w:numPr>
          <w:ilvl w:val="0"/>
          <w:numId w:val="37"/>
        </w:numPr>
        <w:autoSpaceDE w:val="0"/>
        <w:autoSpaceDN w:val="0"/>
        <w:spacing w:after="0" w:line="360" w:lineRule="auto"/>
        <w:jc w:val="both"/>
        <w:rPr>
          <w:rFonts w:ascii="Century Gothic" w:hAnsi="Century Gothic"/>
          <w:sz w:val="22"/>
          <w:szCs w:val="22"/>
        </w:rPr>
      </w:pPr>
      <w:r w:rsidRPr="002657E4">
        <w:rPr>
          <w:rFonts w:ascii="Century Gothic" w:hAnsi="Century Gothic"/>
          <w:sz w:val="22"/>
          <w:szCs w:val="22"/>
        </w:rPr>
        <w:t>La gestión integral de residuos puede generar empleos y oportunidades económicas en la industria de la gestión de residuos.</w:t>
      </w:r>
    </w:p>
    <w:p w14:paraId="0FD80D64" w14:textId="77777777" w:rsidR="000D3D0E" w:rsidRPr="00010650" w:rsidRDefault="000D3D0E" w:rsidP="000D3D0E">
      <w:pPr>
        <w:pStyle w:val="Prrafodelista"/>
        <w:widowControl w:val="0"/>
        <w:autoSpaceDE w:val="0"/>
        <w:autoSpaceDN w:val="0"/>
        <w:spacing w:after="0" w:line="360" w:lineRule="auto"/>
        <w:jc w:val="both"/>
        <w:rPr>
          <w:rFonts w:ascii="Century Gothic" w:hAnsi="Century Gothic"/>
          <w:sz w:val="22"/>
          <w:szCs w:val="22"/>
        </w:rPr>
      </w:pPr>
    </w:p>
    <w:p w14:paraId="6E644FC1" w14:textId="77777777" w:rsidR="002657E4" w:rsidRPr="002657E4" w:rsidRDefault="002657E4" w:rsidP="002657E4">
      <w:pPr>
        <w:spacing w:line="360" w:lineRule="auto"/>
        <w:ind w:firstLine="708"/>
        <w:jc w:val="both"/>
        <w:rPr>
          <w:rFonts w:ascii="Century Gothic" w:hAnsi="Century Gothic"/>
          <w:sz w:val="22"/>
          <w:szCs w:val="22"/>
        </w:rPr>
      </w:pPr>
      <w:r w:rsidRPr="002657E4">
        <w:rPr>
          <w:rFonts w:ascii="Century Gothic" w:hAnsi="Century Gothic"/>
          <w:sz w:val="22"/>
          <w:szCs w:val="22"/>
        </w:rPr>
        <w:t>Esta problemática se ha acentuado aún más debido al constante crecimiento poblacional. Según estimaciones recientes, actualmente contamos con una población de aproximadamente 41,105 personas. Este incremento demográfico ha traído consigo un aumento significativo en la generación de residuos, alcanzando un volumen diario estimado de entre 25,627 toneladas de basura doméstica y de servicios. Esta situación representa un gran desafío para la gestión de los desechos, ya que su acumulación y disposición inadecuada pueden generar impactos negativos en el medio ambiente, la salud pública y la calidad de vida de los habitantes.</w:t>
      </w:r>
    </w:p>
    <w:tbl>
      <w:tblPr>
        <w:tblStyle w:val="Tablaconcuadrcula4-nfasis2"/>
        <w:tblW w:w="0" w:type="auto"/>
        <w:tblLook w:val="04A0" w:firstRow="1" w:lastRow="0" w:firstColumn="1" w:lastColumn="0" w:noHBand="0" w:noVBand="1"/>
      </w:tblPr>
      <w:tblGrid>
        <w:gridCol w:w="2946"/>
        <w:gridCol w:w="3170"/>
      </w:tblGrid>
      <w:tr w:rsidR="002657E4" w:rsidRPr="00426E8E" w14:paraId="6C2A0709" w14:textId="77777777" w:rsidTr="000106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28" w:type="dxa"/>
            <w:gridSpan w:val="2"/>
          </w:tcPr>
          <w:p w14:paraId="2CFC753A" w14:textId="77777777" w:rsidR="002657E4" w:rsidRPr="00426E8E" w:rsidRDefault="002657E4" w:rsidP="008035D9">
            <w:pPr>
              <w:rPr>
                <w:rFonts w:ascii="Century Gothic" w:hAnsi="Century Gothic"/>
              </w:rPr>
            </w:pPr>
            <w:r w:rsidRPr="00426E8E">
              <w:rPr>
                <w:rFonts w:ascii="Century Gothic" w:hAnsi="Century Gothic"/>
              </w:rPr>
              <w:t>Volumen promedio de residuos sólidos recolectados por día, 2022 Zona V: Valle de Toluca</w:t>
            </w:r>
          </w:p>
        </w:tc>
      </w:tr>
      <w:tr w:rsidR="002657E4" w:rsidRPr="00426E8E" w14:paraId="32FB01D8" w14:textId="77777777" w:rsidTr="00010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235CE3BA" w14:textId="77777777" w:rsidR="002657E4" w:rsidRPr="00426E8E" w:rsidRDefault="002657E4" w:rsidP="008035D9">
            <w:pPr>
              <w:rPr>
                <w:rFonts w:ascii="Century Gothic" w:hAnsi="Century Gothic"/>
              </w:rPr>
            </w:pPr>
            <w:r w:rsidRPr="00426E8E">
              <w:rPr>
                <w:rFonts w:ascii="Century Gothic" w:hAnsi="Century Gothic"/>
              </w:rPr>
              <w:t>Territorio</w:t>
            </w:r>
          </w:p>
        </w:tc>
        <w:tc>
          <w:tcPr>
            <w:tcW w:w="4414" w:type="dxa"/>
          </w:tcPr>
          <w:p w14:paraId="3D9908FF" w14:textId="77777777" w:rsidR="002657E4" w:rsidRPr="00426E8E" w:rsidRDefault="002657E4"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26E8E">
              <w:rPr>
                <w:rFonts w:ascii="Century Gothic" w:hAnsi="Century Gothic"/>
              </w:rPr>
              <w:t>Volumen diario de residuos sólidos recolectados (Toneladas)</w:t>
            </w:r>
          </w:p>
        </w:tc>
      </w:tr>
      <w:tr w:rsidR="002657E4" w:rsidRPr="00426E8E" w14:paraId="08048F55" w14:textId="77777777" w:rsidTr="00010650">
        <w:tc>
          <w:tcPr>
            <w:cnfStyle w:val="001000000000" w:firstRow="0" w:lastRow="0" w:firstColumn="1" w:lastColumn="0" w:oddVBand="0" w:evenVBand="0" w:oddHBand="0" w:evenHBand="0" w:firstRowFirstColumn="0" w:firstRowLastColumn="0" w:lastRowFirstColumn="0" w:lastRowLastColumn="0"/>
            <w:tcW w:w="4414" w:type="dxa"/>
          </w:tcPr>
          <w:p w14:paraId="628281D3" w14:textId="77777777" w:rsidR="002657E4" w:rsidRPr="00426E8E" w:rsidRDefault="002657E4" w:rsidP="008035D9">
            <w:pPr>
              <w:rPr>
                <w:rFonts w:ascii="Century Gothic" w:hAnsi="Century Gothic"/>
              </w:rPr>
            </w:pPr>
            <w:r w:rsidRPr="00426E8E">
              <w:rPr>
                <w:rFonts w:ascii="Century Gothic" w:hAnsi="Century Gothic"/>
              </w:rPr>
              <w:t>Región 10: Nicolás Romero</w:t>
            </w:r>
          </w:p>
        </w:tc>
        <w:tc>
          <w:tcPr>
            <w:tcW w:w="4414" w:type="dxa"/>
          </w:tcPr>
          <w:p w14:paraId="43BB6AFF" w14:textId="77777777" w:rsidR="002657E4" w:rsidRPr="00426E8E" w:rsidRDefault="002657E4"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26E8E">
              <w:rPr>
                <w:rFonts w:ascii="Century Gothic" w:hAnsi="Century Gothic"/>
              </w:rPr>
              <w:t>382,000</w:t>
            </w:r>
          </w:p>
        </w:tc>
      </w:tr>
      <w:tr w:rsidR="002657E4" w:rsidRPr="00426E8E" w14:paraId="78BC3F77" w14:textId="77777777" w:rsidTr="00010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31FB696D" w14:textId="77777777" w:rsidR="002657E4" w:rsidRPr="00426E8E" w:rsidRDefault="002657E4" w:rsidP="008035D9">
            <w:pPr>
              <w:rPr>
                <w:rFonts w:ascii="Century Gothic" w:hAnsi="Century Gothic"/>
              </w:rPr>
            </w:pPr>
            <w:r w:rsidRPr="00426E8E">
              <w:rPr>
                <w:rFonts w:ascii="Century Gothic" w:hAnsi="Century Gothic"/>
              </w:rPr>
              <w:t>Región 14: Toluca</w:t>
            </w:r>
          </w:p>
        </w:tc>
        <w:tc>
          <w:tcPr>
            <w:tcW w:w="4414" w:type="dxa"/>
          </w:tcPr>
          <w:p w14:paraId="15084142" w14:textId="77777777" w:rsidR="002657E4" w:rsidRPr="00426E8E" w:rsidRDefault="002657E4"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26E8E">
              <w:rPr>
                <w:rFonts w:ascii="Century Gothic" w:hAnsi="Century Gothic"/>
              </w:rPr>
              <w:t>1,042,566</w:t>
            </w:r>
          </w:p>
        </w:tc>
      </w:tr>
      <w:tr w:rsidR="002657E4" w:rsidRPr="00426E8E" w14:paraId="4B45CF8B" w14:textId="77777777" w:rsidTr="00010650">
        <w:tc>
          <w:tcPr>
            <w:cnfStyle w:val="001000000000" w:firstRow="0" w:lastRow="0" w:firstColumn="1" w:lastColumn="0" w:oddVBand="0" w:evenVBand="0" w:oddHBand="0" w:evenHBand="0" w:firstRowFirstColumn="0" w:firstRowLastColumn="0" w:lastRowFirstColumn="0" w:lastRowLastColumn="0"/>
            <w:tcW w:w="4414" w:type="dxa"/>
          </w:tcPr>
          <w:p w14:paraId="68DBA4CD" w14:textId="77777777" w:rsidR="002657E4" w:rsidRPr="00426E8E" w:rsidRDefault="002657E4" w:rsidP="008035D9">
            <w:pPr>
              <w:rPr>
                <w:rFonts w:ascii="Century Gothic" w:hAnsi="Century Gothic"/>
              </w:rPr>
            </w:pPr>
            <w:r w:rsidRPr="00426E8E">
              <w:rPr>
                <w:rFonts w:ascii="Century Gothic" w:hAnsi="Century Gothic"/>
              </w:rPr>
              <w:t>Región 16: Lerma</w:t>
            </w:r>
          </w:p>
        </w:tc>
        <w:tc>
          <w:tcPr>
            <w:tcW w:w="4414" w:type="dxa"/>
          </w:tcPr>
          <w:p w14:paraId="4D4E2DF4" w14:textId="77777777" w:rsidR="002657E4" w:rsidRPr="00426E8E" w:rsidRDefault="002657E4" w:rsidP="008035D9">
            <w:pPr>
              <w:cnfStyle w:val="000000000000" w:firstRow="0" w:lastRow="0" w:firstColumn="0" w:lastColumn="0" w:oddVBand="0" w:evenVBand="0" w:oddHBand="0" w:evenHBand="0" w:firstRowFirstColumn="0" w:firstRowLastColumn="0" w:lastRowFirstColumn="0" w:lastRowLastColumn="0"/>
              <w:rPr>
                <w:rFonts w:ascii="Century Gothic" w:hAnsi="Century Gothic"/>
              </w:rPr>
            </w:pPr>
            <w:r w:rsidRPr="00426E8E">
              <w:rPr>
                <w:rFonts w:ascii="Century Gothic" w:hAnsi="Century Gothic"/>
              </w:rPr>
              <w:t>268,751</w:t>
            </w:r>
          </w:p>
        </w:tc>
      </w:tr>
      <w:tr w:rsidR="002657E4" w:rsidRPr="00426E8E" w14:paraId="44A195A6" w14:textId="77777777" w:rsidTr="00010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tcPr>
          <w:p w14:paraId="5037E289" w14:textId="77777777" w:rsidR="002657E4" w:rsidRPr="00426E8E" w:rsidRDefault="002657E4" w:rsidP="008035D9">
            <w:pPr>
              <w:rPr>
                <w:rFonts w:ascii="Century Gothic" w:hAnsi="Century Gothic"/>
              </w:rPr>
            </w:pPr>
            <w:r w:rsidRPr="00426E8E">
              <w:rPr>
                <w:rFonts w:ascii="Century Gothic" w:hAnsi="Century Gothic"/>
              </w:rPr>
              <w:t>Zona V (Total)</w:t>
            </w:r>
          </w:p>
        </w:tc>
        <w:tc>
          <w:tcPr>
            <w:tcW w:w="4414" w:type="dxa"/>
          </w:tcPr>
          <w:p w14:paraId="0AFA6FD9" w14:textId="77777777" w:rsidR="002657E4" w:rsidRPr="00426E8E" w:rsidRDefault="002657E4" w:rsidP="008035D9">
            <w:pPr>
              <w:cnfStyle w:val="000000100000" w:firstRow="0" w:lastRow="0" w:firstColumn="0" w:lastColumn="0" w:oddVBand="0" w:evenVBand="0" w:oddHBand="1" w:evenHBand="0" w:firstRowFirstColumn="0" w:firstRowLastColumn="0" w:lastRowFirstColumn="0" w:lastRowLastColumn="0"/>
              <w:rPr>
                <w:rFonts w:ascii="Century Gothic" w:hAnsi="Century Gothic"/>
              </w:rPr>
            </w:pPr>
            <w:r w:rsidRPr="00426E8E">
              <w:rPr>
                <w:rFonts w:ascii="Century Gothic" w:hAnsi="Century Gothic"/>
              </w:rPr>
              <w:t>1,693,317</w:t>
            </w:r>
          </w:p>
        </w:tc>
      </w:tr>
    </w:tbl>
    <w:p w14:paraId="24F88DCA" w14:textId="4AB58531" w:rsidR="002657E4" w:rsidRDefault="002657E4">
      <w:pPr>
        <w:rPr>
          <w:rFonts w:ascii="Century Gothic" w:hAnsi="Century Gothic"/>
          <w:color w:val="8DD873" w:themeColor="accent6" w:themeTint="99"/>
          <w:sz w:val="32"/>
          <w:szCs w:val="32"/>
        </w:rPr>
      </w:pPr>
    </w:p>
    <w:p w14:paraId="75940190" w14:textId="77777777" w:rsidR="002657E4" w:rsidRPr="002657E4" w:rsidRDefault="002657E4" w:rsidP="002657E4">
      <w:pPr>
        <w:spacing w:line="360" w:lineRule="auto"/>
        <w:ind w:firstLine="708"/>
        <w:jc w:val="both"/>
        <w:rPr>
          <w:rFonts w:ascii="Century Gothic" w:hAnsi="Century Gothic"/>
          <w:sz w:val="14"/>
          <w:szCs w:val="14"/>
        </w:rPr>
      </w:pPr>
      <w:r w:rsidRPr="002657E4">
        <w:rPr>
          <w:rFonts w:ascii="Century Gothic" w:hAnsi="Century Gothic"/>
          <w:sz w:val="22"/>
          <w:szCs w:val="22"/>
        </w:rPr>
        <w:t>Para llevar a cabo dicha actividad, se cuenta con un equipo conformado por tres personas, quienes serán las encargadas de ejecutar las tareas asignadas de manera eficiente. Además, se dispone de tres unidades recolectoras, las cuales permitirán optimizar el proceso y garantizar una cobertura adecuada en la recolección. La combinación de este personal capacitado y los recursos disponibles asegura un desempeño óptimo, permitiendo cumplir con los objetivos establecidos en el menor tiempo posible y con la mayor eficacia.</w:t>
      </w:r>
    </w:p>
    <w:p w14:paraId="30C38DA8" w14:textId="58E785EA" w:rsidR="002657E4" w:rsidRPr="002657E4" w:rsidRDefault="002657E4">
      <w:pPr>
        <w:rPr>
          <w:rFonts w:ascii="Century Gothic" w:hAnsi="Century Gothic"/>
          <w:color w:val="8DD873" w:themeColor="accent6" w:themeTint="99"/>
          <w:sz w:val="32"/>
          <w:szCs w:val="32"/>
        </w:rPr>
      </w:pPr>
      <w:r>
        <w:rPr>
          <w:noProof/>
        </w:rPr>
        <w:drawing>
          <wp:inline distT="0" distB="0" distL="0" distR="0" wp14:anchorId="45093900" wp14:editId="66566220">
            <wp:extent cx="3890010" cy="2334006"/>
            <wp:effectExtent l="0" t="0" r="15240" b="9525"/>
            <wp:docPr id="14" name="Gráfico 14">
              <a:extLst xmlns:a="http://schemas.openxmlformats.org/drawingml/2006/main">
                <a:ext uri="{FF2B5EF4-FFF2-40B4-BE49-F238E27FC236}">
                  <a16:creationId xmlns:a16="http://schemas.microsoft.com/office/drawing/2014/main" id="{075E7494-A949-4EDA-A9FE-FBF88B8570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A39EC8D" w14:textId="77777777" w:rsidR="002657E4" w:rsidRPr="0075489E" w:rsidRDefault="002657E4" w:rsidP="002657E4">
      <w:pPr>
        <w:spacing w:line="360" w:lineRule="auto"/>
        <w:ind w:firstLine="708"/>
        <w:jc w:val="both"/>
        <w:rPr>
          <w:rFonts w:ascii="Corbel" w:hAnsi="Corbel"/>
        </w:rPr>
      </w:pPr>
    </w:p>
    <w:p w14:paraId="3C35B551" w14:textId="5BED4D41" w:rsidR="002657E4" w:rsidRPr="002657E4" w:rsidRDefault="002657E4" w:rsidP="002657E4">
      <w:pPr>
        <w:spacing w:line="360" w:lineRule="auto"/>
        <w:ind w:firstLine="708"/>
        <w:jc w:val="both"/>
        <w:rPr>
          <w:rFonts w:ascii="Century Gothic" w:hAnsi="Century Gothic"/>
          <w:sz w:val="22"/>
          <w:szCs w:val="22"/>
        </w:rPr>
      </w:pPr>
      <w:r w:rsidRPr="002657E4">
        <w:rPr>
          <w:rFonts w:ascii="Century Gothic" w:hAnsi="Century Gothic"/>
          <w:sz w:val="22"/>
          <w:szCs w:val="22"/>
        </w:rPr>
        <w:t>En San Antonio la Isla, se cuenta con un relleno sanitario ubicado en: Camino de los cruzados, San Antonio la Isla, que colinda con el Camino viejo a Calimaya, aquí mismo se realiza la separación y manejo de estos. El relleno sanitario cuenta con las Licencias de funcionamiento y de uso de suelo, Dictámenes de Impacto Regional y de Protección Civil y Visita de Jurisdicción Sanitaria.</w:t>
      </w:r>
    </w:p>
    <w:p w14:paraId="5CFA630C" w14:textId="77777777" w:rsidR="002657E4" w:rsidRDefault="00DD1E72">
      <w:pPr>
        <w:rPr>
          <w:color w:val="8DD873" w:themeColor="accent6" w:themeTint="99"/>
          <w:sz w:val="36"/>
          <w:szCs w:val="36"/>
        </w:rPr>
        <w:sectPr w:rsidR="002657E4" w:rsidSect="00DD1E72">
          <w:pgSz w:w="15840" w:h="12240" w:orient="landscape"/>
          <w:pgMar w:top="1440" w:right="1440" w:bottom="1440" w:left="1440" w:header="709" w:footer="709" w:gutter="0"/>
          <w:cols w:num="2" w:space="708"/>
          <w:docGrid w:linePitch="360"/>
        </w:sectPr>
      </w:pPr>
      <w:r>
        <w:rPr>
          <w:color w:val="8DD873" w:themeColor="accent6" w:themeTint="99"/>
          <w:sz w:val="36"/>
          <w:szCs w:val="36"/>
        </w:rPr>
        <w:br w:type="page"/>
      </w:r>
    </w:p>
    <w:p w14:paraId="1AE3D5A7" w14:textId="77777777" w:rsidR="002657E4" w:rsidRDefault="002657E4">
      <w:pPr>
        <w:rPr>
          <w:rFonts w:ascii="Corbel" w:hAnsi="Corbel"/>
          <w:b/>
          <w:color w:val="8DD873" w:themeColor="accent6" w:themeTint="99"/>
          <w:sz w:val="28"/>
          <w:szCs w:val="28"/>
        </w:rPr>
      </w:pPr>
      <w:r w:rsidRPr="00C11115">
        <w:rPr>
          <w:rFonts w:ascii="Corbel" w:hAnsi="Corbel"/>
          <w:b/>
          <w:color w:val="8DD873" w:themeColor="accent6" w:themeTint="99"/>
          <w:sz w:val="28"/>
          <w:szCs w:val="28"/>
        </w:rPr>
        <w:lastRenderedPageBreak/>
        <w:t xml:space="preserve">Análisis Prospectivo </w:t>
      </w:r>
    </w:p>
    <w:tbl>
      <w:tblPr>
        <w:tblStyle w:val="Tablaconcuadrcula4-nfasis2"/>
        <w:tblW w:w="5000" w:type="pct"/>
        <w:tblLook w:val="01E0" w:firstRow="1" w:lastRow="1" w:firstColumn="1" w:lastColumn="1" w:noHBand="0" w:noVBand="0"/>
      </w:tblPr>
      <w:tblGrid>
        <w:gridCol w:w="3237"/>
        <w:gridCol w:w="4740"/>
        <w:gridCol w:w="4973"/>
      </w:tblGrid>
      <w:tr w:rsidR="002657E4" w14:paraId="288AC982" w14:textId="77777777" w:rsidTr="0001065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50" w:type="pct"/>
          </w:tcPr>
          <w:p w14:paraId="3C387A96" w14:textId="77777777" w:rsidR="002657E4" w:rsidRPr="00551407" w:rsidRDefault="002657E4" w:rsidP="008035D9">
            <w:pPr>
              <w:pStyle w:val="TableParagraph"/>
              <w:spacing w:before="7" w:line="252" w:lineRule="exact"/>
              <w:ind w:left="206"/>
              <w:rPr>
                <w:rFonts w:ascii="Corbel" w:hAnsi="Corbel"/>
                <w:b w:val="0"/>
              </w:rPr>
            </w:pPr>
            <w:r w:rsidRPr="00551407">
              <w:rPr>
                <w:rFonts w:ascii="Corbel" w:hAnsi="Corbel"/>
                <w:w w:val="90"/>
              </w:rPr>
              <w:t>Tema</w:t>
            </w:r>
            <w:r w:rsidRPr="00551407">
              <w:rPr>
                <w:rFonts w:ascii="Corbel" w:hAnsi="Corbel"/>
                <w:spacing w:val="12"/>
              </w:rPr>
              <w:t xml:space="preserve"> </w:t>
            </w:r>
            <w:r w:rsidRPr="00551407">
              <w:rPr>
                <w:rFonts w:ascii="Corbel" w:hAnsi="Corbel"/>
                <w:w w:val="90"/>
              </w:rPr>
              <w:t>de</w:t>
            </w:r>
            <w:r w:rsidRPr="00551407">
              <w:rPr>
                <w:rFonts w:ascii="Corbel" w:hAnsi="Corbel"/>
                <w:spacing w:val="13"/>
              </w:rPr>
              <w:t xml:space="preserve"> </w:t>
            </w:r>
            <w:r w:rsidRPr="00551407">
              <w:rPr>
                <w:rFonts w:ascii="Corbel" w:hAnsi="Corbel"/>
                <w:w w:val="90"/>
              </w:rPr>
              <w:t>Desarrollo</w:t>
            </w:r>
            <w:r w:rsidRPr="00551407">
              <w:rPr>
                <w:rFonts w:ascii="Corbel" w:hAnsi="Corbel"/>
                <w:spacing w:val="15"/>
              </w:rPr>
              <w:t xml:space="preserve"> </w:t>
            </w:r>
          </w:p>
        </w:tc>
        <w:tc>
          <w:tcPr>
            <w:cnfStyle w:val="000010000000" w:firstRow="0" w:lastRow="0" w:firstColumn="0" w:lastColumn="0" w:oddVBand="1" w:evenVBand="0" w:oddHBand="0" w:evenHBand="0" w:firstRowFirstColumn="0" w:firstRowLastColumn="0" w:lastRowFirstColumn="0" w:lastRowLastColumn="0"/>
            <w:tcW w:w="1830" w:type="pct"/>
          </w:tcPr>
          <w:p w14:paraId="5DC3AB33" w14:textId="77777777" w:rsidR="002657E4" w:rsidRPr="00551407" w:rsidRDefault="002657E4" w:rsidP="008035D9">
            <w:pPr>
              <w:pStyle w:val="TableParagraph"/>
              <w:spacing w:before="7" w:line="252" w:lineRule="exact"/>
              <w:ind w:left="957"/>
              <w:rPr>
                <w:rFonts w:ascii="Corbel" w:hAnsi="Corbel"/>
                <w:b w:val="0"/>
              </w:rPr>
            </w:pPr>
            <w:r w:rsidRPr="00551407">
              <w:rPr>
                <w:rFonts w:ascii="Corbel" w:hAnsi="Corbel"/>
                <w:w w:val="90"/>
              </w:rPr>
              <w:t>Escenario</w:t>
            </w:r>
            <w:r w:rsidRPr="00551407">
              <w:rPr>
                <w:rFonts w:ascii="Corbel" w:hAnsi="Corbel"/>
                <w:spacing w:val="31"/>
              </w:rPr>
              <w:t xml:space="preserve"> </w:t>
            </w:r>
            <w:r w:rsidRPr="00551407">
              <w:rPr>
                <w:rFonts w:ascii="Corbel" w:hAnsi="Corbel"/>
                <w:spacing w:val="-2"/>
              </w:rPr>
              <w:t>Tendencial</w:t>
            </w:r>
          </w:p>
        </w:tc>
        <w:tc>
          <w:tcPr>
            <w:cnfStyle w:val="000100000000" w:firstRow="0" w:lastRow="0" w:firstColumn="0" w:lastColumn="1" w:oddVBand="0" w:evenVBand="0" w:oddHBand="0" w:evenHBand="0" w:firstRowFirstColumn="0" w:firstRowLastColumn="0" w:lastRowFirstColumn="0" w:lastRowLastColumn="0"/>
            <w:tcW w:w="1920" w:type="pct"/>
          </w:tcPr>
          <w:p w14:paraId="368BB425" w14:textId="77777777" w:rsidR="002657E4" w:rsidRPr="00551407" w:rsidRDefault="002657E4" w:rsidP="008035D9">
            <w:pPr>
              <w:pStyle w:val="TableParagraph"/>
              <w:spacing w:before="7" w:line="252" w:lineRule="exact"/>
              <w:ind w:left="1727"/>
              <w:jc w:val="both"/>
              <w:rPr>
                <w:rFonts w:ascii="Corbel" w:hAnsi="Corbel"/>
                <w:b w:val="0"/>
              </w:rPr>
            </w:pPr>
            <w:r w:rsidRPr="00551407">
              <w:rPr>
                <w:rFonts w:ascii="Corbel" w:hAnsi="Corbel"/>
                <w:w w:val="90"/>
              </w:rPr>
              <w:t>Escenario</w:t>
            </w:r>
            <w:r w:rsidRPr="00551407">
              <w:rPr>
                <w:rFonts w:ascii="Corbel" w:hAnsi="Corbel"/>
                <w:spacing w:val="24"/>
              </w:rPr>
              <w:t xml:space="preserve"> </w:t>
            </w:r>
            <w:r w:rsidRPr="00551407">
              <w:rPr>
                <w:rFonts w:ascii="Corbel" w:hAnsi="Corbel"/>
                <w:spacing w:val="-2"/>
              </w:rPr>
              <w:t>Factible</w:t>
            </w:r>
          </w:p>
        </w:tc>
      </w:tr>
      <w:tr w:rsidR="002657E4" w14:paraId="41CC00D8" w14:textId="77777777" w:rsidTr="00010650">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250" w:type="pct"/>
          </w:tcPr>
          <w:p w14:paraId="6F614070" w14:textId="77777777" w:rsidR="002657E4" w:rsidRPr="00B70639" w:rsidRDefault="002657E4" w:rsidP="008035D9">
            <w:pPr>
              <w:pStyle w:val="TableParagraph"/>
              <w:spacing w:before="2"/>
              <w:ind w:left="107"/>
              <w:rPr>
                <w:rFonts w:ascii="Corbel" w:hAnsi="Corbel"/>
                <w:sz w:val="16"/>
                <w:szCs w:val="16"/>
              </w:rPr>
            </w:pPr>
            <w:r w:rsidRPr="00986595">
              <w:rPr>
                <w:rFonts w:ascii="Corbel" w:hAnsi="Corbel"/>
                <w:sz w:val="16"/>
                <w:szCs w:val="16"/>
              </w:rPr>
              <w:t>Agua para todos, “hacia un nuevo modelo de gestión del agua</w:t>
            </w:r>
          </w:p>
        </w:tc>
        <w:tc>
          <w:tcPr>
            <w:cnfStyle w:val="000010000000" w:firstRow="0" w:lastRow="0" w:firstColumn="0" w:lastColumn="0" w:oddVBand="1" w:evenVBand="0" w:oddHBand="0" w:evenHBand="0" w:firstRowFirstColumn="0" w:firstRowLastColumn="0" w:lastRowFirstColumn="0" w:lastRowLastColumn="0"/>
            <w:tcW w:w="1830" w:type="pct"/>
          </w:tcPr>
          <w:p w14:paraId="00F1FC15" w14:textId="77777777" w:rsidR="002657E4" w:rsidRPr="00B70639" w:rsidRDefault="002657E4" w:rsidP="008035D9">
            <w:pPr>
              <w:pStyle w:val="TableParagraph"/>
              <w:spacing w:line="242" w:lineRule="exact"/>
              <w:ind w:left="108"/>
              <w:jc w:val="both"/>
              <w:rPr>
                <w:rFonts w:ascii="Corbel" w:hAnsi="Corbel"/>
                <w:sz w:val="16"/>
                <w:szCs w:val="16"/>
              </w:rPr>
            </w:pPr>
            <w:r w:rsidRPr="007140A1">
              <w:rPr>
                <w:rFonts w:ascii="Corbel" w:hAnsi="Corbel"/>
                <w:bCs/>
                <w:sz w:val="16"/>
                <w:szCs w:val="16"/>
                <w:lang w:val="es-MX"/>
              </w:rPr>
              <w:t>En los últimos 50 años, las temperaturas promedio han aumentado y se ha modificado la distribución de las lluvias en el territorio. </w:t>
            </w:r>
            <w:r>
              <w:rPr>
                <w:rFonts w:ascii="Corbel" w:hAnsi="Corbel"/>
                <w:bCs/>
                <w:sz w:val="16"/>
                <w:szCs w:val="16"/>
                <w:lang w:val="es-MX"/>
              </w:rPr>
              <w:t xml:space="preserve">Aunado a la </w:t>
            </w:r>
            <w:r>
              <w:rPr>
                <w:rFonts w:ascii="Corbel" w:hAnsi="Corbel"/>
                <w:sz w:val="16"/>
                <w:szCs w:val="16"/>
              </w:rPr>
              <w:t>falta de una cultura sobre el cuidado del agua, que hace que cada día sea más escasa.</w:t>
            </w:r>
          </w:p>
        </w:tc>
        <w:tc>
          <w:tcPr>
            <w:cnfStyle w:val="000100000000" w:firstRow="0" w:lastRow="0" w:firstColumn="0" w:lastColumn="1" w:oddVBand="0" w:evenVBand="0" w:oddHBand="0" w:evenHBand="0" w:firstRowFirstColumn="0" w:firstRowLastColumn="0" w:lastRowFirstColumn="0" w:lastRowLastColumn="0"/>
            <w:tcW w:w="1920" w:type="pct"/>
          </w:tcPr>
          <w:p w14:paraId="5E605A9D" w14:textId="77777777" w:rsidR="002657E4" w:rsidRPr="0068373F" w:rsidRDefault="002657E4" w:rsidP="008035D9">
            <w:pPr>
              <w:pStyle w:val="TableParagraph"/>
              <w:spacing w:before="2" w:line="278" w:lineRule="auto"/>
              <w:ind w:left="107" w:right="201"/>
              <w:jc w:val="both"/>
              <w:rPr>
                <w:rFonts w:ascii="Corbel" w:hAnsi="Corbel"/>
                <w:w w:val="95"/>
                <w:sz w:val="16"/>
                <w:szCs w:val="16"/>
                <w:lang w:val="es-MX"/>
              </w:rPr>
            </w:pPr>
            <w:r>
              <w:rPr>
                <w:rFonts w:ascii="Corbel" w:hAnsi="Corbel"/>
                <w:w w:val="95"/>
                <w:sz w:val="16"/>
                <w:szCs w:val="16"/>
                <w:lang w:val="es-MX"/>
              </w:rPr>
              <w:t xml:space="preserve">Fortalecer el </w:t>
            </w:r>
            <w:r w:rsidRPr="0068373F">
              <w:rPr>
                <w:rFonts w:ascii="Corbel" w:hAnsi="Corbel"/>
                <w:w w:val="95"/>
                <w:sz w:val="16"/>
                <w:szCs w:val="16"/>
                <w:lang w:val="es-MX"/>
              </w:rPr>
              <w:t>sistema de infraestructura permite suministrar agua potable a los hogares, negocios y edificios en una comunidad, al mismo tiempo que se encarga de recolectar y eliminar las aguas residuales y pluviales de manera segura y eficiente.</w:t>
            </w:r>
          </w:p>
          <w:p w14:paraId="31812097" w14:textId="77777777" w:rsidR="002657E4" w:rsidRPr="00B70639" w:rsidRDefault="002657E4" w:rsidP="008035D9">
            <w:pPr>
              <w:pStyle w:val="TableParagraph"/>
              <w:spacing w:before="2" w:line="278" w:lineRule="auto"/>
              <w:ind w:left="107" w:right="201"/>
              <w:jc w:val="both"/>
              <w:rPr>
                <w:rFonts w:ascii="Corbel" w:hAnsi="Corbel"/>
                <w:sz w:val="16"/>
                <w:szCs w:val="16"/>
              </w:rPr>
            </w:pPr>
          </w:p>
        </w:tc>
      </w:tr>
      <w:tr w:rsidR="002657E4" w14:paraId="673179CA" w14:textId="77777777" w:rsidTr="00010650">
        <w:trPr>
          <w:trHeight w:val="792"/>
        </w:trPr>
        <w:tc>
          <w:tcPr>
            <w:cnfStyle w:val="001000000000" w:firstRow="0" w:lastRow="0" w:firstColumn="1" w:lastColumn="0" w:oddVBand="0" w:evenVBand="0" w:oddHBand="0" w:evenHBand="0" w:firstRowFirstColumn="0" w:firstRowLastColumn="0" w:lastRowFirstColumn="0" w:lastRowLastColumn="0"/>
            <w:tcW w:w="1250" w:type="pct"/>
          </w:tcPr>
          <w:p w14:paraId="4A493CF4" w14:textId="77777777" w:rsidR="002657E4" w:rsidRPr="00B70639" w:rsidRDefault="002657E4" w:rsidP="008035D9">
            <w:pPr>
              <w:pStyle w:val="TableParagraph"/>
              <w:spacing w:before="2"/>
              <w:ind w:left="107"/>
              <w:jc w:val="both"/>
              <w:rPr>
                <w:rFonts w:ascii="Corbel" w:hAnsi="Corbel"/>
                <w:w w:val="85"/>
                <w:sz w:val="16"/>
                <w:szCs w:val="16"/>
              </w:rPr>
            </w:pPr>
            <w:r w:rsidRPr="00986595">
              <w:rPr>
                <w:rFonts w:ascii="Corbel" w:hAnsi="Corbel"/>
                <w:sz w:val="16"/>
                <w:szCs w:val="16"/>
              </w:rPr>
              <w:t>Restauración, conservación y mejora de los bosques y del medio ambiente</w:t>
            </w:r>
          </w:p>
        </w:tc>
        <w:tc>
          <w:tcPr>
            <w:cnfStyle w:val="000010000000" w:firstRow="0" w:lastRow="0" w:firstColumn="0" w:lastColumn="0" w:oddVBand="1" w:evenVBand="0" w:oddHBand="0" w:evenHBand="0" w:firstRowFirstColumn="0" w:firstRowLastColumn="0" w:lastRowFirstColumn="0" w:lastRowLastColumn="0"/>
            <w:tcW w:w="1830" w:type="pct"/>
          </w:tcPr>
          <w:p w14:paraId="76B4385A" w14:textId="77777777" w:rsidR="002657E4" w:rsidRPr="00D42068" w:rsidRDefault="002657E4" w:rsidP="008035D9">
            <w:pPr>
              <w:pStyle w:val="TableParagraph"/>
              <w:spacing w:before="146" w:line="278" w:lineRule="auto"/>
              <w:ind w:right="204"/>
              <w:jc w:val="both"/>
              <w:rPr>
                <w:rFonts w:ascii="Corbel" w:hAnsi="Corbel"/>
                <w:sz w:val="16"/>
                <w:szCs w:val="16"/>
              </w:rPr>
            </w:pPr>
            <w:r w:rsidRPr="00D42068">
              <w:rPr>
                <w:rFonts w:ascii="Corbel" w:hAnsi="Corbel"/>
                <w:sz w:val="16"/>
                <w:szCs w:val="16"/>
              </w:rPr>
              <w:t>Sigue ocupando la mayor parte de la extensión</w:t>
            </w:r>
            <w:r w:rsidRPr="00D42068">
              <w:rPr>
                <w:rFonts w:ascii="Corbel" w:hAnsi="Corbel"/>
                <w:spacing w:val="-18"/>
                <w:sz w:val="16"/>
                <w:szCs w:val="16"/>
              </w:rPr>
              <w:t xml:space="preserve"> </w:t>
            </w:r>
            <w:r w:rsidRPr="00D42068">
              <w:rPr>
                <w:rFonts w:ascii="Corbel" w:hAnsi="Corbel"/>
                <w:sz w:val="16"/>
                <w:szCs w:val="16"/>
              </w:rPr>
              <w:t>territorial</w:t>
            </w:r>
            <w:r w:rsidRPr="00D42068">
              <w:rPr>
                <w:rFonts w:ascii="Corbel" w:hAnsi="Corbel"/>
                <w:spacing w:val="-16"/>
                <w:sz w:val="16"/>
                <w:szCs w:val="16"/>
              </w:rPr>
              <w:t xml:space="preserve"> </w:t>
            </w:r>
            <w:r w:rsidRPr="00D42068">
              <w:rPr>
                <w:rFonts w:ascii="Corbel" w:hAnsi="Corbel"/>
                <w:sz w:val="16"/>
                <w:szCs w:val="16"/>
              </w:rPr>
              <w:t>del</w:t>
            </w:r>
            <w:r w:rsidRPr="00D42068">
              <w:rPr>
                <w:rFonts w:ascii="Corbel" w:hAnsi="Corbel"/>
                <w:spacing w:val="-16"/>
                <w:sz w:val="16"/>
                <w:szCs w:val="16"/>
              </w:rPr>
              <w:t xml:space="preserve"> </w:t>
            </w:r>
            <w:r w:rsidRPr="00D42068">
              <w:rPr>
                <w:rFonts w:ascii="Corbel" w:hAnsi="Corbel"/>
                <w:sz w:val="16"/>
                <w:szCs w:val="16"/>
              </w:rPr>
              <w:t>municipio</w:t>
            </w:r>
            <w:r w:rsidRPr="00D42068">
              <w:rPr>
                <w:rFonts w:ascii="Corbel" w:hAnsi="Corbel"/>
                <w:spacing w:val="-18"/>
                <w:sz w:val="16"/>
                <w:szCs w:val="16"/>
              </w:rPr>
              <w:t xml:space="preserve"> </w:t>
            </w:r>
            <w:r w:rsidRPr="00D42068">
              <w:rPr>
                <w:rFonts w:ascii="Corbel" w:hAnsi="Corbel"/>
                <w:sz w:val="16"/>
                <w:szCs w:val="16"/>
              </w:rPr>
              <w:t xml:space="preserve">para las actividades agrícolas, y por </w:t>
            </w:r>
            <w:r w:rsidRPr="00D42068">
              <w:rPr>
                <w:rFonts w:ascii="Corbel" w:hAnsi="Corbel"/>
                <w:spacing w:val="-4"/>
                <w:sz w:val="16"/>
                <w:szCs w:val="16"/>
              </w:rPr>
              <w:t>consiguiente</w:t>
            </w:r>
            <w:r w:rsidRPr="00D42068">
              <w:rPr>
                <w:rFonts w:ascii="Corbel" w:hAnsi="Corbel"/>
                <w:spacing w:val="-13"/>
                <w:sz w:val="16"/>
                <w:szCs w:val="16"/>
              </w:rPr>
              <w:t xml:space="preserve"> </w:t>
            </w:r>
            <w:r w:rsidRPr="00D42068">
              <w:rPr>
                <w:rFonts w:ascii="Corbel" w:hAnsi="Corbel"/>
                <w:spacing w:val="-4"/>
                <w:sz w:val="16"/>
                <w:szCs w:val="16"/>
              </w:rPr>
              <w:t>el</w:t>
            </w:r>
            <w:r w:rsidRPr="00D42068">
              <w:rPr>
                <w:rFonts w:ascii="Corbel" w:hAnsi="Corbel"/>
                <w:spacing w:val="-12"/>
                <w:sz w:val="16"/>
                <w:szCs w:val="16"/>
              </w:rPr>
              <w:t xml:space="preserve"> </w:t>
            </w:r>
            <w:r w:rsidRPr="00D42068">
              <w:rPr>
                <w:rFonts w:ascii="Corbel" w:hAnsi="Corbel"/>
                <w:spacing w:val="-4"/>
                <w:sz w:val="16"/>
                <w:szCs w:val="16"/>
              </w:rPr>
              <w:t>resto</w:t>
            </w:r>
            <w:r w:rsidRPr="00D42068">
              <w:rPr>
                <w:rFonts w:ascii="Corbel" w:hAnsi="Corbel"/>
                <w:spacing w:val="-13"/>
                <w:sz w:val="16"/>
                <w:szCs w:val="16"/>
              </w:rPr>
              <w:t xml:space="preserve"> </w:t>
            </w:r>
            <w:r w:rsidRPr="00D42068">
              <w:rPr>
                <w:rFonts w:ascii="Corbel" w:hAnsi="Corbel"/>
                <w:spacing w:val="-4"/>
                <w:sz w:val="16"/>
                <w:szCs w:val="16"/>
              </w:rPr>
              <w:t>del</w:t>
            </w:r>
            <w:r w:rsidRPr="00D42068">
              <w:rPr>
                <w:rFonts w:ascii="Corbel" w:hAnsi="Corbel"/>
                <w:spacing w:val="-9"/>
                <w:sz w:val="16"/>
                <w:szCs w:val="16"/>
              </w:rPr>
              <w:t xml:space="preserve"> </w:t>
            </w:r>
            <w:r w:rsidRPr="00D42068">
              <w:rPr>
                <w:rFonts w:ascii="Corbel" w:hAnsi="Corbel"/>
                <w:spacing w:val="-4"/>
                <w:sz w:val="16"/>
                <w:szCs w:val="16"/>
              </w:rPr>
              <w:t>suelo</w:t>
            </w:r>
            <w:r w:rsidRPr="00D42068">
              <w:rPr>
                <w:rFonts w:ascii="Corbel" w:hAnsi="Corbel"/>
                <w:spacing w:val="-11"/>
                <w:sz w:val="16"/>
                <w:szCs w:val="16"/>
              </w:rPr>
              <w:t xml:space="preserve"> </w:t>
            </w:r>
            <w:r w:rsidRPr="00D42068">
              <w:rPr>
                <w:rFonts w:ascii="Corbel" w:hAnsi="Corbel"/>
                <w:spacing w:val="-4"/>
                <w:sz w:val="16"/>
                <w:szCs w:val="16"/>
              </w:rPr>
              <w:t xml:space="preserve">municipal </w:t>
            </w:r>
            <w:r w:rsidRPr="00D42068">
              <w:rPr>
                <w:rFonts w:ascii="Corbel" w:hAnsi="Corbel"/>
                <w:sz w:val="16"/>
                <w:szCs w:val="16"/>
              </w:rPr>
              <w:t>en</w:t>
            </w:r>
            <w:r w:rsidRPr="00D42068">
              <w:rPr>
                <w:rFonts w:ascii="Corbel" w:hAnsi="Corbel"/>
                <w:spacing w:val="-5"/>
                <w:sz w:val="16"/>
                <w:szCs w:val="16"/>
              </w:rPr>
              <w:t xml:space="preserve"> </w:t>
            </w:r>
            <w:r w:rsidRPr="00D42068">
              <w:rPr>
                <w:rFonts w:ascii="Corbel" w:hAnsi="Corbel"/>
                <w:sz w:val="16"/>
                <w:szCs w:val="16"/>
              </w:rPr>
              <w:t>uso</w:t>
            </w:r>
            <w:r w:rsidRPr="00D42068">
              <w:rPr>
                <w:rFonts w:ascii="Corbel" w:hAnsi="Corbel"/>
                <w:spacing w:val="-6"/>
                <w:sz w:val="16"/>
                <w:szCs w:val="16"/>
              </w:rPr>
              <w:t xml:space="preserve"> </w:t>
            </w:r>
            <w:r w:rsidRPr="00D42068">
              <w:rPr>
                <w:rFonts w:ascii="Corbel" w:hAnsi="Corbel"/>
                <w:sz w:val="16"/>
                <w:szCs w:val="16"/>
              </w:rPr>
              <w:t>urbano,</w:t>
            </w:r>
            <w:r w:rsidRPr="00D42068">
              <w:rPr>
                <w:rFonts w:ascii="Corbel" w:hAnsi="Corbel"/>
                <w:spacing w:val="-9"/>
                <w:sz w:val="16"/>
                <w:szCs w:val="16"/>
              </w:rPr>
              <w:t xml:space="preserve"> </w:t>
            </w:r>
            <w:r w:rsidRPr="00D42068">
              <w:rPr>
                <w:rFonts w:ascii="Corbel" w:hAnsi="Corbel"/>
                <w:sz w:val="16"/>
                <w:szCs w:val="16"/>
              </w:rPr>
              <w:t>industria</w:t>
            </w:r>
            <w:r w:rsidRPr="00D42068">
              <w:rPr>
                <w:rFonts w:ascii="Corbel" w:hAnsi="Corbel"/>
                <w:spacing w:val="-5"/>
                <w:sz w:val="16"/>
                <w:szCs w:val="16"/>
              </w:rPr>
              <w:t xml:space="preserve"> </w:t>
            </w:r>
            <w:r w:rsidRPr="00D42068">
              <w:rPr>
                <w:rFonts w:ascii="Corbel" w:hAnsi="Corbel"/>
                <w:sz w:val="16"/>
                <w:szCs w:val="16"/>
              </w:rPr>
              <w:t>y</w:t>
            </w:r>
            <w:r w:rsidRPr="00D42068">
              <w:rPr>
                <w:rFonts w:ascii="Corbel" w:hAnsi="Corbel"/>
                <w:spacing w:val="-7"/>
                <w:sz w:val="16"/>
                <w:szCs w:val="16"/>
              </w:rPr>
              <w:t xml:space="preserve"> </w:t>
            </w:r>
            <w:r w:rsidRPr="00D42068">
              <w:rPr>
                <w:rFonts w:ascii="Corbel" w:hAnsi="Corbel"/>
                <w:sz w:val="16"/>
                <w:szCs w:val="16"/>
              </w:rPr>
              <w:t>comercio.</w:t>
            </w:r>
          </w:p>
        </w:tc>
        <w:tc>
          <w:tcPr>
            <w:cnfStyle w:val="000100000000" w:firstRow="0" w:lastRow="0" w:firstColumn="0" w:lastColumn="1" w:oddVBand="0" w:evenVBand="0" w:oddHBand="0" w:evenHBand="0" w:firstRowFirstColumn="0" w:firstRowLastColumn="0" w:lastRowFirstColumn="0" w:lastRowLastColumn="0"/>
            <w:tcW w:w="1920" w:type="pct"/>
          </w:tcPr>
          <w:p w14:paraId="7AE2BB1E" w14:textId="77777777" w:rsidR="002657E4" w:rsidRPr="00B70639" w:rsidRDefault="002657E4" w:rsidP="008035D9">
            <w:pPr>
              <w:pStyle w:val="TableParagraph"/>
              <w:spacing w:before="4" w:line="278" w:lineRule="auto"/>
              <w:ind w:left="107" w:right="205"/>
              <w:jc w:val="both"/>
              <w:rPr>
                <w:rFonts w:ascii="Corbel" w:hAnsi="Corbel"/>
                <w:sz w:val="16"/>
                <w:szCs w:val="16"/>
              </w:rPr>
            </w:pPr>
            <w:r w:rsidRPr="007F75CF">
              <w:rPr>
                <w:rFonts w:ascii="Corbel" w:hAnsi="Corbel"/>
                <w:sz w:val="16"/>
                <w:szCs w:val="16"/>
              </w:rPr>
              <w:t>Reducir la contaminación por las actividades en el municipio</w:t>
            </w:r>
            <w:r>
              <w:rPr>
                <w:rFonts w:ascii="Corbel" w:hAnsi="Corbel"/>
                <w:sz w:val="16"/>
                <w:szCs w:val="16"/>
              </w:rPr>
              <w:t>,</w:t>
            </w:r>
            <w:r w:rsidRPr="007F75CF">
              <w:rPr>
                <w:rFonts w:ascii="Corbel" w:hAnsi="Corbel"/>
                <w:sz w:val="16"/>
                <w:szCs w:val="16"/>
              </w:rPr>
              <w:t xml:space="preserve"> teniendo así un impacto en el cambio climático.</w:t>
            </w:r>
          </w:p>
        </w:tc>
      </w:tr>
      <w:tr w:rsidR="002657E4" w14:paraId="1090F56F" w14:textId="77777777" w:rsidTr="00010650">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250" w:type="pct"/>
          </w:tcPr>
          <w:p w14:paraId="701A1904" w14:textId="77777777" w:rsidR="002657E4" w:rsidRPr="00B70639" w:rsidRDefault="002657E4" w:rsidP="008035D9">
            <w:pPr>
              <w:pStyle w:val="TableParagraph"/>
              <w:spacing w:before="2"/>
              <w:jc w:val="both"/>
              <w:rPr>
                <w:rFonts w:ascii="Corbel" w:hAnsi="Corbel"/>
                <w:w w:val="85"/>
                <w:sz w:val="16"/>
                <w:szCs w:val="16"/>
              </w:rPr>
            </w:pPr>
            <w:r>
              <w:rPr>
                <w:rFonts w:ascii="Corbel" w:hAnsi="Corbel"/>
                <w:sz w:val="16"/>
                <w:szCs w:val="16"/>
              </w:rPr>
              <w:t xml:space="preserve">   </w:t>
            </w:r>
            <w:r w:rsidRPr="00986595">
              <w:rPr>
                <w:rFonts w:ascii="Corbel" w:hAnsi="Corbel"/>
                <w:sz w:val="16"/>
                <w:szCs w:val="16"/>
              </w:rPr>
              <w:t xml:space="preserve"> Protección animal</w:t>
            </w:r>
          </w:p>
        </w:tc>
        <w:tc>
          <w:tcPr>
            <w:cnfStyle w:val="000010000000" w:firstRow="0" w:lastRow="0" w:firstColumn="0" w:lastColumn="0" w:oddVBand="1" w:evenVBand="0" w:oddHBand="0" w:evenHBand="0" w:firstRowFirstColumn="0" w:firstRowLastColumn="0" w:lastRowFirstColumn="0" w:lastRowLastColumn="0"/>
            <w:tcW w:w="1830" w:type="pct"/>
          </w:tcPr>
          <w:p w14:paraId="343E981A" w14:textId="77777777" w:rsidR="002657E4" w:rsidRPr="00B70639" w:rsidRDefault="002657E4" w:rsidP="008035D9">
            <w:pPr>
              <w:pStyle w:val="TableParagraph"/>
              <w:spacing w:before="146" w:line="278" w:lineRule="auto"/>
              <w:ind w:right="204"/>
              <w:jc w:val="both"/>
              <w:rPr>
                <w:rFonts w:ascii="Corbel" w:hAnsi="Corbel"/>
                <w:sz w:val="16"/>
                <w:szCs w:val="16"/>
              </w:rPr>
            </w:pPr>
            <w:r>
              <w:rPr>
                <w:rFonts w:ascii="Corbel" w:hAnsi="Corbel"/>
                <w:bCs/>
                <w:sz w:val="16"/>
                <w:szCs w:val="16"/>
                <w:lang w:val="es-MX"/>
              </w:rPr>
              <w:t xml:space="preserve">No se atiende ni protege a </w:t>
            </w:r>
            <w:r w:rsidRPr="00227F88">
              <w:rPr>
                <w:rFonts w:ascii="Corbel" w:hAnsi="Corbel"/>
                <w:bCs/>
                <w:sz w:val="16"/>
                <w:szCs w:val="16"/>
                <w:lang w:val="es-MX"/>
              </w:rPr>
              <w:t>la fauna doméstica</w:t>
            </w:r>
            <w:r>
              <w:rPr>
                <w:rFonts w:ascii="Corbel" w:hAnsi="Corbel"/>
                <w:bCs/>
                <w:sz w:val="16"/>
                <w:szCs w:val="16"/>
                <w:lang w:val="es-MX"/>
              </w:rPr>
              <w:t xml:space="preserve">, debido a que nos existen </w:t>
            </w:r>
            <w:r w:rsidRPr="00227F88">
              <w:rPr>
                <w:rFonts w:ascii="Corbel" w:hAnsi="Corbel"/>
                <w:bCs/>
                <w:sz w:val="16"/>
                <w:szCs w:val="16"/>
                <w:lang w:val="es-MX"/>
              </w:rPr>
              <w:t>canales de comunicación que permitan la interacción con el sector social dedicado a la protección y al bienestar animal</w:t>
            </w:r>
            <w:r>
              <w:rPr>
                <w:rFonts w:ascii="Corbel" w:hAnsi="Corbel"/>
                <w:bCs/>
                <w:sz w:val="16"/>
                <w:szCs w:val="16"/>
                <w:lang w:val="es-MX"/>
              </w:rPr>
              <w:t>.</w:t>
            </w:r>
          </w:p>
        </w:tc>
        <w:tc>
          <w:tcPr>
            <w:cnfStyle w:val="000100000000" w:firstRow="0" w:lastRow="0" w:firstColumn="0" w:lastColumn="1" w:oddVBand="0" w:evenVBand="0" w:oddHBand="0" w:evenHBand="0" w:firstRowFirstColumn="0" w:firstRowLastColumn="0" w:lastRowFirstColumn="0" w:lastRowLastColumn="0"/>
            <w:tcW w:w="1920" w:type="pct"/>
          </w:tcPr>
          <w:p w14:paraId="605DFBC7" w14:textId="77777777" w:rsidR="002657E4" w:rsidRPr="00B70639" w:rsidRDefault="002657E4" w:rsidP="008035D9">
            <w:pPr>
              <w:pStyle w:val="TableParagraph"/>
              <w:spacing w:before="4" w:line="278" w:lineRule="auto"/>
              <w:ind w:right="205"/>
              <w:jc w:val="both"/>
              <w:rPr>
                <w:rFonts w:ascii="Corbel" w:hAnsi="Corbel"/>
                <w:sz w:val="16"/>
                <w:szCs w:val="16"/>
              </w:rPr>
            </w:pPr>
            <w:r>
              <w:rPr>
                <w:rFonts w:ascii="Corbel" w:hAnsi="Corbel"/>
                <w:sz w:val="16"/>
                <w:szCs w:val="16"/>
                <w:lang w:val="es-MX"/>
              </w:rPr>
              <w:t>S</w:t>
            </w:r>
            <w:r w:rsidRPr="00DD1DEA">
              <w:rPr>
                <w:rFonts w:ascii="Corbel" w:hAnsi="Corbel"/>
                <w:sz w:val="16"/>
                <w:szCs w:val="16"/>
                <w:lang w:val="es-MX"/>
              </w:rPr>
              <w:t>e impulsa</w:t>
            </w:r>
            <w:r>
              <w:rPr>
                <w:rFonts w:ascii="Corbel" w:hAnsi="Corbel"/>
                <w:sz w:val="16"/>
                <w:szCs w:val="16"/>
                <w:lang w:val="es-MX"/>
              </w:rPr>
              <w:t>rán</w:t>
            </w:r>
            <w:r w:rsidRPr="00DD1DEA">
              <w:rPr>
                <w:rFonts w:ascii="Corbel" w:hAnsi="Corbel"/>
                <w:sz w:val="16"/>
                <w:szCs w:val="16"/>
                <w:lang w:val="es-MX"/>
              </w:rPr>
              <w:t xml:space="preserve"> acciones que fomentan la cultura de respeto a fin de incidir en la población la necesidad de evitar conductas de maltrato de los animales, dentro de las acciones se encuentra</w:t>
            </w:r>
            <w:r>
              <w:rPr>
                <w:rFonts w:ascii="Corbel" w:hAnsi="Corbel"/>
                <w:sz w:val="16"/>
                <w:szCs w:val="16"/>
                <w:lang w:val="es-MX"/>
              </w:rPr>
              <w:t>n</w:t>
            </w:r>
            <w:r w:rsidRPr="00DD1DEA">
              <w:rPr>
                <w:rFonts w:ascii="Corbel" w:hAnsi="Corbel"/>
                <w:sz w:val="16"/>
                <w:szCs w:val="16"/>
                <w:lang w:val="es-MX"/>
              </w:rPr>
              <w:t>: campañas de adopción, esterilización y vacunación</w:t>
            </w:r>
          </w:p>
        </w:tc>
      </w:tr>
      <w:tr w:rsidR="002657E4" w14:paraId="6BB587A4" w14:textId="77777777" w:rsidTr="00010650">
        <w:trPr>
          <w:trHeight w:val="663"/>
        </w:trPr>
        <w:tc>
          <w:tcPr>
            <w:cnfStyle w:val="001000000000" w:firstRow="0" w:lastRow="0" w:firstColumn="1" w:lastColumn="0" w:oddVBand="0" w:evenVBand="0" w:oddHBand="0" w:evenHBand="0" w:firstRowFirstColumn="0" w:firstRowLastColumn="0" w:lastRowFirstColumn="0" w:lastRowLastColumn="0"/>
            <w:tcW w:w="1250" w:type="pct"/>
          </w:tcPr>
          <w:p w14:paraId="24246BA2" w14:textId="77777777" w:rsidR="002657E4" w:rsidRPr="00B70639" w:rsidRDefault="002657E4" w:rsidP="008035D9">
            <w:pPr>
              <w:pStyle w:val="TableParagraph"/>
              <w:spacing w:before="2"/>
              <w:ind w:left="107"/>
              <w:jc w:val="both"/>
              <w:rPr>
                <w:rFonts w:ascii="Corbel" w:hAnsi="Corbel"/>
                <w:w w:val="85"/>
                <w:sz w:val="16"/>
                <w:szCs w:val="16"/>
              </w:rPr>
            </w:pPr>
          </w:p>
          <w:p w14:paraId="2441E432" w14:textId="77777777" w:rsidR="002657E4" w:rsidRPr="00B70639" w:rsidRDefault="002657E4" w:rsidP="008035D9">
            <w:pPr>
              <w:pStyle w:val="TableParagraph"/>
              <w:spacing w:before="2"/>
              <w:ind w:left="107"/>
              <w:jc w:val="both"/>
              <w:rPr>
                <w:rFonts w:ascii="Corbel" w:hAnsi="Corbel"/>
                <w:w w:val="85"/>
                <w:sz w:val="16"/>
                <w:szCs w:val="16"/>
              </w:rPr>
            </w:pPr>
            <w:r w:rsidRPr="00497923">
              <w:rPr>
                <w:rFonts w:ascii="Corbel" w:hAnsi="Corbel"/>
                <w:color w:val="000000" w:themeColor="text1"/>
                <w:sz w:val="16"/>
                <w:szCs w:val="16"/>
              </w:rPr>
              <w:t>Energías limpias</w:t>
            </w:r>
          </w:p>
        </w:tc>
        <w:tc>
          <w:tcPr>
            <w:cnfStyle w:val="000010000000" w:firstRow="0" w:lastRow="0" w:firstColumn="0" w:lastColumn="0" w:oddVBand="1" w:evenVBand="0" w:oddHBand="0" w:evenHBand="0" w:firstRowFirstColumn="0" w:firstRowLastColumn="0" w:lastRowFirstColumn="0" w:lastRowLastColumn="0"/>
            <w:tcW w:w="1830" w:type="pct"/>
          </w:tcPr>
          <w:p w14:paraId="0EDC0A70" w14:textId="77777777" w:rsidR="002657E4" w:rsidRPr="00B70639" w:rsidRDefault="002657E4" w:rsidP="008035D9">
            <w:pPr>
              <w:pStyle w:val="TableParagraph"/>
              <w:spacing w:before="146" w:line="278" w:lineRule="auto"/>
              <w:ind w:right="204"/>
              <w:jc w:val="both"/>
              <w:rPr>
                <w:rFonts w:ascii="Corbel" w:hAnsi="Corbel"/>
                <w:sz w:val="16"/>
                <w:szCs w:val="16"/>
              </w:rPr>
            </w:pPr>
            <w:r w:rsidRPr="006D0AEF">
              <w:rPr>
                <w:rFonts w:ascii="Corbel" w:hAnsi="Corbel"/>
                <w:sz w:val="16"/>
                <w:szCs w:val="16"/>
              </w:rPr>
              <w:t>El municipio no contará con la energía suficiente para satisfacer las</w:t>
            </w:r>
            <w:r>
              <w:rPr>
                <w:rFonts w:ascii="Corbel" w:hAnsi="Corbel"/>
                <w:sz w:val="16"/>
                <w:szCs w:val="16"/>
              </w:rPr>
              <w:t xml:space="preserve"> </w:t>
            </w:r>
            <w:r w:rsidRPr="006D0AEF">
              <w:rPr>
                <w:rFonts w:ascii="Corbel" w:hAnsi="Corbel"/>
                <w:sz w:val="16"/>
                <w:szCs w:val="16"/>
              </w:rPr>
              <w:t>necesidades de su población</w:t>
            </w:r>
          </w:p>
        </w:tc>
        <w:tc>
          <w:tcPr>
            <w:cnfStyle w:val="000100000000" w:firstRow="0" w:lastRow="0" w:firstColumn="0" w:lastColumn="1" w:oddVBand="0" w:evenVBand="0" w:oddHBand="0" w:evenHBand="0" w:firstRowFirstColumn="0" w:firstRowLastColumn="0" w:lastRowFirstColumn="0" w:lastRowLastColumn="0"/>
            <w:tcW w:w="1920" w:type="pct"/>
          </w:tcPr>
          <w:p w14:paraId="2A892DFA" w14:textId="77777777" w:rsidR="002657E4" w:rsidRPr="00B70639" w:rsidRDefault="002657E4" w:rsidP="008035D9">
            <w:pPr>
              <w:pStyle w:val="TableParagraph"/>
              <w:spacing w:before="4" w:line="278" w:lineRule="auto"/>
              <w:ind w:right="205"/>
              <w:jc w:val="both"/>
              <w:rPr>
                <w:rFonts w:ascii="Corbel" w:hAnsi="Corbel"/>
                <w:sz w:val="16"/>
                <w:szCs w:val="16"/>
              </w:rPr>
            </w:pPr>
            <w:r w:rsidRPr="00D862D7">
              <w:rPr>
                <w:rFonts w:ascii="Corbel" w:hAnsi="Corbel"/>
                <w:sz w:val="16"/>
                <w:szCs w:val="16"/>
              </w:rPr>
              <w:t>Implementación de energías</w:t>
            </w:r>
            <w:r>
              <w:rPr>
                <w:rFonts w:ascii="Corbel" w:hAnsi="Corbel"/>
                <w:sz w:val="16"/>
                <w:szCs w:val="16"/>
              </w:rPr>
              <w:t xml:space="preserve"> </w:t>
            </w:r>
            <w:r w:rsidRPr="00D862D7">
              <w:rPr>
                <w:rFonts w:ascii="Corbel" w:hAnsi="Corbel"/>
                <w:sz w:val="16"/>
                <w:szCs w:val="16"/>
              </w:rPr>
              <w:t>sustentables en el municipio y con esto reducir la contaminación.</w:t>
            </w:r>
          </w:p>
        </w:tc>
      </w:tr>
      <w:tr w:rsidR="002657E4" w14:paraId="51A57AF0" w14:textId="77777777" w:rsidTr="00010650">
        <w:trPr>
          <w:cnfStyle w:val="010000000000" w:firstRow="0" w:lastRow="1"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250" w:type="pct"/>
          </w:tcPr>
          <w:p w14:paraId="2E2184C8" w14:textId="77777777" w:rsidR="002657E4" w:rsidRPr="00B70639" w:rsidRDefault="002657E4" w:rsidP="008035D9">
            <w:pPr>
              <w:pStyle w:val="TableParagraph"/>
              <w:spacing w:before="149" w:line="276" w:lineRule="auto"/>
              <w:ind w:left="107" w:right="721"/>
              <w:jc w:val="both"/>
              <w:rPr>
                <w:rFonts w:ascii="Corbel" w:hAnsi="Corbel"/>
                <w:sz w:val="16"/>
                <w:szCs w:val="16"/>
              </w:rPr>
            </w:pPr>
            <w:r w:rsidRPr="00986595">
              <w:rPr>
                <w:rFonts w:ascii="Corbel" w:hAnsi="Corbel"/>
                <w:sz w:val="16"/>
                <w:szCs w:val="16"/>
              </w:rPr>
              <w:t>Gestión integral de residuo</w:t>
            </w:r>
          </w:p>
        </w:tc>
        <w:tc>
          <w:tcPr>
            <w:cnfStyle w:val="000010000000" w:firstRow="0" w:lastRow="0" w:firstColumn="0" w:lastColumn="0" w:oddVBand="1" w:evenVBand="0" w:oddHBand="0" w:evenHBand="0" w:firstRowFirstColumn="0" w:firstRowLastColumn="0" w:lastRowFirstColumn="0" w:lastRowLastColumn="0"/>
            <w:tcW w:w="1830" w:type="pct"/>
          </w:tcPr>
          <w:p w14:paraId="56EFBD34" w14:textId="77777777" w:rsidR="002657E4" w:rsidRPr="00CF5EAB" w:rsidRDefault="002657E4" w:rsidP="008035D9">
            <w:pPr>
              <w:pStyle w:val="TableParagraph"/>
              <w:spacing w:before="2" w:line="278" w:lineRule="auto"/>
              <w:ind w:left="108" w:right="203"/>
              <w:jc w:val="both"/>
              <w:rPr>
                <w:rFonts w:ascii="Corbel" w:hAnsi="Corbel"/>
                <w:bCs w:val="0"/>
                <w:sz w:val="16"/>
                <w:szCs w:val="16"/>
              </w:rPr>
            </w:pPr>
            <w:r w:rsidRPr="00CF5EAB">
              <w:rPr>
                <w:rFonts w:ascii="Corbel" w:hAnsi="Corbel"/>
                <w:sz w:val="16"/>
                <w:szCs w:val="16"/>
              </w:rPr>
              <w:t>La superficie sembrada y de producción para 2020 fue de 1,551 hectáreas y el valor de la producción fue de 7,321.05 pesos. Dentro de los cultivos que se producen</w:t>
            </w:r>
            <w:r>
              <w:rPr>
                <w:rFonts w:ascii="Corbel" w:hAnsi="Corbel"/>
                <w:sz w:val="16"/>
                <w:szCs w:val="16"/>
              </w:rPr>
              <w:t xml:space="preserve">, </w:t>
            </w:r>
            <w:r w:rsidRPr="00CF5EAB">
              <w:rPr>
                <w:rFonts w:ascii="Corbel" w:hAnsi="Corbel"/>
                <w:sz w:val="16"/>
                <w:szCs w:val="16"/>
              </w:rPr>
              <w:t>según la encuesta intercensal se encuentra la avena forrajera y maíz grano, además de haba, cultivos importantes que sirven para el consumo humano y para la engorda de ganado.</w:t>
            </w:r>
          </w:p>
          <w:p w14:paraId="463A57D8" w14:textId="77777777" w:rsidR="002657E4" w:rsidRPr="00B70639" w:rsidRDefault="002657E4" w:rsidP="008035D9">
            <w:pPr>
              <w:pStyle w:val="TableParagraph"/>
              <w:spacing w:before="2" w:line="278" w:lineRule="auto"/>
              <w:ind w:left="108" w:right="203"/>
              <w:jc w:val="both"/>
              <w:rPr>
                <w:rFonts w:ascii="Corbel" w:hAnsi="Corbel"/>
                <w:sz w:val="16"/>
                <w:szCs w:val="16"/>
              </w:rPr>
            </w:pPr>
          </w:p>
        </w:tc>
        <w:tc>
          <w:tcPr>
            <w:cnfStyle w:val="000100000000" w:firstRow="0" w:lastRow="0" w:firstColumn="0" w:lastColumn="1" w:oddVBand="0" w:evenVBand="0" w:oddHBand="0" w:evenHBand="0" w:firstRowFirstColumn="0" w:firstRowLastColumn="0" w:lastRowFirstColumn="0" w:lastRowLastColumn="0"/>
            <w:tcW w:w="1920" w:type="pct"/>
          </w:tcPr>
          <w:p w14:paraId="4748DF25" w14:textId="77777777" w:rsidR="002657E4" w:rsidRPr="00B70639" w:rsidRDefault="002657E4" w:rsidP="008035D9">
            <w:pPr>
              <w:pStyle w:val="TableParagraph"/>
              <w:spacing w:before="22" w:line="278" w:lineRule="auto"/>
              <w:ind w:left="107" w:right="207"/>
              <w:jc w:val="both"/>
              <w:rPr>
                <w:rFonts w:ascii="Corbel" w:hAnsi="Corbel"/>
                <w:sz w:val="16"/>
                <w:szCs w:val="16"/>
              </w:rPr>
            </w:pPr>
            <w:r w:rsidRPr="00B70639">
              <w:rPr>
                <w:rFonts w:ascii="Corbel" w:hAnsi="Corbel"/>
                <w:sz w:val="16"/>
                <w:szCs w:val="16"/>
              </w:rPr>
              <w:t>Saldar la deuda histórica con los sectores sociales más desfavorecidos, por lo que ya es tiempo de dignificar al campo y de honrar a sus productoras y productores.</w:t>
            </w:r>
          </w:p>
        </w:tc>
      </w:tr>
    </w:tbl>
    <w:p w14:paraId="5F8272A8" w14:textId="4F80CA75" w:rsidR="002657E4" w:rsidRDefault="002657E4">
      <w:pPr>
        <w:rPr>
          <w:color w:val="8DD873" w:themeColor="accent6" w:themeTint="99"/>
          <w:sz w:val="36"/>
          <w:szCs w:val="36"/>
        </w:rPr>
      </w:pPr>
      <w:r>
        <w:rPr>
          <w:color w:val="8DD873" w:themeColor="accent6" w:themeTint="99"/>
          <w:sz w:val="36"/>
          <w:szCs w:val="36"/>
        </w:rPr>
        <w:br w:type="page"/>
      </w:r>
    </w:p>
    <w:p w14:paraId="5441C4D3" w14:textId="77777777" w:rsidR="002657E4" w:rsidRDefault="002657E4">
      <w:pPr>
        <w:rPr>
          <w:color w:val="8DD873" w:themeColor="accent6" w:themeTint="99"/>
          <w:sz w:val="36"/>
          <w:szCs w:val="36"/>
        </w:rPr>
        <w:sectPr w:rsidR="002657E4" w:rsidSect="002657E4">
          <w:pgSz w:w="15840" w:h="12240" w:orient="landscape"/>
          <w:pgMar w:top="1440" w:right="1440" w:bottom="1440" w:left="1440" w:header="709" w:footer="709" w:gutter="0"/>
          <w:cols w:space="708"/>
          <w:docGrid w:linePitch="360"/>
        </w:sectPr>
      </w:pPr>
    </w:p>
    <w:p w14:paraId="0B0765AB" w14:textId="290B5BF4" w:rsidR="002657E4" w:rsidRPr="002657E4" w:rsidRDefault="002657E4" w:rsidP="002657E4">
      <w:pPr>
        <w:jc w:val="both"/>
        <w:rPr>
          <w:rFonts w:ascii="Corbel" w:hAnsi="Corbel"/>
          <w:b/>
          <w:color w:val="025850"/>
        </w:rPr>
      </w:pPr>
      <w:r w:rsidRPr="002657E4">
        <w:rPr>
          <w:rFonts w:ascii="Corbel" w:hAnsi="Corbel"/>
          <w:b/>
          <w:color w:val="025850"/>
          <w:sz w:val="28"/>
          <w:szCs w:val="28"/>
        </w:rPr>
        <w:lastRenderedPageBreak/>
        <w:t>Instrumentación Estratégica</w:t>
      </w:r>
    </w:p>
    <w:p w14:paraId="35D408DE" w14:textId="77777777" w:rsidR="002657E4" w:rsidRPr="006F2E7F" w:rsidRDefault="002657E4" w:rsidP="002657E4">
      <w:pPr>
        <w:jc w:val="both"/>
        <w:rPr>
          <w:rFonts w:ascii="Century Gothic" w:hAnsi="Century Gothic"/>
          <w:sz w:val="22"/>
          <w:szCs w:val="22"/>
        </w:rPr>
      </w:pPr>
      <w:r w:rsidRPr="006F2E7F">
        <w:rPr>
          <w:rFonts w:ascii="Century Gothic" w:hAnsi="Century Gothic"/>
          <w:b/>
          <w:color w:val="025850"/>
          <w:sz w:val="22"/>
          <w:szCs w:val="22"/>
        </w:rPr>
        <w:t>Objetivo</w:t>
      </w:r>
      <w:r w:rsidRPr="006F2E7F">
        <w:rPr>
          <w:rFonts w:ascii="Century Gothic" w:hAnsi="Century Gothic"/>
          <w:b/>
          <w:sz w:val="22"/>
          <w:szCs w:val="22"/>
        </w:rPr>
        <w:t>:</w:t>
      </w:r>
      <w:r w:rsidRPr="006F2E7F">
        <w:rPr>
          <w:rFonts w:ascii="Century Gothic" w:hAnsi="Century Gothic"/>
          <w:sz w:val="22"/>
          <w:szCs w:val="22"/>
        </w:rPr>
        <w:t xml:space="preserve"> Mejorar los mecanismos de manejo integral de residuos, priorizando su separación, aprovechamiento y tratamiento. </w:t>
      </w:r>
    </w:p>
    <w:p w14:paraId="22650BE2" w14:textId="77777777" w:rsidR="002657E4" w:rsidRPr="006F2E7F" w:rsidRDefault="002657E4" w:rsidP="002657E4">
      <w:pPr>
        <w:jc w:val="both"/>
        <w:rPr>
          <w:rFonts w:ascii="Century Gothic" w:hAnsi="Century Gothic"/>
          <w:sz w:val="22"/>
          <w:szCs w:val="22"/>
        </w:rPr>
      </w:pPr>
      <w:r w:rsidRPr="006F2E7F">
        <w:rPr>
          <w:rFonts w:ascii="Century Gothic" w:hAnsi="Century Gothic"/>
          <w:b/>
          <w:color w:val="025850"/>
          <w:sz w:val="22"/>
          <w:szCs w:val="22"/>
        </w:rPr>
        <w:t>Estrategia:</w:t>
      </w:r>
      <w:r w:rsidRPr="006F2E7F">
        <w:rPr>
          <w:rFonts w:ascii="Century Gothic" w:hAnsi="Century Gothic"/>
          <w:sz w:val="22"/>
          <w:szCs w:val="22"/>
        </w:rPr>
        <w:t xml:space="preserve">  Impulsar la economía circular para la incorporación del manejo integral de residuos.</w:t>
      </w:r>
    </w:p>
    <w:p w14:paraId="1985B1C6"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3901B626" w14:textId="77777777" w:rsidR="002657E4" w:rsidRPr="006F2E7F" w:rsidRDefault="002657E4" w:rsidP="00E50CE9">
      <w:pPr>
        <w:pStyle w:val="Prrafodelista"/>
        <w:numPr>
          <w:ilvl w:val="0"/>
          <w:numId w:val="41"/>
        </w:numPr>
        <w:spacing w:after="160" w:line="259" w:lineRule="auto"/>
        <w:jc w:val="both"/>
        <w:rPr>
          <w:rFonts w:ascii="Century Gothic" w:hAnsi="Century Gothic"/>
          <w:sz w:val="22"/>
          <w:szCs w:val="22"/>
        </w:rPr>
      </w:pPr>
      <w:r w:rsidRPr="006F2E7F">
        <w:rPr>
          <w:rFonts w:ascii="Century Gothic" w:hAnsi="Century Gothic"/>
          <w:sz w:val="22"/>
          <w:szCs w:val="22"/>
        </w:rPr>
        <w:t>Realizar limpieza en el panteón municipal</w:t>
      </w:r>
    </w:p>
    <w:p w14:paraId="11B592A5" w14:textId="77777777" w:rsidR="002657E4" w:rsidRPr="006F2E7F" w:rsidRDefault="002657E4" w:rsidP="00E50CE9">
      <w:pPr>
        <w:pStyle w:val="Prrafodelista"/>
        <w:numPr>
          <w:ilvl w:val="0"/>
          <w:numId w:val="41"/>
        </w:numPr>
        <w:spacing w:after="160" w:line="259" w:lineRule="auto"/>
        <w:jc w:val="both"/>
        <w:rPr>
          <w:rFonts w:ascii="Century Gothic" w:hAnsi="Century Gothic"/>
          <w:sz w:val="22"/>
          <w:szCs w:val="22"/>
        </w:rPr>
      </w:pPr>
      <w:r w:rsidRPr="006F2E7F">
        <w:rPr>
          <w:rFonts w:ascii="Century Gothic" w:hAnsi="Century Gothic"/>
          <w:sz w:val="22"/>
          <w:szCs w:val="22"/>
        </w:rPr>
        <w:t>Recolectar los residuos sólidos urbanos</w:t>
      </w:r>
    </w:p>
    <w:p w14:paraId="7DC77850" w14:textId="77777777" w:rsidR="002657E4" w:rsidRPr="006F2E7F" w:rsidRDefault="002657E4" w:rsidP="00E50CE9">
      <w:pPr>
        <w:pStyle w:val="Prrafodelista"/>
        <w:numPr>
          <w:ilvl w:val="0"/>
          <w:numId w:val="41"/>
        </w:numPr>
        <w:spacing w:after="160" w:line="259" w:lineRule="auto"/>
        <w:jc w:val="both"/>
        <w:rPr>
          <w:rFonts w:ascii="Century Gothic" w:hAnsi="Century Gothic"/>
          <w:sz w:val="22"/>
          <w:szCs w:val="22"/>
        </w:rPr>
      </w:pPr>
      <w:r w:rsidRPr="006F2E7F">
        <w:rPr>
          <w:rFonts w:ascii="Century Gothic" w:hAnsi="Century Gothic"/>
          <w:sz w:val="22"/>
          <w:szCs w:val="22"/>
        </w:rPr>
        <w:t>Brindar mantenimiento a áreas verdes de espacios públicos</w:t>
      </w:r>
    </w:p>
    <w:p w14:paraId="685F93FD"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Objetivo:</w:t>
      </w:r>
      <w:r w:rsidRPr="006F2E7F">
        <w:rPr>
          <w:rFonts w:ascii="Century Gothic" w:hAnsi="Century Gothic"/>
          <w:sz w:val="22"/>
          <w:szCs w:val="22"/>
        </w:rPr>
        <w:t xml:space="preserve"> Garantizar el Derecho Humano al agua, en forma sustentable, suficiente, salubre y asequible, así como preservar el equilibrio hidrológico.</w:t>
      </w:r>
    </w:p>
    <w:p w14:paraId="35BD45B9"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Estrategia:</w:t>
      </w:r>
      <w:r w:rsidRPr="006F2E7F">
        <w:rPr>
          <w:rFonts w:ascii="Century Gothic" w:hAnsi="Century Gothic"/>
          <w:sz w:val="22"/>
          <w:szCs w:val="22"/>
        </w:rPr>
        <w:t xml:space="preserve"> Aumentar la oferta de agua e impulsar alternativas para las localidades sin abastecimiento de agua segura. </w:t>
      </w:r>
    </w:p>
    <w:p w14:paraId="3928AADE"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682FC643"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Extraer volumen de agua potable de las fuentes de abastecimiento</w:t>
      </w:r>
    </w:p>
    <w:p w14:paraId="0BD5DA59"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Verificar el cumplimiento del programa de bombeo de agua potable para el consumo de la población</w:t>
      </w:r>
    </w:p>
    <w:p w14:paraId="2626524A"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Estrategia:</w:t>
      </w:r>
      <w:r w:rsidRPr="006F2E7F">
        <w:rPr>
          <w:rFonts w:ascii="Century Gothic" w:hAnsi="Century Gothic"/>
          <w:sz w:val="22"/>
          <w:szCs w:val="22"/>
        </w:rPr>
        <w:t xml:space="preserve"> Implementar programas de concientización y capacitación desde la perspectiva de un nuevo modelo de gestión del agua para su aprovechamiento racional y sustentable</w:t>
      </w:r>
    </w:p>
    <w:p w14:paraId="272F9F13"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68F66C99"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Efectuar la cloración de volúmenes del agua potable para el consumo de la población</w:t>
      </w:r>
    </w:p>
    <w:p w14:paraId="50B11B79"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 xml:space="preserve">Incorporar nuevas conexiones de agua </w:t>
      </w:r>
    </w:p>
    <w:p w14:paraId="3577CE65"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Brindar mantenimiento a la infraestructura hidráulica</w:t>
      </w:r>
    </w:p>
    <w:p w14:paraId="5035BF93"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Fomentar una cultura de reporte de fugas</w:t>
      </w:r>
    </w:p>
    <w:p w14:paraId="39033DCC"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Objetivo</w:t>
      </w:r>
      <w:r w:rsidRPr="006F2E7F">
        <w:rPr>
          <w:rFonts w:ascii="Century Gothic" w:hAnsi="Century Gothic"/>
          <w:sz w:val="22"/>
          <w:szCs w:val="22"/>
        </w:rPr>
        <w:t xml:space="preserve">: Promover la conservación y restauración sostenible de los ecosistemas naturales. </w:t>
      </w:r>
    </w:p>
    <w:p w14:paraId="4C669B51"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Estrategia:</w:t>
      </w:r>
      <w:r w:rsidRPr="006F2E7F">
        <w:rPr>
          <w:rFonts w:ascii="Century Gothic" w:hAnsi="Century Gothic"/>
          <w:sz w:val="22"/>
          <w:szCs w:val="22"/>
        </w:rPr>
        <w:t xml:space="preserve"> Restaurar los ecosistemas degradados y promover su recuperación, protegiendo la biodiversidad y los servicios ecosistémicos.</w:t>
      </w:r>
    </w:p>
    <w:p w14:paraId="176154F6"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0C050F60"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Inspeccionar la infraestructura para el tratamiento de aguas residuales</w:t>
      </w:r>
    </w:p>
    <w:p w14:paraId="392B9D95"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Brindar mantenimiento de la infraestructura para el tratamiento de aguas residuales</w:t>
      </w:r>
    </w:p>
    <w:p w14:paraId="59493073"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Volumen de descarga doméstica</w:t>
      </w:r>
    </w:p>
    <w:p w14:paraId="67D48504"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Realizar desazolves</w:t>
      </w:r>
    </w:p>
    <w:p w14:paraId="5EFFD11A" w14:textId="77777777" w:rsidR="002657E4" w:rsidRPr="006F2E7F" w:rsidRDefault="002657E4" w:rsidP="00E50CE9">
      <w:pPr>
        <w:pStyle w:val="Prrafodelista"/>
        <w:numPr>
          <w:ilvl w:val="0"/>
          <w:numId w:val="39"/>
        </w:numPr>
        <w:spacing w:after="160" w:line="259" w:lineRule="auto"/>
        <w:jc w:val="both"/>
        <w:rPr>
          <w:rFonts w:ascii="Century Gothic" w:hAnsi="Century Gothic"/>
          <w:sz w:val="22"/>
          <w:szCs w:val="22"/>
        </w:rPr>
      </w:pPr>
      <w:r w:rsidRPr="006F2E7F">
        <w:rPr>
          <w:rFonts w:ascii="Century Gothic" w:hAnsi="Century Gothic"/>
          <w:sz w:val="22"/>
          <w:szCs w:val="22"/>
        </w:rPr>
        <w:t>Desazolvar canales a cielo abierto</w:t>
      </w:r>
    </w:p>
    <w:p w14:paraId="1705CCCE"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lastRenderedPageBreak/>
        <w:t>Estrategia:</w:t>
      </w:r>
      <w:r w:rsidRPr="006F2E7F">
        <w:rPr>
          <w:rFonts w:ascii="Century Gothic" w:hAnsi="Century Gothic"/>
          <w:sz w:val="22"/>
          <w:szCs w:val="22"/>
        </w:rPr>
        <w:t xml:space="preserve"> Impulsar un programa comunitario de restauración ecológica, fomentando siembras locales y gestión sostenible.</w:t>
      </w:r>
    </w:p>
    <w:p w14:paraId="548EC610"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04513BBE" w14:textId="77777777" w:rsidR="002657E4" w:rsidRPr="006F2E7F" w:rsidRDefault="002657E4" w:rsidP="00E50CE9">
      <w:pPr>
        <w:pStyle w:val="Prrafodelista"/>
        <w:numPr>
          <w:ilvl w:val="0"/>
          <w:numId w:val="38"/>
        </w:numPr>
        <w:spacing w:after="160" w:line="259" w:lineRule="auto"/>
        <w:jc w:val="both"/>
        <w:rPr>
          <w:rFonts w:ascii="Century Gothic" w:hAnsi="Century Gothic"/>
          <w:sz w:val="22"/>
          <w:szCs w:val="22"/>
        </w:rPr>
      </w:pPr>
      <w:r w:rsidRPr="006F2E7F">
        <w:rPr>
          <w:rFonts w:ascii="Century Gothic" w:hAnsi="Century Gothic"/>
          <w:sz w:val="22"/>
          <w:szCs w:val="22"/>
        </w:rPr>
        <w:t>Realizar jornadas de forestación</w:t>
      </w:r>
    </w:p>
    <w:p w14:paraId="3B6D9907" w14:textId="77777777" w:rsidR="002657E4" w:rsidRPr="006F2E7F" w:rsidRDefault="002657E4" w:rsidP="00E50CE9">
      <w:pPr>
        <w:pStyle w:val="Prrafodelista"/>
        <w:numPr>
          <w:ilvl w:val="0"/>
          <w:numId w:val="38"/>
        </w:numPr>
        <w:spacing w:after="160" w:line="259" w:lineRule="auto"/>
        <w:jc w:val="both"/>
        <w:rPr>
          <w:rFonts w:ascii="Century Gothic" w:hAnsi="Century Gothic"/>
          <w:sz w:val="22"/>
          <w:szCs w:val="22"/>
        </w:rPr>
      </w:pPr>
      <w:r w:rsidRPr="006F2E7F">
        <w:rPr>
          <w:rFonts w:ascii="Century Gothic" w:hAnsi="Century Gothic"/>
          <w:sz w:val="22"/>
          <w:szCs w:val="22"/>
        </w:rPr>
        <w:t>Realizar la poda y derribe de árboles de manera controlada y en apego a la normatividad</w:t>
      </w:r>
    </w:p>
    <w:p w14:paraId="76947370"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Objetivo:</w:t>
      </w:r>
      <w:r w:rsidRPr="006F2E7F">
        <w:rPr>
          <w:rFonts w:ascii="Century Gothic" w:hAnsi="Century Gothic"/>
          <w:sz w:val="22"/>
          <w:szCs w:val="22"/>
        </w:rPr>
        <w:t xml:space="preserve"> Prevenir la contaminación atmosférica, así como promover la adaptación y la mitigación al cambio climático. </w:t>
      </w:r>
    </w:p>
    <w:p w14:paraId="381D7DFC"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Estrategia:</w:t>
      </w:r>
      <w:r w:rsidRPr="006F2E7F">
        <w:rPr>
          <w:rFonts w:ascii="Century Gothic" w:hAnsi="Century Gothic"/>
          <w:sz w:val="22"/>
          <w:szCs w:val="22"/>
        </w:rPr>
        <w:t xml:space="preserve">  Impulsar la educación ambiental y la participación ciudadana en temas ambientales.</w:t>
      </w:r>
    </w:p>
    <w:p w14:paraId="5E76EE68"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13A4FF06" w14:textId="77777777" w:rsidR="002657E4" w:rsidRPr="006F2E7F" w:rsidRDefault="002657E4" w:rsidP="00E50CE9">
      <w:pPr>
        <w:pStyle w:val="Prrafodelista"/>
        <w:numPr>
          <w:ilvl w:val="0"/>
          <w:numId w:val="38"/>
        </w:numPr>
        <w:spacing w:after="160" w:line="259" w:lineRule="auto"/>
        <w:jc w:val="both"/>
        <w:rPr>
          <w:rFonts w:ascii="Century Gothic" w:hAnsi="Century Gothic"/>
          <w:sz w:val="22"/>
          <w:szCs w:val="22"/>
        </w:rPr>
      </w:pPr>
      <w:r w:rsidRPr="006F2E7F">
        <w:rPr>
          <w:rFonts w:ascii="Century Gothic" w:hAnsi="Century Gothic"/>
          <w:sz w:val="22"/>
          <w:szCs w:val="22"/>
        </w:rPr>
        <w:t>Involucrar a las instituciones educativas para la realización de jornadas de forestación</w:t>
      </w:r>
    </w:p>
    <w:p w14:paraId="3BD84A98"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Objetivo:</w:t>
      </w:r>
      <w:r w:rsidRPr="006F2E7F">
        <w:rPr>
          <w:rFonts w:ascii="Century Gothic" w:hAnsi="Century Gothic"/>
          <w:sz w:val="22"/>
          <w:szCs w:val="22"/>
        </w:rPr>
        <w:t xml:space="preserve"> Impulsar el ordenamiento territorial a través de instrumentos de planeación y desarrollo que promuevan la conservación ambiental de forma sostenible. </w:t>
      </w:r>
    </w:p>
    <w:p w14:paraId="73B272A5"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Estrategia:</w:t>
      </w:r>
      <w:r w:rsidRPr="006F2E7F">
        <w:rPr>
          <w:rFonts w:ascii="Century Gothic" w:hAnsi="Century Gothic"/>
          <w:sz w:val="22"/>
          <w:szCs w:val="22"/>
        </w:rPr>
        <w:t xml:space="preserve"> Promover el crecimiento urbano, ordenado y responsable con el medio ambiente.</w:t>
      </w:r>
    </w:p>
    <w:p w14:paraId="1FE52472"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34B3F0AC" w14:textId="77777777" w:rsidR="002657E4" w:rsidRPr="006F2E7F" w:rsidRDefault="002657E4" w:rsidP="002657E4">
      <w:pPr>
        <w:pStyle w:val="Prrafodelista"/>
        <w:numPr>
          <w:ilvl w:val="0"/>
          <w:numId w:val="18"/>
        </w:numPr>
        <w:spacing w:after="160" w:line="259" w:lineRule="auto"/>
        <w:jc w:val="both"/>
        <w:rPr>
          <w:rFonts w:ascii="Century Gothic" w:hAnsi="Century Gothic"/>
          <w:sz w:val="22"/>
          <w:szCs w:val="22"/>
        </w:rPr>
      </w:pPr>
      <w:r w:rsidRPr="006F2E7F">
        <w:rPr>
          <w:rFonts w:ascii="Century Gothic" w:hAnsi="Century Gothic"/>
          <w:sz w:val="22"/>
          <w:szCs w:val="22"/>
        </w:rPr>
        <w:t>Brindar asesorías a ciudadanos para la realización de trámites ante la Coordinación de Desarrollo Urbano</w:t>
      </w:r>
    </w:p>
    <w:p w14:paraId="7624C65B" w14:textId="77777777" w:rsidR="002657E4" w:rsidRPr="006F2E7F" w:rsidRDefault="002657E4" w:rsidP="002657E4">
      <w:pPr>
        <w:pStyle w:val="Prrafodelista"/>
        <w:numPr>
          <w:ilvl w:val="0"/>
          <w:numId w:val="18"/>
        </w:numPr>
        <w:spacing w:after="160" w:line="259" w:lineRule="auto"/>
        <w:jc w:val="both"/>
        <w:rPr>
          <w:rFonts w:ascii="Century Gothic" w:hAnsi="Century Gothic"/>
          <w:sz w:val="22"/>
          <w:szCs w:val="22"/>
        </w:rPr>
      </w:pPr>
      <w:r w:rsidRPr="006F2E7F">
        <w:rPr>
          <w:rFonts w:ascii="Century Gothic" w:hAnsi="Century Gothic"/>
          <w:sz w:val="22"/>
          <w:szCs w:val="22"/>
        </w:rPr>
        <w:t>Expedir constancias, cédulas y licencias correspondientes a la Coordinación de Desarrollo Urbano</w:t>
      </w:r>
    </w:p>
    <w:p w14:paraId="7BDA8305" w14:textId="77777777" w:rsidR="002657E4" w:rsidRPr="006F2E7F" w:rsidRDefault="002657E4" w:rsidP="002657E4">
      <w:pPr>
        <w:pStyle w:val="Prrafodelista"/>
        <w:numPr>
          <w:ilvl w:val="0"/>
          <w:numId w:val="18"/>
        </w:numPr>
        <w:spacing w:after="160" w:line="259" w:lineRule="auto"/>
        <w:jc w:val="both"/>
        <w:rPr>
          <w:rFonts w:ascii="Century Gothic" w:hAnsi="Century Gothic"/>
          <w:sz w:val="22"/>
          <w:szCs w:val="22"/>
        </w:rPr>
      </w:pPr>
      <w:r w:rsidRPr="006F2E7F">
        <w:rPr>
          <w:rFonts w:ascii="Century Gothic" w:hAnsi="Century Gothic"/>
          <w:sz w:val="22"/>
          <w:szCs w:val="22"/>
        </w:rPr>
        <w:t xml:space="preserve">Participar en las sesiones con el Comité de Prevención y Control del Crecimiento Urbano </w:t>
      </w:r>
    </w:p>
    <w:p w14:paraId="08E161AA" w14:textId="77777777" w:rsidR="002657E4" w:rsidRPr="006F2E7F" w:rsidRDefault="002657E4" w:rsidP="002657E4">
      <w:pPr>
        <w:pStyle w:val="Prrafodelista"/>
        <w:numPr>
          <w:ilvl w:val="0"/>
          <w:numId w:val="18"/>
        </w:numPr>
        <w:spacing w:after="160" w:line="259" w:lineRule="auto"/>
        <w:jc w:val="both"/>
        <w:rPr>
          <w:rFonts w:ascii="Century Gothic" w:hAnsi="Century Gothic"/>
          <w:sz w:val="22"/>
          <w:szCs w:val="22"/>
        </w:rPr>
      </w:pPr>
      <w:r w:rsidRPr="006F2E7F">
        <w:rPr>
          <w:rFonts w:ascii="Century Gothic" w:hAnsi="Century Gothic"/>
          <w:sz w:val="22"/>
          <w:szCs w:val="22"/>
        </w:rPr>
        <w:t>Control y supervisión de obras</w:t>
      </w:r>
    </w:p>
    <w:p w14:paraId="496C5A33" w14:textId="77777777" w:rsidR="002657E4" w:rsidRPr="006F2E7F" w:rsidRDefault="002657E4" w:rsidP="002657E4">
      <w:pPr>
        <w:pStyle w:val="Prrafodelista"/>
        <w:numPr>
          <w:ilvl w:val="0"/>
          <w:numId w:val="18"/>
        </w:numPr>
        <w:spacing w:after="160" w:line="259" w:lineRule="auto"/>
        <w:jc w:val="both"/>
        <w:rPr>
          <w:rFonts w:ascii="Century Gothic" w:hAnsi="Century Gothic"/>
          <w:sz w:val="22"/>
          <w:szCs w:val="22"/>
        </w:rPr>
      </w:pPr>
      <w:r w:rsidRPr="006F2E7F">
        <w:rPr>
          <w:rFonts w:ascii="Century Gothic" w:hAnsi="Century Gothic"/>
          <w:sz w:val="22"/>
          <w:szCs w:val="22"/>
        </w:rPr>
        <w:t>Mejoramiento de caminos de saca cosechas</w:t>
      </w:r>
    </w:p>
    <w:p w14:paraId="5CCD2D25" w14:textId="77777777" w:rsidR="002657E4" w:rsidRPr="006F2E7F" w:rsidRDefault="002657E4" w:rsidP="00E50CE9">
      <w:pPr>
        <w:pStyle w:val="Prrafodelista"/>
        <w:numPr>
          <w:ilvl w:val="0"/>
          <w:numId w:val="40"/>
        </w:numPr>
        <w:spacing w:after="160" w:line="259" w:lineRule="auto"/>
        <w:jc w:val="both"/>
        <w:rPr>
          <w:rFonts w:ascii="Century Gothic" w:hAnsi="Century Gothic"/>
          <w:sz w:val="22"/>
          <w:szCs w:val="22"/>
        </w:rPr>
      </w:pPr>
      <w:r w:rsidRPr="006F2E7F">
        <w:rPr>
          <w:rFonts w:ascii="Century Gothic" w:hAnsi="Century Gothic"/>
          <w:sz w:val="22"/>
          <w:szCs w:val="22"/>
        </w:rPr>
        <w:t>Brindar servicios catastrales</w:t>
      </w:r>
    </w:p>
    <w:p w14:paraId="4649BD62" w14:textId="77777777" w:rsidR="002657E4" w:rsidRPr="006F2E7F" w:rsidRDefault="002657E4" w:rsidP="00E50CE9">
      <w:pPr>
        <w:pStyle w:val="Prrafodelista"/>
        <w:numPr>
          <w:ilvl w:val="0"/>
          <w:numId w:val="40"/>
        </w:numPr>
        <w:spacing w:after="160" w:line="259" w:lineRule="auto"/>
        <w:jc w:val="both"/>
        <w:rPr>
          <w:rFonts w:ascii="Century Gothic" w:hAnsi="Century Gothic"/>
          <w:sz w:val="22"/>
          <w:szCs w:val="22"/>
        </w:rPr>
      </w:pPr>
      <w:r w:rsidRPr="006F2E7F">
        <w:rPr>
          <w:rFonts w:ascii="Century Gothic" w:hAnsi="Century Gothic"/>
          <w:sz w:val="22"/>
          <w:szCs w:val="22"/>
        </w:rPr>
        <w:t>Actualizar el padrón catastral</w:t>
      </w:r>
    </w:p>
    <w:p w14:paraId="15F32362" w14:textId="77777777" w:rsidR="002657E4" w:rsidRPr="006F2E7F" w:rsidRDefault="002657E4" w:rsidP="00E50CE9">
      <w:pPr>
        <w:pStyle w:val="Prrafodelista"/>
        <w:numPr>
          <w:ilvl w:val="0"/>
          <w:numId w:val="40"/>
        </w:numPr>
        <w:spacing w:after="160" w:line="259" w:lineRule="auto"/>
        <w:jc w:val="both"/>
        <w:rPr>
          <w:rFonts w:ascii="Century Gothic" w:hAnsi="Century Gothic"/>
          <w:b/>
          <w:bCs/>
          <w:sz w:val="22"/>
          <w:szCs w:val="22"/>
        </w:rPr>
      </w:pPr>
      <w:r w:rsidRPr="006F2E7F">
        <w:rPr>
          <w:rFonts w:ascii="Century Gothic" w:hAnsi="Century Gothic"/>
          <w:b/>
          <w:bCs/>
          <w:sz w:val="22"/>
          <w:szCs w:val="22"/>
        </w:rPr>
        <w:t xml:space="preserve">Incorporar inmuebles al padrón catastral </w:t>
      </w:r>
    </w:p>
    <w:p w14:paraId="2BA124B8" w14:textId="77777777" w:rsidR="002657E4" w:rsidRPr="006F2E7F" w:rsidRDefault="002657E4" w:rsidP="00E50CE9">
      <w:pPr>
        <w:pStyle w:val="Prrafodelista"/>
        <w:numPr>
          <w:ilvl w:val="0"/>
          <w:numId w:val="40"/>
        </w:numPr>
        <w:spacing w:after="160" w:line="259" w:lineRule="auto"/>
        <w:jc w:val="both"/>
        <w:rPr>
          <w:rFonts w:ascii="Century Gothic" w:hAnsi="Century Gothic"/>
          <w:b/>
          <w:bCs/>
          <w:sz w:val="22"/>
          <w:szCs w:val="22"/>
        </w:rPr>
      </w:pPr>
      <w:r w:rsidRPr="006F2E7F">
        <w:rPr>
          <w:rFonts w:ascii="Century Gothic" w:hAnsi="Century Gothic"/>
          <w:b/>
          <w:bCs/>
          <w:sz w:val="22"/>
          <w:szCs w:val="22"/>
        </w:rPr>
        <w:t>Actualizar las tablas de valores</w:t>
      </w:r>
    </w:p>
    <w:p w14:paraId="600A7092"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Objetivo:</w:t>
      </w:r>
      <w:r w:rsidRPr="006F2E7F">
        <w:rPr>
          <w:rFonts w:ascii="Century Gothic" w:hAnsi="Century Gothic"/>
          <w:sz w:val="22"/>
          <w:szCs w:val="22"/>
        </w:rPr>
        <w:t xml:space="preserve"> Fomentar entre los islenses el respeto, cuidado, protección y bienestar animal. </w:t>
      </w:r>
    </w:p>
    <w:p w14:paraId="0B8D870E" w14:textId="77777777" w:rsidR="002657E4" w:rsidRPr="006F2E7F" w:rsidRDefault="002657E4" w:rsidP="002657E4">
      <w:pPr>
        <w:jc w:val="both"/>
        <w:rPr>
          <w:rFonts w:ascii="Century Gothic" w:hAnsi="Century Gothic"/>
          <w:sz w:val="22"/>
          <w:szCs w:val="22"/>
        </w:rPr>
      </w:pPr>
      <w:r w:rsidRPr="006F2E7F">
        <w:rPr>
          <w:rFonts w:ascii="Century Gothic" w:hAnsi="Century Gothic"/>
          <w:b/>
          <w:sz w:val="22"/>
          <w:szCs w:val="22"/>
        </w:rPr>
        <w:t>Estrategia:</w:t>
      </w:r>
      <w:r w:rsidRPr="006F2E7F">
        <w:rPr>
          <w:rFonts w:ascii="Century Gothic" w:hAnsi="Century Gothic"/>
          <w:sz w:val="22"/>
          <w:szCs w:val="22"/>
        </w:rPr>
        <w:t xml:space="preserve"> Promover el bienestar y trato digno de la fauna silvestre, mascotas y animales domésticos.</w:t>
      </w:r>
    </w:p>
    <w:p w14:paraId="4F82DAC8" w14:textId="77777777" w:rsidR="002657E4" w:rsidRPr="006F2E7F" w:rsidRDefault="002657E4" w:rsidP="002657E4">
      <w:pPr>
        <w:jc w:val="both"/>
        <w:rPr>
          <w:rFonts w:ascii="Century Gothic" w:hAnsi="Century Gothic"/>
          <w:b/>
          <w:bCs/>
          <w:sz w:val="22"/>
          <w:szCs w:val="22"/>
        </w:rPr>
      </w:pPr>
      <w:r w:rsidRPr="006F2E7F">
        <w:rPr>
          <w:rFonts w:ascii="Century Gothic" w:hAnsi="Century Gothic"/>
          <w:b/>
          <w:bCs/>
          <w:sz w:val="22"/>
          <w:szCs w:val="22"/>
        </w:rPr>
        <w:t>Acciones:</w:t>
      </w:r>
    </w:p>
    <w:p w14:paraId="6A101B6C" w14:textId="77777777" w:rsidR="002657E4" w:rsidRPr="006F2E7F" w:rsidRDefault="002657E4" w:rsidP="00E50CE9">
      <w:pPr>
        <w:pStyle w:val="Prrafodelista"/>
        <w:numPr>
          <w:ilvl w:val="0"/>
          <w:numId w:val="42"/>
        </w:numPr>
        <w:spacing w:after="160" w:line="259" w:lineRule="auto"/>
        <w:jc w:val="both"/>
        <w:rPr>
          <w:rFonts w:ascii="Century Gothic" w:hAnsi="Century Gothic"/>
          <w:sz w:val="22"/>
          <w:szCs w:val="22"/>
        </w:rPr>
      </w:pPr>
      <w:r w:rsidRPr="006F2E7F">
        <w:rPr>
          <w:rFonts w:ascii="Century Gothic" w:hAnsi="Century Gothic"/>
          <w:sz w:val="22"/>
          <w:szCs w:val="22"/>
        </w:rPr>
        <w:t>Implementar campañas de vacunación antirrábica.</w:t>
      </w:r>
    </w:p>
    <w:p w14:paraId="06F8E63D" w14:textId="77777777" w:rsidR="002657E4" w:rsidRPr="006F2E7F" w:rsidRDefault="002657E4" w:rsidP="00E50CE9">
      <w:pPr>
        <w:pStyle w:val="Prrafodelista"/>
        <w:numPr>
          <w:ilvl w:val="0"/>
          <w:numId w:val="42"/>
        </w:numPr>
        <w:spacing w:after="160" w:line="259" w:lineRule="auto"/>
        <w:jc w:val="both"/>
        <w:rPr>
          <w:rFonts w:ascii="Century Gothic" w:hAnsi="Century Gothic"/>
          <w:sz w:val="22"/>
          <w:szCs w:val="22"/>
        </w:rPr>
      </w:pPr>
      <w:r w:rsidRPr="006F2E7F">
        <w:rPr>
          <w:rFonts w:ascii="Century Gothic" w:hAnsi="Century Gothic"/>
          <w:sz w:val="22"/>
          <w:szCs w:val="22"/>
        </w:rPr>
        <w:t xml:space="preserve">Realizar campañas de esterilización canina y felina gratuitas. </w:t>
      </w:r>
    </w:p>
    <w:p w14:paraId="15A56A22" w14:textId="0872DBBA" w:rsidR="006F2E7F" w:rsidRDefault="002657E4" w:rsidP="00E50CE9">
      <w:pPr>
        <w:pStyle w:val="Prrafodelista"/>
        <w:numPr>
          <w:ilvl w:val="0"/>
          <w:numId w:val="42"/>
        </w:numPr>
        <w:spacing w:line="259" w:lineRule="auto"/>
        <w:jc w:val="both"/>
        <w:rPr>
          <w:rFonts w:ascii="Century Gothic" w:hAnsi="Century Gothic"/>
          <w:sz w:val="22"/>
          <w:szCs w:val="22"/>
        </w:rPr>
      </w:pPr>
      <w:r w:rsidRPr="006F2E7F">
        <w:rPr>
          <w:rFonts w:ascii="Century Gothic" w:hAnsi="Century Gothic"/>
          <w:sz w:val="22"/>
          <w:szCs w:val="22"/>
        </w:rPr>
        <w:t>Realizar cursos para fomentar la denuncia por maltrato animal.</w:t>
      </w:r>
    </w:p>
    <w:p w14:paraId="39641BC1" w14:textId="77777777" w:rsidR="006F2E7F" w:rsidRDefault="006F2E7F">
      <w:pPr>
        <w:rPr>
          <w:rFonts w:ascii="Century Gothic" w:hAnsi="Century Gothic"/>
          <w:sz w:val="22"/>
          <w:szCs w:val="22"/>
        </w:rPr>
      </w:pPr>
      <w:r>
        <w:rPr>
          <w:rFonts w:ascii="Century Gothic" w:hAnsi="Century Gothic"/>
          <w:sz w:val="22"/>
          <w:szCs w:val="22"/>
        </w:rPr>
        <w:br w:type="page"/>
      </w:r>
    </w:p>
    <w:p w14:paraId="0480E6C6" w14:textId="77777777" w:rsidR="006F2E7F" w:rsidRDefault="006F2E7F" w:rsidP="006F2E7F">
      <w:pPr>
        <w:spacing w:line="259" w:lineRule="auto"/>
        <w:jc w:val="both"/>
        <w:rPr>
          <w:rFonts w:ascii="Century Gothic" w:hAnsi="Century Gothic"/>
          <w:sz w:val="22"/>
          <w:szCs w:val="22"/>
        </w:rPr>
        <w:sectPr w:rsidR="006F2E7F" w:rsidSect="002657E4">
          <w:pgSz w:w="15840" w:h="12240" w:orient="landscape"/>
          <w:pgMar w:top="1440" w:right="1440" w:bottom="1440" w:left="1440" w:header="709" w:footer="709" w:gutter="0"/>
          <w:cols w:num="2" w:space="708"/>
          <w:docGrid w:linePitch="360"/>
        </w:sectPr>
      </w:pPr>
    </w:p>
    <w:p w14:paraId="0DB7E1D3" w14:textId="77777777" w:rsidR="006F2E7F" w:rsidRPr="002A720D" w:rsidRDefault="006F2E7F" w:rsidP="006F2E7F">
      <w:pPr>
        <w:spacing w:line="259" w:lineRule="auto"/>
        <w:jc w:val="center"/>
        <w:rPr>
          <w:rFonts w:ascii="Corbel" w:hAnsi="Corbel"/>
          <w:b/>
          <w:color w:val="8DD873" w:themeColor="accent6" w:themeTint="99"/>
          <w:sz w:val="28"/>
          <w:szCs w:val="28"/>
        </w:rPr>
      </w:pPr>
      <w:bookmarkStart w:id="6" w:name="_Hlk189653578"/>
      <w:r w:rsidRPr="002A720D">
        <w:rPr>
          <w:rFonts w:ascii="Corbel" w:hAnsi="Corbel"/>
          <w:b/>
          <w:color w:val="8DD873" w:themeColor="accent6" w:themeTint="99"/>
          <w:sz w:val="28"/>
          <w:szCs w:val="28"/>
        </w:rPr>
        <w:lastRenderedPageBreak/>
        <w:t>Metas terminales e intermedias</w:t>
      </w:r>
    </w:p>
    <w:tbl>
      <w:tblPr>
        <w:tblStyle w:val="Tablaconcuadrcula4-nfasis2"/>
        <w:tblW w:w="5000" w:type="pct"/>
        <w:tblLook w:val="04A0" w:firstRow="1" w:lastRow="0" w:firstColumn="1" w:lastColumn="0" w:noHBand="0" w:noVBand="1"/>
      </w:tblPr>
      <w:tblGrid>
        <w:gridCol w:w="4104"/>
        <w:gridCol w:w="1293"/>
        <w:gridCol w:w="1763"/>
        <w:gridCol w:w="1930"/>
        <w:gridCol w:w="1930"/>
        <w:gridCol w:w="1930"/>
      </w:tblGrid>
      <w:tr w:rsidR="00BD2112" w14:paraId="7AD2BDDF" w14:textId="77777777" w:rsidTr="00BD21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bookmarkEnd w:id="6"/>
          <w:p w14:paraId="6BAFF67B" w14:textId="77777777" w:rsidR="00BD2112" w:rsidRDefault="00BD2112" w:rsidP="008035D9">
            <w:r w:rsidRPr="00C60466">
              <w:t>Meta por Actividad</w:t>
            </w:r>
          </w:p>
        </w:tc>
        <w:tc>
          <w:tcPr>
            <w:tcW w:w="498" w:type="pct"/>
          </w:tcPr>
          <w:p w14:paraId="588FB37C" w14:textId="77777777" w:rsidR="00BD2112" w:rsidRDefault="00BD2112" w:rsidP="008035D9">
            <w:pPr>
              <w:cnfStyle w:val="100000000000" w:firstRow="1" w:lastRow="0" w:firstColumn="0" w:lastColumn="0" w:oddVBand="0" w:evenVBand="0" w:oddHBand="0" w:evenHBand="0" w:firstRowFirstColumn="0" w:firstRowLastColumn="0" w:lastRowFirstColumn="0" w:lastRowLastColumn="0"/>
            </w:pPr>
            <w:r w:rsidRPr="00C60466">
              <w:t>Unidad de Medida</w:t>
            </w:r>
          </w:p>
        </w:tc>
        <w:tc>
          <w:tcPr>
            <w:tcW w:w="681" w:type="pct"/>
          </w:tcPr>
          <w:p w14:paraId="1BE57DFB" w14:textId="77777777" w:rsidR="00BD2112" w:rsidRDefault="00BD2112" w:rsidP="008035D9">
            <w:pPr>
              <w:cnfStyle w:val="100000000000" w:firstRow="1" w:lastRow="0" w:firstColumn="0" w:lastColumn="0" w:oddVBand="0" w:evenVBand="0" w:oddHBand="0" w:evenHBand="0" w:firstRowFirstColumn="0" w:firstRowLastColumn="0" w:lastRowFirstColumn="0" w:lastRowLastColumn="0"/>
            </w:pPr>
            <w:r w:rsidRPr="00C60466">
              <w:t>Total, de Metas</w:t>
            </w:r>
          </w:p>
        </w:tc>
        <w:tc>
          <w:tcPr>
            <w:tcW w:w="745" w:type="pct"/>
          </w:tcPr>
          <w:p w14:paraId="4E1EC92B" w14:textId="77777777" w:rsidR="00BD2112" w:rsidRDefault="00BD2112" w:rsidP="008035D9">
            <w:pPr>
              <w:cnfStyle w:val="100000000000" w:firstRow="1" w:lastRow="0" w:firstColumn="0" w:lastColumn="0" w:oddVBand="0" w:evenVBand="0" w:oddHBand="0" w:evenHBand="0" w:firstRowFirstColumn="0" w:firstRowLastColumn="0" w:lastRowFirstColumn="0" w:lastRowLastColumn="0"/>
            </w:pPr>
            <w:r w:rsidRPr="00C60466">
              <w:t>Programa 2025</w:t>
            </w:r>
          </w:p>
        </w:tc>
        <w:tc>
          <w:tcPr>
            <w:tcW w:w="745" w:type="pct"/>
          </w:tcPr>
          <w:p w14:paraId="0E185F4D" w14:textId="77777777" w:rsidR="00BD2112" w:rsidRDefault="00BD2112" w:rsidP="008035D9">
            <w:pPr>
              <w:cnfStyle w:val="100000000000" w:firstRow="1" w:lastRow="0" w:firstColumn="0" w:lastColumn="0" w:oddVBand="0" w:evenVBand="0" w:oddHBand="0" w:evenHBand="0" w:firstRowFirstColumn="0" w:firstRowLastColumn="0" w:lastRowFirstColumn="0" w:lastRowLastColumn="0"/>
            </w:pPr>
            <w:r w:rsidRPr="00C60466">
              <w:t>Programa 2026</w:t>
            </w:r>
          </w:p>
        </w:tc>
        <w:tc>
          <w:tcPr>
            <w:tcW w:w="745" w:type="pct"/>
          </w:tcPr>
          <w:p w14:paraId="580CB6EE" w14:textId="77777777" w:rsidR="00BD2112" w:rsidRDefault="00BD2112" w:rsidP="008035D9">
            <w:pPr>
              <w:cnfStyle w:val="100000000000" w:firstRow="1" w:lastRow="0" w:firstColumn="0" w:lastColumn="0" w:oddVBand="0" w:evenVBand="0" w:oddHBand="0" w:evenHBand="0" w:firstRowFirstColumn="0" w:firstRowLastColumn="0" w:lastRowFirstColumn="0" w:lastRowLastColumn="0"/>
            </w:pPr>
            <w:r w:rsidRPr="00C60466">
              <w:t>Programa 2027</w:t>
            </w:r>
          </w:p>
        </w:tc>
      </w:tr>
      <w:tr w:rsidR="00BD2112" w14:paraId="54A6887C"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01CB060F" w14:textId="77777777" w:rsidR="00BD2112" w:rsidRDefault="00BD2112" w:rsidP="008035D9">
            <w:r w:rsidRPr="00C60466">
              <w:t>Brindar asesorías a ciudadanos para la realización de trámites ante la Coordinación de Desarrollo Urbano</w:t>
            </w:r>
          </w:p>
        </w:tc>
        <w:tc>
          <w:tcPr>
            <w:tcW w:w="498" w:type="pct"/>
          </w:tcPr>
          <w:p w14:paraId="64B40C3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Asesoría</w:t>
            </w:r>
          </w:p>
        </w:tc>
        <w:tc>
          <w:tcPr>
            <w:tcW w:w="681" w:type="pct"/>
          </w:tcPr>
          <w:p w14:paraId="6A46997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990</w:t>
            </w:r>
          </w:p>
        </w:tc>
        <w:tc>
          <w:tcPr>
            <w:tcW w:w="745" w:type="pct"/>
          </w:tcPr>
          <w:p w14:paraId="317A4D23"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330</w:t>
            </w:r>
          </w:p>
        </w:tc>
        <w:tc>
          <w:tcPr>
            <w:tcW w:w="745" w:type="pct"/>
          </w:tcPr>
          <w:p w14:paraId="3BEE0890"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330</w:t>
            </w:r>
          </w:p>
        </w:tc>
        <w:tc>
          <w:tcPr>
            <w:tcW w:w="745" w:type="pct"/>
          </w:tcPr>
          <w:p w14:paraId="35CB55C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330</w:t>
            </w:r>
          </w:p>
        </w:tc>
      </w:tr>
      <w:tr w:rsidR="00BD2112" w14:paraId="065B5DF7"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13CEEB0B" w14:textId="77777777" w:rsidR="00BD2112" w:rsidRDefault="00BD2112" w:rsidP="008035D9">
            <w:r w:rsidRPr="00C60466">
              <w:t>Expedir constancias, cédulas y licencias correspondientes a la Coordinación de Desarrollo Urbano</w:t>
            </w:r>
          </w:p>
        </w:tc>
        <w:tc>
          <w:tcPr>
            <w:tcW w:w="498" w:type="pct"/>
          </w:tcPr>
          <w:p w14:paraId="041BD15A"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Documento</w:t>
            </w:r>
          </w:p>
        </w:tc>
        <w:tc>
          <w:tcPr>
            <w:tcW w:w="681" w:type="pct"/>
          </w:tcPr>
          <w:p w14:paraId="3A3B20B2"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1086</w:t>
            </w:r>
          </w:p>
        </w:tc>
        <w:tc>
          <w:tcPr>
            <w:tcW w:w="745" w:type="pct"/>
          </w:tcPr>
          <w:p w14:paraId="09620C95"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362</w:t>
            </w:r>
          </w:p>
        </w:tc>
        <w:tc>
          <w:tcPr>
            <w:tcW w:w="745" w:type="pct"/>
          </w:tcPr>
          <w:p w14:paraId="11896149"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362</w:t>
            </w:r>
          </w:p>
        </w:tc>
        <w:tc>
          <w:tcPr>
            <w:tcW w:w="745" w:type="pct"/>
          </w:tcPr>
          <w:p w14:paraId="5E65E6FD"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362</w:t>
            </w:r>
          </w:p>
        </w:tc>
      </w:tr>
      <w:tr w:rsidR="00BD2112" w14:paraId="78A33C9E"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7A308F57" w14:textId="77777777" w:rsidR="00BD2112" w:rsidRDefault="00BD2112" w:rsidP="008035D9">
            <w:r w:rsidRPr="00C60466">
              <w:t>Participar en las sesiones con el Comité de Prevención y Control del Crecimiento Urbano</w:t>
            </w:r>
          </w:p>
        </w:tc>
        <w:tc>
          <w:tcPr>
            <w:tcW w:w="498" w:type="pct"/>
          </w:tcPr>
          <w:p w14:paraId="33F7E8C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Sesiones</w:t>
            </w:r>
          </w:p>
        </w:tc>
        <w:tc>
          <w:tcPr>
            <w:tcW w:w="681" w:type="pct"/>
          </w:tcPr>
          <w:p w14:paraId="48AAE56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w:t>
            </w:r>
          </w:p>
        </w:tc>
        <w:tc>
          <w:tcPr>
            <w:tcW w:w="745" w:type="pct"/>
          </w:tcPr>
          <w:p w14:paraId="5F2F6D98"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w:t>
            </w:r>
          </w:p>
        </w:tc>
        <w:tc>
          <w:tcPr>
            <w:tcW w:w="745" w:type="pct"/>
          </w:tcPr>
          <w:p w14:paraId="398C3D81"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w:t>
            </w:r>
          </w:p>
        </w:tc>
        <w:tc>
          <w:tcPr>
            <w:tcW w:w="745" w:type="pct"/>
          </w:tcPr>
          <w:p w14:paraId="54205D2C"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w:t>
            </w:r>
          </w:p>
        </w:tc>
      </w:tr>
      <w:tr w:rsidR="00BD2112" w14:paraId="6D3FD9AE"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29597F39" w14:textId="77777777" w:rsidR="00BD2112" w:rsidRDefault="00BD2112" w:rsidP="008035D9">
            <w:r w:rsidRPr="00C60466">
              <w:t>Control y Supervisión de obras</w:t>
            </w:r>
          </w:p>
        </w:tc>
        <w:tc>
          <w:tcPr>
            <w:tcW w:w="498" w:type="pct"/>
          </w:tcPr>
          <w:p w14:paraId="69727111"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Supervisión</w:t>
            </w:r>
          </w:p>
        </w:tc>
        <w:tc>
          <w:tcPr>
            <w:tcW w:w="681" w:type="pct"/>
          </w:tcPr>
          <w:p w14:paraId="66687E54"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w:t>
            </w:r>
          </w:p>
        </w:tc>
        <w:tc>
          <w:tcPr>
            <w:tcW w:w="745" w:type="pct"/>
          </w:tcPr>
          <w:p w14:paraId="51C33E99"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w:t>
            </w:r>
          </w:p>
        </w:tc>
        <w:tc>
          <w:tcPr>
            <w:tcW w:w="745" w:type="pct"/>
          </w:tcPr>
          <w:p w14:paraId="4A454481"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w:t>
            </w:r>
          </w:p>
        </w:tc>
        <w:tc>
          <w:tcPr>
            <w:tcW w:w="745" w:type="pct"/>
          </w:tcPr>
          <w:p w14:paraId="5E61E94B"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w:t>
            </w:r>
          </w:p>
        </w:tc>
      </w:tr>
      <w:tr w:rsidR="00BD2112" w14:paraId="25CB78D2"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458ED695" w14:textId="77777777" w:rsidR="00BD2112" w:rsidRDefault="00BD2112" w:rsidP="008035D9">
            <w:r w:rsidRPr="00C60466">
              <w:t>Programa de Obras</w:t>
            </w:r>
          </w:p>
        </w:tc>
        <w:tc>
          <w:tcPr>
            <w:tcW w:w="498" w:type="pct"/>
          </w:tcPr>
          <w:p w14:paraId="13CADB0A"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Programa</w:t>
            </w:r>
          </w:p>
        </w:tc>
        <w:tc>
          <w:tcPr>
            <w:tcW w:w="681" w:type="pct"/>
          </w:tcPr>
          <w:p w14:paraId="6841B7F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w:t>
            </w:r>
          </w:p>
        </w:tc>
        <w:tc>
          <w:tcPr>
            <w:tcW w:w="745" w:type="pct"/>
          </w:tcPr>
          <w:p w14:paraId="3C3C6F4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w:t>
            </w:r>
          </w:p>
        </w:tc>
        <w:tc>
          <w:tcPr>
            <w:tcW w:w="745" w:type="pct"/>
          </w:tcPr>
          <w:p w14:paraId="7586C99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w:t>
            </w:r>
          </w:p>
        </w:tc>
        <w:tc>
          <w:tcPr>
            <w:tcW w:w="745" w:type="pct"/>
          </w:tcPr>
          <w:p w14:paraId="4EF19AC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w:t>
            </w:r>
          </w:p>
        </w:tc>
      </w:tr>
      <w:tr w:rsidR="00BD2112" w14:paraId="4E8AE0E5"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09E6D06E" w14:textId="77777777" w:rsidR="00BD2112" w:rsidRDefault="00BD2112" w:rsidP="008035D9">
            <w:r w:rsidRPr="00C60466">
              <w:t>Recolectar los residuos sólidos urbanos</w:t>
            </w:r>
          </w:p>
        </w:tc>
        <w:tc>
          <w:tcPr>
            <w:tcW w:w="498" w:type="pct"/>
          </w:tcPr>
          <w:p w14:paraId="76D6D204"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Tonelada</w:t>
            </w:r>
          </w:p>
        </w:tc>
        <w:tc>
          <w:tcPr>
            <w:tcW w:w="681" w:type="pct"/>
          </w:tcPr>
          <w:p w14:paraId="2A43DD4A"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9696</w:t>
            </w:r>
          </w:p>
        </w:tc>
        <w:tc>
          <w:tcPr>
            <w:tcW w:w="745" w:type="pct"/>
          </w:tcPr>
          <w:p w14:paraId="088D20D9"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3232</w:t>
            </w:r>
          </w:p>
        </w:tc>
        <w:tc>
          <w:tcPr>
            <w:tcW w:w="745" w:type="pct"/>
          </w:tcPr>
          <w:p w14:paraId="2931EAD1"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3232</w:t>
            </w:r>
          </w:p>
        </w:tc>
        <w:tc>
          <w:tcPr>
            <w:tcW w:w="745" w:type="pct"/>
          </w:tcPr>
          <w:p w14:paraId="7B0A206D"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3232</w:t>
            </w:r>
          </w:p>
        </w:tc>
      </w:tr>
      <w:tr w:rsidR="00BD2112" w14:paraId="1A9B24AE"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40E28F3A" w14:textId="77777777" w:rsidR="00BD2112" w:rsidRDefault="00BD2112" w:rsidP="008035D9">
            <w:r w:rsidRPr="00C60466">
              <w:t>Brindar mantenimiento a áreas verdes</w:t>
            </w:r>
          </w:p>
        </w:tc>
        <w:tc>
          <w:tcPr>
            <w:tcW w:w="498" w:type="pct"/>
          </w:tcPr>
          <w:p w14:paraId="4E9D7C5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m²</w:t>
            </w:r>
          </w:p>
        </w:tc>
        <w:tc>
          <w:tcPr>
            <w:tcW w:w="681" w:type="pct"/>
          </w:tcPr>
          <w:p w14:paraId="0AB7C809"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150600</w:t>
            </w:r>
          </w:p>
        </w:tc>
        <w:tc>
          <w:tcPr>
            <w:tcW w:w="745" w:type="pct"/>
          </w:tcPr>
          <w:p w14:paraId="4781BE1C"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50200</w:t>
            </w:r>
          </w:p>
        </w:tc>
        <w:tc>
          <w:tcPr>
            <w:tcW w:w="745" w:type="pct"/>
          </w:tcPr>
          <w:p w14:paraId="576724E4"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50200</w:t>
            </w:r>
          </w:p>
        </w:tc>
        <w:tc>
          <w:tcPr>
            <w:tcW w:w="745" w:type="pct"/>
          </w:tcPr>
          <w:p w14:paraId="2AFF2E2C"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50200</w:t>
            </w:r>
          </w:p>
        </w:tc>
      </w:tr>
      <w:tr w:rsidR="00BD2112" w14:paraId="4DE22FF2"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4CDAE0C1" w14:textId="77777777" w:rsidR="00BD2112" w:rsidRDefault="00BD2112" w:rsidP="008035D9">
            <w:r w:rsidRPr="00C60466">
              <w:t>Realizar limpieza en el panteón municipal</w:t>
            </w:r>
          </w:p>
        </w:tc>
        <w:tc>
          <w:tcPr>
            <w:tcW w:w="498" w:type="pct"/>
          </w:tcPr>
          <w:p w14:paraId="03ED3923"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Jornada</w:t>
            </w:r>
          </w:p>
        </w:tc>
        <w:tc>
          <w:tcPr>
            <w:tcW w:w="681" w:type="pct"/>
          </w:tcPr>
          <w:p w14:paraId="3EB5B235"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36</w:t>
            </w:r>
          </w:p>
        </w:tc>
        <w:tc>
          <w:tcPr>
            <w:tcW w:w="745" w:type="pct"/>
          </w:tcPr>
          <w:p w14:paraId="5B826176"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w:t>
            </w:r>
          </w:p>
        </w:tc>
        <w:tc>
          <w:tcPr>
            <w:tcW w:w="745" w:type="pct"/>
          </w:tcPr>
          <w:p w14:paraId="33E1CD46"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w:t>
            </w:r>
          </w:p>
        </w:tc>
        <w:tc>
          <w:tcPr>
            <w:tcW w:w="745" w:type="pct"/>
          </w:tcPr>
          <w:p w14:paraId="788CD55C"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w:t>
            </w:r>
          </w:p>
        </w:tc>
      </w:tr>
      <w:tr w:rsidR="00BD2112" w14:paraId="3EFBEB36"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795624C3" w14:textId="77777777" w:rsidR="00BD2112" w:rsidRDefault="00BD2112" w:rsidP="008035D9">
            <w:r w:rsidRPr="00C60466">
              <w:t>Realizar acciones de rehabilitación y mantenimiento de alumbrado</w:t>
            </w:r>
          </w:p>
        </w:tc>
        <w:tc>
          <w:tcPr>
            <w:tcW w:w="498" w:type="pct"/>
          </w:tcPr>
          <w:p w14:paraId="78CD4279"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Acciones</w:t>
            </w:r>
          </w:p>
        </w:tc>
        <w:tc>
          <w:tcPr>
            <w:tcW w:w="681" w:type="pct"/>
          </w:tcPr>
          <w:p w14:paraId="757C230D"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1440</w:t>
            </w:r>
          </w:p>
        </w:tc>
        <w:tc>
          <w:tcPr>
            <w:tcW w:w="745" w:type="pct"/>
          </w:tcPr>
          <w:p w14:paraId="365996BF"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480</w:t>
            </w:r>
          </w:p>
        </w:tc>
        <w:tc>
          <w:tcPr>
            <w:tcW w:w="745" w:type="pct"/>
          </w:tcPr>
          <w:p w14:paraId="25F8DBF4"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480</w:t>
            </w:r>
          </w:p>
        </w:tc>
        <w:tc>
          <w:tcPr>
            <w:tcW w:w="745" w:type="pct"/>
          </w:tcPr>
          <w:p w14:paraId="571AECD1"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480</w:t>
            </w:r>
          </w:p>
        </w:tc>
      </w:tr>
      <w:tr w:rsidR="00BD2112" w14:paraId="03F0BF07"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617B55ED" w14:textId="77777777" w:rsidR="00BD2112" w:rsidRDefault="00BD2112" w:rsidP="008035D9">
            <w:r w:rsidRPr="00C60466">
              <w:t>Brindar mantenimiento a áreas verdes de espacios públicos e instituciones educativas</w:t>
            </w:r>
          </w:p>
        </w:tc>
        <w:tc>
          <w:tcPr>
            <w:tcW w:w="498" w:type="pct"/>
          </w:tcPr>
          <w:p w14:paraId="539C40BC"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m²</w:t>
            </w:r>
          </w:p>
        </w:tc>
        <w:tc>
          <w:tcPr>
            <w:tcW w:w="681" w:type="pct"/>
          </w:tcPr>
          <w:p w14:paraId="2C6C4BC2"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117000</w:t>
            </w:r>
          </w:p>
        </w:tc>
        <w:tc>
          <w:tcPr>
            <w:tcW w:w="745" w:type="pct"/>
          </w:tcPr>
          <w:p w14:paraId="51A314B0"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39000</w:t>
            </w:r>
          </w:p>
        </w:tc>
        <w:tc>
          <w:tcPr>
            <w:tcW w:w="745" w:type="pct"/>
          </w:tcPr>
          <w:p w14:paraId="785D7B27"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39000</w:t>
            </w:r>
          </w:p>
        </w:tc>
        <w:tc>
          <w:tcPr>
            <w:tcW w:w="745" w:type="pct"/>
          </w:tcPr>
          <w:p w14:paraId="354A717E"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39000</w:t>
            </w:r>
          </w:p>
        </w:tc>
      </w:tr>
      <w:tr w:rsidR="00BD2112" w14:paraId="6642B621"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45DD1143" w14:textId="77777777" w:rsidR="00BD2112" w:rsidRDefault="00BD2112" w:rsidP="008035D9">
            <w:r w:rsidRPr="00C60466">
              <w:t>Realizar la poda y derribe de árboles</w:t>
            </w:r>
          </w:p>
        </w:tc>
        <w:tc>
          <w:tcPr>
            <w:tcW w:w="498" w:type="pct"/>
          </w:tcPr>
          <w:p w14:paraId="4CEC0723"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Piezas</w:t>
            </w:r>
          </w:p>
        </w:tc>
        <w:tc>
          <w:tcPr>
            <w:tcW w:w="681" w:type="pct"/>
          </w:tcPr>
          <w:p w14:paraId="15DAB4B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120</w:t>
            </w:r>
          </w:p>
        </w:tc>
        <w:tc>
          <w:tcPr>
            <w:tcW w:w="745" w:type="pct"/>
          </w:tcPr>
          <w:p w14:paraId="025392A5"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40</w:t>
            </w:r>
          </w:p>
        </w:tc>
        <w:tc>
          <w:tcPr>
            <w:tcW w:w="745" w:type="pct"/>
          </w:tcPr>
          <w:p w14:paraId="5B2D8654"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40</w:t>
            </w:r>
          </w:p>
        </w:tc>
        <w:tc>
          <w:tcPr>
            <w:tcW w:w="745" w:type="pct"/>
          </w:tcPr>
          <w:p w14:paraId="7C871BC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40</w:t>
            </w:r>
          </w:p>
        </w:tc>
      </w:tr>
      <w:tr w:rsidR="00BD2112" w14:paraId="191B8E48"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2851F96A" w14:textId="77777777" w:rsidR="00BD2112" w:rsidRDefault="00BD2112" w:rsidP="008035D9">
            <w:r w:rsidRPr="00C60466">
              <w:t>Extraer volumen de agua potable de las fuentes de abastecimiento</w:t>
            </w:r>
          </w:p>
        </w:tc>
        <w:tc>
          <w:tcPr>
            <w:tcW w:w="498" w:type="pct"/>
          </w:tcPr>
          <w:p w14:paraId="6BDA20C9"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m³</w:t>
            </w:r>
          </w:p>
        </w:tc>
        <w:tc>
          <w:tcPr>
            <w:tcW w:w="681" w:type="pct"/>
          </w:tcPr>
          <w:p w14:paraId="2A28B196"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3853442</w:t>
            </w:r>
          </w:p>
        </w:tc>
        <w:tc>
          <w:tcPr>
            <w:tcW w:w="745" w:type="pct"/>
          </w:tcPr>
          <w:p w14:paraId="763196FD"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1284481</w:t>
            </w:r>
          </w:p>
        </w:tc>
        <w:tc>
          <w:tcPr>
            <w:tcW w:w="745" w:type="pct"/>
          </w:tcPr>
          <w:p w14:paraId="677A5D65"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1284481</w:t>
            </w:r>
          </w:p>
        </w:tc>
        <w:tc>
          <w:tcPr>
            <w:tcW w:w="745" w:type="pct"/>
          </w:tcPr>
          <w:p w14:paraId="5C5DE4B3"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1284481</w:t>
            </w:r>
          </w:p>
        </w:tc>
      </w:tr>
      <w:tr w:rsidR="00BD2112" w14:paraId="62387B0E"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512E1F2C" w14:textId="77777777" w:rsidR="00BD2112" w:rsidRDefault="00BD2112" w:rsidP="008035D9">
            <w:r w:rsidRPr="00C60466">
              <w:t>Verificar el cumplimiento del programa de bombeo de agua potable para el consumo de la población</w:t>
            </w:r>
          </w:p>
        </w:tc>
        <w:tc>
          <w:tcPr>
            <w:tcW w:w="498" w:type="pct"/>
          </w:tcPr>
          <w:p w14:paraId="716EAB9B"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m³</w:t>
            </w:r>
          </w:p>
        </w:tc>
        <w:tc>
          <w:tcPr>
            <w:tcW w:w="681" w:type="pct"/>
          </w:tcPr>
          <w:p w14:paraId="3DBA443B"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3853442</w:t>
            </w:r>
          </w:p>
        </w:tc>
        <w:tc>
          <w:tcPr>
            <w:tcW w:w="745" w:type="pct"/>
          </w:tcPr>
          <w:p w14:paraId="2DD86D11"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1284481</w:t>
            </w:r>
          </w:p>
        </w:tc>
        <w:tc>
          <w:tcPr>
            <w:tcW w:w="745" w:type="pct"/>
          </w:tcPr>
          <w:p w14:paraId="62DCF2A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1284481</w:t>
            </w:r>
          </w:p>
        </w:tc>
        <w:tc>
          <w:tcPr>
            <w:tcW w:w="745" w:type="pct"/>
          </w:tcPr>
          <w:p w14:paraId="5155C37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1284481</w:t>
            </w:r>
          </w:p>
        </w:tc>
      </w:tr>
      <w:tr w:rsidR="00BD2112" w14:paraId="2AF26F56"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2BD5A539" w14:textId="77777777" w:rsidR="00BD2112" w:rsidRDefault="00BD2112" w:rsidP="008035D9">
            <w:r w:rsidRPr="00C60466">
              <w:t>Efectuar la cloración de volúmenes de agua potable para el consumo de la población</w:t>
            </w:r>
          </w:p>
        </w:tc>
        <w:tc>
          <w:tcPr>
            <w:tcW w:w="498" w:type="pct"/>
          </w:tcPr>
          <w:p w14:paraId="3E304D14"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Litros</w:t>
            </w:r>
          </w:p>
        </w:tc>
        <w:tc>
          <w:tcPr>
            <w:tcW w:w="681" w:type="pct"/>
          </w:tcPr>
          <w:p w14:paraId="5E09DC25"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11520</w:t>
            </w:r>
          </w:p>
        </w:tc>
        <w:tc>
          <w:tcPr>
            <w:tcW w:w="745" w:type="pct"/>
          </w:tcPr>
          <w:p w14:paraId="3B4F5627"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3840</w:t>
            </w:r>
          </w:p>
        </w:tc>
        <w:tc>
          <w:tcPr>
            <w:tcW w:w="745" w:type="pct"/>
          </w:tcPr>
          <w:p w14:paraId="6DA8E06B"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3840</w:t>
            </w:r>
          </w:p>
        </w:tc>
        <w:tc>
          <w:tcPr>
            <w:tcW w:w="745" w:type="pct"/>
          </w:tcPr>
          <w:p w14:paraId="02B6694D"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3840</w:t>
            </w:r>
          </w:p>
        </w:tc>
      </w:tr>
      <w:tr w:rsidR="00BD2112" w14:paraId="11DE28E5"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31A61135" w14:textId="77777777" w:rsidR="00BD2112" w:rsidRDefault="00BD2112" w:rsidP="008035D9">
            <w:r w:rsidRPr="00C60466">
              <w:t>Brindar mantenimiento a la infraestructura hidráulica</w:t>
            </w:r>
          </w:p>
        </w:tc>
        <w:tc>
          <w:tcPr>
            <w:tcW w:w="498" w:type="pct"/>
          </w:tcPr>
          <w:p w14:paraId="4AEEFC5D"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Pozos</w:t>
            </w:r>
          </w:p>
        </w:tc>
        <w:tc>
          <w:tcPr>
            <w:tcW w:w="681" w:type="pct"/>
          </w:tcPr>
          <w:p w14:paraId="4D545B05"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30</w:t>
            </w:r>
          </w:p>
        </w:tc>
        <w:tc>
          <w:tcPr>
            <w:tcW w:w="745" w:type="pct"/>
          </w:tcPr>
          <w:p w14:paraId="3834A37C"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10</w:t>
            </w:r>
          </w:p>
        </w:tc>
        <w:tc>
          <w:tcPr>
            <w:tcW w:w="745" w:type="pct"/>
          </w:tcPr>
          <w:p w14:paraId="5670AFA0"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10</w:t>
            </w:r>
          </w:p>
        </w:tc>
        <w:tc>
          <w:tcPr>
            <w:tcW w:w="745" w:type="pct"/>
          </w:tcPr>
          <w:p w14:paraId="3C0E7653"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10</w:t>
            </w:r>
          </w:p>
        </w:tc>
      </w:tr>
      <w:tr w:rsidR="00BD2112" w14:paraId="113CF252"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12D38B65" w14:textId="77777777" w:rsidR="00BD2112" w:rsidRDefault="00BD2112" w:rsidP="008035D9">
            <w:r w:rsidRPr="00C60466">
              <w:lastRenderedPageBreak/>
              <w:t>Reparar fugas</w:t>
            </w:r>
          </w:p>
        </w:tc>
        <w:tc>
          <w:tcPr>
            <w:tcW w:w="498" w:type="pct"/>
          </w:tcPr>
          <w:p w14:paraId="58976FFE"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Fugas</w:t>
            </w:r>
          </w:p>
        </w:tc>
        <w:tc>
          <w:tcPr>
            <w:tcW w:w="681" w:type="pct"/>
          </w:tcPr>
          <w:p w14:paraId="44B035FF"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420</w:t>
            </w:r>
          </w:p>
        </w:tc>
        <w:tc>
          <w:tcPr>
            <w:tcW w:w="745" w:type="pct"/>
          </w:tcPr>
          <w:p w14:paraId="37143F7E"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140</w:t>
            </w:r>
          </w:p>
        </w:tc>
        <w:tc>
          <w:tcPr>
            <w:tcW w:w="745" w:type="pct"/>
          </w:tcPr>
          <w:p w14:paraId="1ED4A608"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140</w:t>
            </w:r>
          </w:p>
        </w:tc>
        <w:tc>
          <w:tcPr>
            <w:tcW w:w="745" w:type="pct"/>
          </w:tcPr>
          <w:p w14:paraId="5EF251E7"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140</w:t>
            </w:r>
          </w:p>
        </w:tc>
      </w:tr>
      <w:tr w:rsidR="00BD2112" w14:paraId="139C128E"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6A2900BD" w14:textId="77777777" w:rsidR="00BD2112" w:rsidRDefault="00BD2112" w:rsidP="008035D9">
            <w:r w:rsidRPr="00C60466">
              <w:t>Incorporar nuevas conexiones de agua</w:t>
            </w:r>
          </w:p>
        </w:tc>
        <w:tc>
          <w:tcPr>
            <w:tcW w:w="498" w:type="pct"/>
          </w:tcPr>
          <w:p w14:paraId="420E4168"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Tomas</w:t>
            </w:r>
          </w:p>
        </w:tc>
        <w:tc>
          <w:tcPr>
            <w:tcW w:w="681" w:type="pct"/>
          </w:tcPr>
          <w:p w14:paraId="37EFF81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261</w:t>
            </w:r>
          </w:p>
        </w:tc>
        <w:tc>
          <w:tcPr>
            <w:tcW w:w="745" w:type="pct"/>
          </w:tcPr>
          <w:p w14:paraId="0C0D64DF"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87</w:t>
            </w:r>
          </w:p>
        </w:tc>
        <w:tc>
          <w:tcPr>
            <w:tcW w:w="745" w:type="pct"/>
          </w:tcPr>
          <w:p w14:paraId="78E382AB"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87</w:t>
            </w:r>
          </w:p>
        </w:tc>
        <w:tc>
          <w:tcPr>
            <w:tcW w:w="745" w:type="pct"/>
          </w:tcPr>
          <w:p w14:paraId="4B18DB2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87</w:t>
            </w:r>
          </w:p>
        </w:tc>
      </w:tr>
      <w:tr w:rsidR="00BD2112" w14:paraId="2520BE23"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65808B94" w14:textId="77777777" w:rsidR="00BD2112" w:rsidRDefault="00BD2112" w:rsidP="008035D9">
            <w:r w:rsidRPr="00C60466">
              <w:t>Inspeccionar la infraestructura para el tratamiento de aguas residuales</w:t>
            </w:r>
          </w:p>
        </w:tc>
        <w:tc>
          <w:tcPr>
            <w:tcW w:w="498" w:type="pct"/>
          </w:tcPr>
          <w:p w14:paraId="0F779D3C"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Reporte</w:t>
            </w:r>
          </w:p>
        </w:tc>
        <w:tc>
          <w:tcPr>
            <w:tcW w:w="681" w:type="pct"/>
          </w:tcPr>
          <w:p w14:paraId="7AD7D2EC"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12</w:t>
            </w:r>
          </w:p>
        </w:tc>
        <w:tc>
          <w:tcPr>
            <w:tcW w:w="745" w:type="pct"/>
          </w:tcPr>
          <w:p w14:paraId="44C3968E"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w:t>
            </w:r>
          </w:p>
        </w:tc>
        <w:tc>
          <w:tcPr>
            <w:tcW w:w="745" w:type="pct"/>
          </w:tcPr>
          <w:p w14:paraId="1E7391F1"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w:t>
            </w:r>
          </w:p>
        </w:tc>
        <w:tc>
          <w:tcPr>
            <w:tcW w:w="745" w:type="pct"/>
          </w:tcPr>
          <w:p w14:paraId="52B2818C"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w:t>
            </w:r>
          </w:p>
        </w:tc>
      </w:tr>
      <w:tr w:rsidR="00BD2112" w14:paraId="33BFF6B2"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742B1C3A" w14:textId="77777777" w:rsidR="00BD2112" w:rsidRDefault="00BD2112" w:rsidP="008035D9">
            <w:r w:rsidRPr="00C60466">
              <w:t>Brindar mantenimiento de la infraestructura para el tratamiento de aguas residuales</w:t>
            </w:r>
          </w:p>
        </w:tc>
        <w:tc>
          <w:tcPr>
            <w:tcW w:w="498" w:type="pct"/>
          </w:tcPr>
          <w:p w14:paraId="34E6E345"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Reporte</w:t>
            </w:r>
          </w:p>
        </w:tc>
        <w:tc>
          <w:tcPr>
            <w:tcW w:w="681" w:type="pct"/>
          </w:tcPr>
          <w:p w14:paraId="18A98DD5"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12</w:t>
            </w:r>
          </w:p>
        </w:tc>
        <w:tc>
          <w:tcPr>
            <w:tcW w:w="745" w:type="pct"/>
          </w:tcPr>
          <w:p w14:paraId="3BB2EDF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w:t>
            </w:r>
          </w:p>
        </w:tc>
        <w:tc>
          <w:tcPr>
            <w:tcW w:w="745" w:type="pct"/>
          </w:tcPr>
          <w:p w14:paraId="5A5FB814"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w:t>
            </w:r>
          </w:p>
        </w:tc>
        <w:tc>
          <w:tcPr>
            <w:tcW w:w="745" w:type="pct"/>
          </w:tcPr>
          <w:p w14:paraId="2525BC92"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w:t>
            </w:r>
          </w:p>
        </w:tc>
      </w:tr>
      <w:tr w:rsidR="00BD2112" w14:paraId="7F1C0536"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6667D358" w14:textId="77777777" w:rsidR="00BD2112" w:rsidRDefault="00BD2112" w:rsidP="008035D9">
            <w:r w:rsidRPr="00C60466">
              <w:t>Volumen de descarga doméstica</w:t>
            </w:r>
          </w:p>
        </w:tc>
        <w:tc>
          <w:tcPr>
            <w:tcW w:w="498" w:type="pct"/>
          </w:tcPr>
          <w:p w14:paraId="3823B827"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m³</w:t>
            </w:r>
          </w:p>
        </w:tc>
        <w:tc>
          <w:tcPr>
            <w:tcW w:w="681" w:type="pct"/>
          </w:tcPr>
          <w:p w14:paraId="4D5C7A32"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2721454</w:t>
            </w:r>
          </w:p>
        </w:tc>
        <w:tc>
          <w:tcPr>
            <w:tcW w:w="745" w:type="pct"/>
          </w:tcPr>
          <w:p w14:paraId="6FC8BBAF"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907151</w:t>
            </w:r>
          </w:p>
        </w:tc>
        <w:tc>
          <w:tcPr>
            <w:tcW w:w="745" w:type="pct"/>
          </w:tcPr>
          <w:p w14:paraId="02D51B85"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907151</w:t>
            </w:r>
          </w:p>
        </w:tc>
        <w:tc>
          <w:tcPr>
            <w:tcW w:w="745" w:type="pct"/>
          </w:tcPr>
          <w:p w14:paraId="448D6301"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907151</w:t>
            </w:r>
          </w:p>
        </w:tc>
      </w:tr>
      <w:tr w:rsidR="00BD2112" w14:paraId="4EED9060"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7100F661" w14:textId="77777777" w:rsidR="00BD2112" w:rsidRDefault="00BD2112" w:rsidP="008035D9">
            <w:r w:rsidRPr="00C60466">
              <w:t>Reparar rejillas</w:t>
            </w:r>
          </w:p>
        </w:tc>
        <w:tc>
          <w:tcPr>
            <w:tcW w:w="498" w:type="pct"/>
          </w:tcPr>
          <w:p w14:paraId="4CF8DA8D"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Piezas</w:t>
            </w:r>
          </w:p>
        </w:tc>
        <w:tc>
          <w:tcPr>
            <w:tcW w:w="681" w:type="pct"/>
          </w:tcPr>
          <w:p w14:paraId="01E5420C"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465</w:t>
            </w:r>
          </w:p>
        </w:tc>
        <w:tc>
          <w:tcPr>
            <w:tcW w:w="745" w:type="pct"/>
          </w:tcPr>
          <w:p w14:paraId="53236C4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155</w:t>
            </w:r>
          </w:p>
        </w:tc>
        <w:tc>
          <w:tcPr>
            <w:tcW w:w="745" w:type="pct"/>
          </w:tcPr>
          <w:p w14:paraId="10FD8FD4"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155</w:t>
            </w:r>
          </w:p>
        </w:tc>
        <w:tc>
          <w:tcPr>
            <w:tcW w:w="745" w:type="pct"/>
          </w:tcPr>
          <w:p w14:paraId="6A836CB0"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155</w:t>
            </w:r>
          </w:p>
        </w:tc>
      </w:tr>
      <w:tr w:rsidR="00BD2112" w14:paraId="74000B6E"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0AC8970F" w14:textId="77777777" w:rsidR="00BD2112" w:rsidRDefault="00BD2112" w:rsidP="008035D9">
            <w:r w:rsidRPr="00C60466">
              <w:t>Realizar desazolves</w:t>
            </w:r>
          </w:p>
        </w:tc>
        <w:tc>
          <w:tcPr>
            <w:tcW w:w="498" w:type="pct"/>
          </w:tcPr>
          <w:p w14:paraId="4C57C84E"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Metros lineales</w:t>
            </w:r>
          </w:p>
        </w:tc>
        <w:tc>
          <w:tcPr>
            <w:tcW w:w="681" w:type="pct"/>
          </w:tcPr>
          <w:p w14:paraId="5EAC3878"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13500</w:t>
            </w:r>
          </w:p>
        </w:tc>
        <w:tc>
          <w:tcPr>
            <w:tcW w:w="745" w:type="pct"/>
          </w:tcPr>
          <w:p w14:paraId="0FFF2F29"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4500</w:t>
            </w:r>
          </w:p>
        </w:tc>
        <w:tc>
          <w:tcPr>
            <w:tcW w:w="745" w:type="pct"/>
          </w:tcPr>
          <w:p w14:paraId="4BC0EA05"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4500</w:t>
            </w:r>
          </w:p>
        </w:tc>
        <w:tc>
          <w:tcPr>
            <w:tcW w:w="745" w:type="pct"/>
          </w:tcPr>
          <w:p w14:paraId="42DEAF83"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4500</w:t>
            </w:r>
          </w:p>
        </w:tc>
      </w:tr>
      <w:tr w:rsidR="00BD2112" w14:paraId="0DBEE653"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40C368CE" w14:textId="77777777" w:rsidR="00BD2112" w:rsidRDefault="00BD2112" w:rsidP="008035D9">
            <w:r w:rsidRPr="00C60466">
              <w:t>Desazolvar canales a cielo abierto</w:t>
            </w:r>
          </w:p>
        </w:tc>
        <w:tc>
          <w:tcPr>
            <w:tcW w:w="498" w:type="pct"/>
          </w:tcPr>
          <w:p w14:paraId="23988BC4"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Reporte</w:t>
            </w:r>
          </w:p>
        </w:tc>
        <w:tc>
          <w:tcPr>
            <w:tcW w:w="681" w:type="pct"/>
          </w:tcPr>
          <w:p w14:paraId="2E36AB61"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24</w:t>
            </w:r>
          </w:p>
        </w:tc>
        <w:tc>
          <w:tcPr>
            <w:tcW w:w="745" w:type="pct"/>
          </w:tcPr>
          <w:p w14:paraId="0259858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8</w:t>
            </w:r>
          </w:p>
        </w:tc>
        <w:tc>
          <w:tcPr>
            <w:tcW w:w="745" w:type="pct"/>
          </w:tcPr>
          <w:p w14:paraId="3F6444FD"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8</w:t>
            </w:r>
          </w:p>
        </w:tc>
        <w:tc>
          <w:tcPr>
            <w:tcW w:w="745" w:type="pct"/>
          </w:tcPr>
          <w:p w14:paraId="04B7798E"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8</w:t>
            </w:r>
          </w:p>
        </w:tc>
      </w:tr>
      <w:tr w:rsidR="00BD2112" w14:paraId="6759D615" w14:textId="77777777" w:rsidTr="00BD2112">
        <w:tc>
          <w:tcPr>
            <w:cnfStyle w:val="001000000000" w:firstRow="0" w:lastRow="0" w:firstColumn="1" w:lastColumn="0" w:oddVBand="0" w:evenVBand="0" w:oddHBand="0" w:evenHBand="0" w:firstRowFirstColumn="0" w:firstRowLastColumn="0" w:lastRowFirstColumn="0" w:lastRowLastColumn="0"/>
            <w:tcW w:w="1585" w:type="pct"/>
          </w:tcPr>
          <w:p w14:paraId="6F96B84B" w14:textId="77777777" w:rsidR="00BD2112" w:rsidRDefault="00BD2112" w:rsidP="008035D9">
            <w:r w:rsidRPr="00C60466">
              <w:t>Meta por Actividad</w:t>
            </w:r>
          </w:p>
        </w:tc>
        <w:tc>
          <w:tcPr>
            <w:tcW w:w="498" w:type="pct"/>
          </w:tcPr>
          <w:p w14:paraId="042913A7"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Unidad de Medida</w:t>
            </w:r>
          </w:p>
        </w:tc>
        <w:tc>
          <w:tcPr>
            <w:tcW w:w="681" w:type="pct"/>
          </w:tcPr>
          <w:p w14:paraId="36E3B1A1"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proofErr w:type="gramStart"/>
            <w:r w:rsidRPr="00C60466">
              <w:t>Total</w:t>
            </w:r>
            <w:proofErr w:type="gramEnd"/>
            <w:r w:rsidRPr="00C60466">
              <w:t xml:space="preserve"> de Metas</w:t>
            </w:r>
          </w:p>
        </w:tc>
        <w:tc>
          <w:tcPr>
            <w:tcW w:w="745" w:type="pct"/>
          </w:tcPr>
          <w:p w14:paraId="58223DA9"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Programa 2025</w:t>
            </w:r>
          </w:p>
        </w:tc>
        <w:tc>
          <w:tcPr>
            <w:tcW w:w="745" w:type="pct"/>
          </w:tcPr>
          <w:p w14:paraId="34A463DF"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Programa 2026</w:t>
            </w:r>
          </w:p>
        </w:tc>
        <w:tc>
          <w:tcPr>
            <w:tcW w:w="745" w:type="pct"/>
          </w:tcPr>
          <w:p w14:paraId="219835EF" w14:textId="77777777" w:rsidR="00BD2112" w:rsidRDefault="00BD2112" w:rsidP="008035D9">
            <w:pPr>
              <w:cnfStyle w:val="000000000000" w:firstRow="0" w:lastRow="0" w:firstColumn="0" w:lastColumn="0" w:oddVBand="0" w:evenVBand="0" w:oddHBand="0" w:evenHBand="0" w:firstRowFirstColumn="0" w:firstRowLastColumn="0" w:lastRowFirstColumn="0" w:lastRowLastColumn="0"/>
            </w:pPr>
            <w:r w:rsidRPr="00C60466">
              <w:t>Programa 2027</w:t>
            </w:r>
          </w:p>
        </w:tc>
      </w:tr>
      <w:tr w:rsidR="00BD2112" w14:paraId="3B549612" w14:textId="77777777" w:rsidTr="00BD21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pct"/>
          </w:tcPr>
          <w:p w14:paraId="7C76CFAC" w14:textId="77777777" w:rsidR="00BD2112" w:rsidRDefault="00BD2112" w:rsidP="008035D9">
            <w:r w:rsidRPr="00C60466">
              <w:t>Brindar asesorías a ciudadanos para la realización de trámites ante la Coordinación de Desarrollo Urbano</w:t>
            </w:r>
          </w:p>
        </w:tc>
        <w:tc>
          <w:tcPr>
            <w:tcW w:w="498" w:type="pct"/>
          </w:tcPr>
          <w:p w14:paraId="7509F6D6"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Asesoría</w:t>
            </w:r>
          </w:p>
        </w:tc>
        <w:tc>
          <w:tcPr>
            <w:tcW w:w="681" w:type="pct"/>
          </w:tcPr>
          <w:p w14:paraId="1A4F6B9A"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990</w:t>
            </w:r>
          </w:p>
        </w:tc>
        <w:tc>
          <w:tcPr>
            <w:tcW w:w="745" w:type="pct"/>
          </w:tcPr>
          <w:p w14:paraId="73DFB029"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330</w:t>
            </w:r>
          </w:p>
        </w:tc>
        <w:tc>
          <w:tcPr>
            <w:tcW w:w="745" w:type="pct"/>
          </w:tcPr>
          <w:p w14:paraId="6775FE17"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330</w:t>
            </w:r>
          </w:p>
        </w:tc>
        <w:tc>
          <w:tcPr>
            <w:tcW w:w="745" w:type="pct"/>
          </w:tcPr>
          <w:p w14:paraId="34A1B975" w14:textId="77777777" w:rsidR="00BD2112" w:rsidRDefault="00BD2112" w:rsidP="008035D9">
            <w:pPr>
              <w:cnfStyle w:val="000000100000" w:firstRow="0" w:lastRow="0" w:firstColumn="0" w:lastColumn="0" w:oddVBand="0" w:evenVBand="0" w:oddHBand="1" w:evenHBand="0" w:firstRowFirstColumn="0" w:firstRowLastColumn="0" w:lastRowFirstColumn="0" w:lastRowLastColumn="0"/>
            </w:pPr>
            <w:r w:rsidRPr="00C60466">
              <w:t>330</w:t>
            </w:r>
          </w:p>
        </w:tc>
      </w:tr>
    </w:tbl>
    <w:p w14:paraId="1EFA6EA1" w14:textId="46648D4A" w:rsidR="00BD2112" w:rsidRDefault="00BD2112" w:rsidP="006F2E7F">
      <w:pPr>
        <w:spacing w:line="259" w:lineRule="auto"/>
        <w:jc w:val="both"/>
        <w:rPr>
          <w:rFonts w:ascii="Century Gothic" w:hAnsi="Century Gothic"/>
          <w:sz w:val="22"/>
          <w:szCs w:val="22"/>
        </w:rPr>
      </w:pPr>
    </w:p>
    <w:p w14:paraId="1A8D23CE" w14:textId="77777777" w:rsidR="00BD2112" w:rsidRDefault="00BD2112">
      <w:pPr>
        <w:rPr>
          <w:rFonts w:ascii="Century Gothic" w:hAnsi="Century Gothic"/>
          <w:sz w:val="22"/>
          <w:szCs w:val="22"/>
        </w:rPr>
      </w:pPr>
      <w:r>
        <w:rPr>
          <w:rFonts w:ascii="Century Gothic" w:hAnsi="Century Gothic"/>
          <w:sz w:val="22"/>
          <w:szCs w:val="22"/>
        </w:rPr>
        <w:br w:type="page"/>
      </w:r>
    </w:p>
    <w:p w14:paraId="1CC436C5" w14:textId="77777777" w:rsidR="00BD2112" w:rsidRDefault="00BD2112" w:rsidP="006F2E7F">
      <w:pPr>
        <w:spacing w:line="259" w:lineRule="auto"/>
        <w:jc w:val="both"/>
        <w:rPr>
          <w:rFonts w:ascii="Century Gothic" w:hAnsi="Century Gothic"/>
          <w:sz w:val="22"/>
          <w:szCs w:val="22"/>
        </w:rPr>
        <w:sectPr w:rsidR="00BD2112" w:rsidSect="006F2E7F">
          <w:pgSz w:w="15840" w:h="12240" w:orient="landscape"/>
          <w:pgMar w:top="1440" w:right="1440" w:bottom="1440" w:left="1440" w:header="709" w:footer="709" w:gutter="0"/>
          <w:cols w:space="708"/>
          <w:docGrid w:linePitch="360"/>
        </w:sectPr>
      </w:pPr>
    </w:p>
    <w:p w14:paraId="22650B3D" w14:textId="77777777" w:rsidR="00CE2E14" w:rsidRPr="00CE2E14" w:rsidRDefault="00CE2E14" w:rsidP="00CE2E14">
      <w:pPr>
        <w:spacing w:after="0" w:line="240" w:lineRule="auto"/>
        <w:rPr>
          <w:rFonts w:ascii="Century Gothic" w:hAnsi="Century Gothic"/>
          <w:bCs/>
          <w:color w:val="025850"/>
          <w:sz w:val="24"/>
          <w:szCs w:val="24"/>
        </w:rPr>
      </w:pPr>
      <w:r w:rsidRPr="00CE2E14">
        <w:rPr>
          <w:rFonts w:ascii="Century Gothic" w:hAnsi="Century Gothic"/>
          <w:b/>
          <w:color w:val="025850"/>
          <w:sz w:val="24"/>
          <w:szCs w:val="24"/>
        </w:rPr>
        <w:lastRenderedPageBreak/>
        <w:t>Acciones Insignias Municipales</w:t>
      </w:r>
    </w:p>
    <w:tbl>
      <w:tblPr>
        <w:tblStyle w:val="Tablaconcuadrcula4-nfasis2"/>
        <w:tblW w:w="5000" w:type="pct"/>
        <w:tblLook w:val="04A0" w:firstRow="1" w:lastRow="0" w:firstColumn="1" w:lastColumn="0" w:noHBand="0" w:noVBand="1"/>
      </w:tblPr>
      <w:tblGrid>
        <w:gridCol w:w="1415"/>
        <w:gridCol w:w="1699"/>
        <w:gridCol w:w="142"/>
        <w:gridCol w:w="6661"/>
        <w:gridCol w:w="3033"/>
      </w:tblGrid>
      <w:tr w:rsidR="00CE2E14" w:rsidRPr="00CE2E14" w14:paraId="5F38CB07" w14:textId="77777777" w:rsidTr="00CE2E14">
        <w:trPr>
          <w:cnfStyle w:val="100000000000" w:firstRow="1" w:lastRow="0" w:firstColumn="0" w:lastColumn="0" w:oddVBand="0" w:evenVBand="0" w:oddHBand="0" w:evenHBand="0"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1202" w:type="pct"/>
            <w:gridSpan w:val="2"/>
          </w:tcPr>
          <w:p w14:paraId="278C956F" w14:textId="77777777" w:rsidR="00CE2E14" w:rsidRPr="00CE2E14" w:rsidRDefault="00CE2E14" w:rsidP="00CE2E14">
            <w:pPr>
              <w:jc w:val="both"/>
              <w:rPr>
                <w:rFonts w:ascii="Corbel" w:hAnsi="Corbel"/>
                <w:color w:val="auto"/>
                <w:sz w:val="18"/>
                <w:szCs w:val="18"/>
              </w:rPr>
            </w:pPr>
            <w:r w:rsidRPr="00CE2E14">
              <w:rPr>
                <w:rFonts w:ascii="Corbel" w:hAnsi="Corbel"/>
                <w:noProof/>
                <w:sz w:val="18"/>
                <w:szCs w:val="18"/>
              </w:rPr>
              <w:drawing>
                <wp:inline distT="0" distB="0" distL="0" distR="0" wp14:anchorId="198701A4" wp14:editId="6D49A459">
                  <wp:extent cx="725715" cy="69022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6326" cy="700312"/>
                          </a:xfrm>
                          <a:prstGeom prst="rect">
                            <a:avLst/>
                          </a:prstGeom>
                          <a:noFill/>
                          <a:ln>
                            <a:noFill/>
                          </a:ln>
                        </pic:spPr>
                      </pic:pic>
                    </a:graphicData>
                  </a:graphic>
                </wp:inline>
              </w:drawing>
            </w:r>
          </w:p>
        </w:tc>
        <w:tc>
          <w:tcPr>
            <w:tcW w:w="3798" w:type="pct"/>
            <w:gridSpan w:val="3"/>
          </w:tcPr>
          <w:p w14:paraId="574D887B" w14:textId="77777777" w:rsidR="00CE2E14" w:rsidRPr="00CE2E14" w:rsidRDefault="00CE2E14" w:rsidP="00CE2E14">
            <w:pPr>
              <w:jc w:val="both"/>
              <w:cnfStyle w:val="100000000000" w:firstRow="1" w:lastRow="0" w:firstColumn="0" w:lastColumn="0" w:oddVBand="0" w:evenVBand="0" w:oddHBand="0" w:evenHBand="0" w:firstRowFirstColumn="0" w:firstRowLastColumn="0" w:lastRowFirstColumn="0" w:lastRowLastColumn="0"/>
              <w:rPr>
                <w:rFonts w:ascii="Corbel" w:hAnsi="Corbel"/>
                <w:b w:val="0"/>
                <w:color w:val="auto"/>
                <w:sz w:val="18"/>
                <w:szCs w:val="18"/>
              </w:rPr>
            </w:pPr>
          </w:p>
          <w:p w14:paraId="5479C99F" w14:textId="77777777" w:rsidR="00CE2E14" w:rsidRPr="00CE2E14" w:rsidRDefault="00CE2E14" w:rsidP="00CE2E14">
            <w:pPr>
              <w:jc w:val="both"/>
              <w:cnfStyle w:val="100000000000" w:firstRow="1" w:lastRow="0" w:firstColumn="0" w:lastColumn="0" w:oddVBand="0" w:evenVBand="0" w:oddHBand="0" w:evenHBand="0" w:firstRowFirstColumn="0" w:firstRowLastColumn="0" w:lastRowFirstColumn="0" w:lastRowLastColumn="0"/>
              <w:rPr>
                <w:rFonts w:ascii="Corbel" w:hAnsi="Corbel"/>
                <w:color w:val="auto"/>
                <w:sz w:val="18"/>
                <w:szCs w:val="18"/>
              </w:rPr>
            </w:pPr>
            <w:r w:rsidRPr="00CE2E14">
              <w:rPr>
                <w:rFonts w:ascii="Corbel" w:hAnsi="Corbel"/>
                <w:bCs w:val="0"/>
                <w:sz w:val="18"/>
                <w:szCs w:val="18"/>
              </w:rPr>
              <w:t>REHABILITACIÓN DE ESPACIOS PÚBLICOS MUNICIPALES</w:t>
            </w:r>
          </w:p>
        </w:tc>
      </w:tr>
      <w:tr w:rsidR="00CE2E14" w:rsidRPr="00CE2E14" w14:paraId="25C55225" w14:textId="77777777" w:rsidTr="00CE2E1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gridSpan w:val="5"/>
          </w:tcPr>
          <w:p w14:paraId="20D1A576" w14:textId="77777777" w:rsidR="00CE2E14" w:rsidRPr="00CE2E14" w:rsidRDefault="00CE2E14" w:rsidP="00CE2E14">
            <w:pPr>
              <w:jc w:val="both"/>
              <w:rPr>
                <w:rFonts w:ascii="Corbel" w:hAnsi="Corbel"/>
                <w:sz w:val="18"/>
                <w:szCs w:val="18"/>
              </w:rPr>
            </w:pPr>
            <w:r w:rsidRPr="00CE2E14">
              <w:rPr>
                <w:rFonts w:ascii="Corbel" w:hAnsi="Corbel"/>
                <w:sz w:val="18"/>
                <w:szCs w:val="18"/>
              </w:rPr>
              <w:t>Objetivo: Brindar l</w:t>
            </w:r>
            <w:r w:rsidRPr="00CE2E14">
              <w:rPr>
                <w:rFonts w:ascii="Corbel" w:hAnsi="Corbel"/>
                <w:b w:val="0"/>
                <w:sz w:val="18"/>
                <w:szCs w:val="18"/>
              </w:rPr>
              <w:t>a cantidad y calidad de los espacios públicos destinados para la atención a la ciudadanía, respecto de los servicios que requieren los habitantes.</w:t>
            </w:r>
          </w:p>
        </w:tc>
      </w:tr>
      <w:tr w:rsidR="00CE2E14" w:rsidRPr="00CE2E14" w14:paraId="2E8C56B8" w14:textId="77777777" w:rsidTr="00CE2E14">
        <w:tc>
          <w:tcPr>
            <w:cnfStyle w:val="001000000000" w:firstRow="0" w:lastRow="0" w:firstColumn="1" w:lastColumn="0" w:oddVBand="0" w:evenVBand="0" w:oddHBand="0" w:evenHBand="0" w:firstRowFirstColumn="0" w:firstRowLastColumn="0" w:lastRowFirstColumn="0" w:lastRowLastColumn="0"/>
            <w:tcW w:w="5000" w:type="pct"/>
            <w:gridSpan w:val="5"/>
          </w:tcPr>
          <w:p w14:paraId="1DED2AB6" w14:textId="77777777" w:rsidR="00CE2E14" w:rsidRPr="00CE2E14" w:rsidRDefault="00CE2E14" w:rsidP="00CE2E14">
            <w:pPr>
              <w:jc w:val="both"/>
              <w:rPr>
                <w:rFonts w:ascii="Corbel" w:hAnsi="Corbel"/>
                <w:sz w:val="18"/>
                <w:szCs w:val="18"/>
              </w:rPr>
            </w:pPr>
            <w:r w:rsidRPr="00CE2E14">
              <w:rPr>
                <w:rFonts w:ascii="Corbel" w:hAnsi="Corbel"/>
                <w:sz w:val="18"/>
                <w:szCs w:val="18"/>
              </w:rPr>
              <w:t>Alineación</w:t>
            </w:r>
          </w:p>
        </w:tc>
      </w:tr>
      <w:tr w:rsidR="00CE2E14" w:rsidRPr="00CE2E14" w14:paraId="49401201" w14:textId="77777777" w:rsidTr="00CE2E14">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546" w:type="pct"/>
          </w:tcPr>
          <w:p w14:paraId="58E79913" w14:textId="77777777" w:rsidR="00CE2E14" w:rsidRPr="00CE2E14" w:rsidRDefault="00CE2E14" w:rsidP="00CE2E14">
            <w:pPr>
              <w:jc w:val="both"/>
              <w:rPr>
                <w:rFonts w:ascii="Corbel" w:hAnsi="Corbel"/>
                <w:b w:val="0"/>
                <w:sz w:val="18"/>
                <w:szCs w:val="18"/>
              </w:rPr>
            </w:pPr>
          </w:p>
          <w:p w14:paraId="47E84BA3" w14:textId="77777777" w:rsidR="00CE2E14" w:rsidRPr="00CE2E14" w:rsidRDefault="00CE2E14" w:rsidP="00CE2E14">
            <w:pPr>
              <w:jc w:val="both"/>
              <w:rPr>
                <w:rFonts w:ascii="Corbel" w:hAnsi="Corbel"/>
                <w:sz w:val="18"/>
                <w:szCs w:val="18"/>
              </w:rPr>
            </w:pPr>
            <w:r w:rsidRPr="00CE2E14">
              <w:rPr>
                <w:rFonts w:ascii="Corbel" w:hAnsi="Corbel"/>
                <w:sz w:val="18"/>
                <w:szCs w:val="18"/>
              </w:rPr>
              <w:t>ODS</w:t>
            </w:r>
          </w:p>
        </w:tc>
        <w:tc>
          <w:tcPr>
            <w:tcW w:w="4454" w:type="pct"/>
            <w:gridSpan w:val="4"/>
          </w:tcPr>
          <w:p w14:paraId="35AA8EF9" w14:textId="0F45678D"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noProof/>
                <w:sz w:val="18"/>
                <w:szCs w:val="18"/>
              </w:rPr>
              <w:drawing>
                <wp:anchor distT="0" distB="0" distL="114300" distR="114300" simplePos="0" relativeHeight="251715584" behindDoc="0" locked="0" layoutInCell="1" allowOverlap="1" wp14:anchorId="79391837" wp14:editId="7BE9DC28">
                  <wp:simplePos x="0" y="0"/>
                  <wp:positionH relativeFrom="column">
                    <wp:posOffset>987969</wp:posOffset>
                  </wp:positionH>
                  <wp:positionV relativeFrom="page">
                    <wp:posOffset>69396</wp:posOffset>
                  </wp:positionV>
                  <wp:extent cx="496957" cy="496957"/>
                  <wp:effectExtent l="0" t="0" r="0" b="0"/>
                  <wp:wrapNone/>
                  <wp:docPr id="62"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96957" cy="4969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2E14">
              <w:rPr>
                <w:rFonts w:ascii="Corbel" w:hAnsi="Corbel"/>
                <w:bCs/>
                <w:noProof/>
                <w:sz w:val="18"/>
                <w:szCs w:val="18"/>
              </w:rPr>
              <w:drawing>
                <wp:anchor distT="0" distB="0" distL="114300" distR="114300" simplePos="0" relativeHeight="251716608" behindDoc="0" locked="0" layoutInCell="1" allowOverlap="1" wp14:anchorId="5568BC5F" wp14:editId="34F11A49">
                  <wp:simplePos x="0" y="0"/>
                  <wp:positionH relativeFrom="column">
                    <wp:posOffset>2011862</wp:posOffset>
                  </wp:positionH>
                  <wp:positionV relativeFrom="page">
                    <wp:posOffset>40368</wp:posOffset>
                  </wp:positionV>
                  <wp:extent cx="526415" cy="506896"/>
                  <wp:effectExtent l="0" t="0" r="6985" b="7620"/>
                  <wp:wrapNone/>
                  <wp:docPr id="63"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6415" cy="5068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BA95E"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p w14:paraId="6ADD5CDA"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tc>
      </w:tr>
      <w:tr w:rsidR="00CE2E14" w:rsidRPr="00CE2E14" w14:paraId="68973BE2" w14:textId="77777777" w:rsidTr="00CE2E14">
        <w:tc>
          <w:tcPr>
            <w:cnfStyle w:val="001000000000" w:firstRow="0" w:lastRow="0" w:firstColumn="1" w:lastColumn="0" w:oddVBand="0" w:evenVBand="0" w:oddHBand="0" w:evenHBand="0" w:firstRowFirstColumn="0" w:firstRowLastColumn="0" w:lastRowFirstColumn="0" w:lastRowLastColumn="0"/>
            <w:tcW w:w="1257" w:type="pct"/>
            <w:gridSpan w:val="3"/>
          </w:tcPr>
          <w:p w14:paraId="39FF7F1D" w14:textId="77777777" w:rsidR="00CE2E14" w:rsidRPr="00CE2E14" w:rsidRDefault="00CE2E14" w:rsidP="00CE2E14">
            <w:pPr>
              <w:jc w:val="both"/>
              <w:rPr>
                <w:rFonts w:ascii="Corbel" w:hAnsi="Corbel"/>
                <w:sz w:val="18"/>
                <w:szCs w:val="18"/>
              </w:rPr>
            </w:pPr>
            <w:r w:rsidRPr="00CE2E14">
              <w:rPr>
                <w:rFonts w:ascii="Corbel" w:hAnsi="Corbel"/>
                <w:sz w:val="18"/>
                <w:szCs w:val="18"/>
              </w:rPr>
              <w:t>Plan Nacional de Desarrollo</w:t>
            </w:r>
          </w:p>
        </w:tc>
        <w:tc>
          <w:tcPr>
            <w:tcW w:w="3743" w:type="pct"/>
            <w:gridSpan w:val="2"/>
          </w:tcPr>
          <w:p w14:paraId="19BC51B5" w14:textId="77777777" w:rsidR="00CE2E14" w:rsidRPr="00CE2E14" w:rsidRDefault="00CE2E14" w:rsidP="00CE2E14">
            <w:pPr>
              <w:jc w:val="both"/>
              <w:cnfStyle w:val="000000000000" w:firstRow="0" w:lastRow="0" w:firstColumn="0" w:lastColumn="0" w:oddVBand="0" w:evenVBand="0" w:oddHBand="0" w:evenHBand="0" w:firstRowFirstColumn="0" w:firstRowLastColumn="0" w:lastRowFirstColumn="0" w:lastRowLastColumn="0"/>
              <w:rPr>
                <w:rFonts w:ascii="Corbel" w:hAnsi="Corbel"/>
                <w:b/>
                <w:bCs/>
                <w:sz w:val="18"/>
                <w:szCs w:val="18"/>
              </w:rPr>
            </w:pPr>
            <w:r w:rsidRPr="00CE2E14">
              <w:rPr>
                <w:rFonts w:ascii="Corbel" w:hAnsi="Corbel"/>
                <w:b/>
                <w:bCs/>
                <w:sz w:val="18"/>
                <w:szCs w:val="18"/>
              </w:rPr>
              <w:t>PDEM 2023-2027</w:t>
            </w:r>
          </w:p>
        </w:tc>
      </w:tr>
      <w:tr w:rsidR="00CE2E14" w:rsidRPr="00CE2E14" w14:paraId="2BD6B5DB" w14:textId="77777777" w:rsidTr="00CE2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gridSpan w:val="3"/>
          </w:tcPr>
          <w:p w14:paraId="0CE1309C" w14:textId="77777777" w:rsidR="00CE2E14" w:rsidRPr="00CE2E14" w:rsidRDefault="00CE2E14" w:rsidP="00CE2E14">
            <w:pPr>
              <w:jc w:val="both"/>
              <w:rPr>
                <w:rFonts w:ascii="Corbel" w:hAnsi="Corbel"/>
                <w:b w:val="0"/>
                <w:sz w:val="18"/>
                <w:szCs w:val="18"/>
              </w:rPr>
            </w:pPr>
            <w:r w:rsidRPr="00CE2E14">
              <w:rPr>
                <w:rFonts w:ascii="Corbel" w:hAnsi="Corbel"/>
                <w:sz w:val="18"/>
                <w:szCs w:val="18"/>
              </w:rPr>
              <w:t>Tema: 05</w:t>
            </w:r>
          </w:p>
          <w:p w14:paraId="36128C8A" w14:textId="77777777" w:rsidR="00CE2E14" w:rsidRPr="00CE2E14" w:rsidRDefault="00CE2E14" w:rsidP="00CE2E14">
            <w:pPr>
              <w:jc w:val="both"/>
              <w:rPr>
                <w:rFonts w:ascii="Corbel" w:hAnsi="Corbel"/>
                <w:sz w:val="18"/>
                <w:szCs w:val="18"/>
              </w:rPr>
            </w:pPr>
            <w:r w:rsidRPr="00CE2E14">
              <w:rPr>
                <w:rFonts w:ascii="Corbel" w:hAnsi="Corbel"/>
                <w:sz w:val="18"/>
                <w:szCs w:val="18"/>
              </w:rPr>
              <w:t>Subtema</w:t>
            </w:r>
          </w:p>
        </w:tc>
        <w:tc>
          <w:tcPr>
            <w:tcW w:w="3743" w:type="pct"/>
            <w:gridSpan w:val="2"/>
          </w:tcPr>
          <w:p w14:paraId="00A668FF"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Objetivo</w:t>
            </w:r>
          </w:p>
          <w:p w14:paraId="0B16B078"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3.7 Fomentar comunidades y ciudades sostenibles mediante un crecimiento urbano ordenado e inclusivo, que promueva la inversión y el desarrollo para la prosperidad de la población y su entorno.</w:t>
            </w:r>
          </w:p>
          <w:p w14:paraId="007C970F"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Estrategia</w:t>
            </w:r>
          </w:p>
          <w:p w14:paraId="46BBC08D"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3.7.2 Impulsar la modernización de espacios públicos para el desarrollo urbano, económico y cultural.</w:t>
            </w:r>
          </w:p>
        </w:tc>
      </w:tr>
      <w:tr w:rsidR="00CE2E14" w:rsidRPr="00CE2E14" w14:paraId="5BB41B09" w14:textId="77777777" w:rsidTr="00CE2E14">
        <w:tc>
          <w:tcPr>
            <w:cnfStyle w:val="001000000000" w:firstRow="0" w:lastRow="0" w:firstColumn="1" w:lastColumn="0" w:oddVBand="0" w:evenVBand="0" w:oddHBand="0" w:evenHBand="0" w:firstRowFirstColumn="0" w:firstRowLastColumn="0" w:lastRowFirstColumn="0" w:lastRowLastColumn="0"/>
            <w:tcW w:w="3829" w:type="pct"/>
            <w:gridSpan w:val="4"/>
          </w:tcPr>
          <w:p w14:paraId="670B6AF9" w14:textId="77777777" w:rsidR="00CE2E14" w:rsidRPr="00CE2E14" w:rsidRDefault="00CE2E14" w:rsidP="00CE2E14">
            <w:pPr>
              <w:jc w:val="both"/>
              <w:rPr>
                <w:rFonts w:ascii="Corbel" w:hAnsi="Corbel"/>
                <w:sz w:val="18"/>
                <w:szCs w:val="18"/>
              </w:rPr>
            </w:pPr>
            <w:r w:rsidRPr="00CE2E14">
              <w:rPr>
                <w:rFonts w:ascii="Corbel" w:hAnsi="Corbel"/>
                <w:sz w:val="18"/>
                <w:szCs w:val="18"/>
              </w:rPr>
              <w:t xml:space="preserve">Componente 1 </w:t>
            </w:r>
            <w:r w:rsidRPr="00CE2E14">
              <w:rPr>
                <w:rFonts w:ascii="Corbel" w:hAnsi="Corbel"/>
                <w:b w:val="0"/>
                <w:sz w:val="18"/>
                <w:szCs w:val="18"/>
              </w:rPr>
              <w:t>Atender de manera integralmente los espacios públicos municipales en las comunidades que integral el municipio de San Antonio la isla</w:t>
            </w:r>
          </w:p>
        </w:tc>
        <w:tc>
          <w:tcPr>
            <w:tcW w:w="1171" w:type="pct"/>
          </w:tcPr>
          <w:p w14:paraId="3C13B92F" w14:textId="77777777" w:rsidR="00CE2E14" w:rsidRPr="00CE2E14" w:rsidRDefault="00CE2E14" w:rsidP="00CE2E14">
            <w:pPr>
              <w:jc w:val="both"/>
              <w:cnfStyle w:val="000000000000" w:firstRow="0" w:lastRow="0" w:firstColumn="0" w:lastColumn="0" w:oddVBand="0" w:evenVBand="0" w:oddHBand="0" w:evenHBand="0" w:firstRowFirstColumn="0" w:firstRowLastColumn="0" w:lastRowFirstColumn="0" w:lastRowLastColumn="0"/>
              <w:rPr>
                <w:rFonts w:ascii="Corbel" w:hAnsi="Corbel"/>
                <w:b/>
                <w:bCs/>
                <w:sz w:val="18"/>
                <w:szCs w:val="18"/>
              </w:rPr>
            </w:pPr>
            <w:r w:rsidRPr="00CE2E14">
              <w:rPr>
                <w:rFonts w:ascii="Corbel" w:hAnsi="Corbel"/>
                <w:b/>
                <w:bCs/>
                <w:sz w:val="18"/>
                <w:szCs w:val="18"/>
              </w:rPr>
              <w:t>Dependencia Responsable</w:t>
            </w:r>
          </w:p>
        </w:tc>
      </w:tr>
      <w:tr w:rsidR="00CE2E14" w:rsidRPr="00CE2E14" w14:paraId="5406EEAD" w14:textId="77777777" w:rsidTr="00CE2E14">
        <w:trPr>
          <w:cnfStyle w:val="000000100000" w:firstRow="0" w:lastRow="0" w:firstColumn="0" w:lastColumn="0" w:oddVBand="0" w:evenVBand="0" w:oddHBand="1" w:evenHBand="0" w:firstRowFirstColumn="0" w:firstRowLastColumn="0" w:lastRowFirstColumn="0" w:lastRowLastColumn="0"/>
          <w:trHeight w:val="1431"/>
        </w:trPr>
        <w:tc>
          <w:tcPr>
            <w:cnfStyle w:val="001000000000" w:firstRow="0" w:lastRow="0" w:firstColumn="1" w:lastColumn="0" w:oddVBand="0" w:evenVBand="0" w:oddHBand="0" w:evenHBand="0" w:firstRowFirstColumn="0" w:firstRowLastColumn="0" w:lastRowFirstColumn="0" w:lastRowLastColumn="0"/>
            <w:tcW w:w="546" w:type="pct"/>
          </w:tcPr>
          <w:p w14:paraId="277E15BE" w14:textId="77777777" w:rsidR="00CE2E14" w:rsidRPr="00CE2E14" w:rsidRDefault="00CE2E14" w:rsidP="00CE2E14">
            <w:pPr>
              <w:jc w:val="both"/>
              <w:rPr>
                <w:rFonts w:ascii="Corbel" w:hAnsi="Corbel"/>
                <w:b w:val="0"/>
                <w:sz w:val="18"/>
                <w:szCs w:val="18"/>
              </w:rPr>
            </w:pPr>
          </w:p>
          <w:p w14:paraId="2B14DBF6" w14:textId="77777777" w:rsidR="00CE2E14" w:rsidRPr="00CE2E14" w:rsidRDefault="00CE2E14" w:rsidP="00CE2E14">
            <w:pPr>
              <w:jc w:val="both"/>
              <w:rPr>
                <w:rFonts w:ascii="Corbel" w:hAnsi="Corbel"/>
                <w:b w:val="0"/>
                <w:sz w:val="18"/>
                <w:szCs w:val="18"/>
              </w:rPr>
            </w:pPr>
          </w:p>
          <w:p w14:paraId="5A474036" w14:textId="77777777" w:rsidR="00CE2E14" w:rsidRPr="00CE2E14" w:rsidRDefault="00CE2E14" w:rsidP="00CE2E14">
            <w:pPr>
              <w:jc w:val="both"/>
              <w:rPr>
                <w:rFonts w:ascii="Corbel" w:hAnsi="Corbel"/>
                <w:b w:val="0"/>
                <w:sz w:val="18"/>
                <w:szCs w:val="18"/>
              </w:rPr>
            </w:pPr>
          </w:p>
          <w:p w14:paraId="7A773B45" w14:textId="77777777" w:rsidR="00CE2E14" w:rsidRPr="00CE2E14" w:rsidRDefault="00CE2E14" w:rsidP="00CE2E14">
            <w:pPr>
              <w:jc w:val="both"/>
              <w:rPr>
                <w:rFonts w:ascii="Corbel" w:hAnsi="Corbel"/>
                <w:sz w:val="18"/>
                <w:szCs w:val="18"/>
              </w:rPr>
            </w:pPr>
            <w:r w:rsidRPr="00CE2E14">
              <w:rPr>
                <w:rFonts w:ascii="Corbel" w:hAnsi="Corbel"/>
                <w:sz w:val="18"/>
                <w:szCs w:val="18"/>
              </w:rPr>
              <w:t>Acciones Especificas</w:t>
            </w:r>
          </w:p>
        </w:tc>
        <w:tc>
          <w:tcPr>
            <w:tcW w:w="3283" w:type="pct"/>
            <w:gridSpan w:val="3"/>
          </w:tcPr>
          <w:p w14:paraId="4B29B63C" w14:textId="77777777" w:rsidR="00CE2E14" w:rsidRPr="00CE2E14" w:rsidRDefault="00CE2E14" w:rsidP="00CE2E14">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Realizar limpieza en el panteón municipal</w:t>
            </w:r>
          </w:p>
          <w:p w14:paraId="1A40F27E" w14:textId="77777777" w:rsidR="00CE2E14" w:rsidRPr="00CE2E14" w:rsidRDefault="00CE2E14" w:rsidP="00CE2E14">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Recolectar los residuos sólidos urbanos</w:t>
            </w:r>
          </w:p>
          <w:p w14:paraId="48A38551" w14:textId="77777777" w:rsidR="00CE2E14" w:rsidRPr="00CE2E14" w:rsidRDefault="00CE2E14" w:rsidP="00CE2E14">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Brindar mantenimiento a áreas verdes de espacios públicos</w:t>
            </w:r>
          </w:p>
          <w:p w14:paraId="443E6172" w14:textId="77777777" w:rsidR="00CE2E14" w:rsidRPr="00CE2E14" w:rsidRDefault="00CE2E14" w:rsidP="00E50CE9">
            <w:pPr>
              <w:numPr>
                <w:ilvl w:val="0"/>
                <w:numId w:val="38"/>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Realizar la poda y derribe de árboles de manera controlada y en apego a la normatividad</w:t>
            </w:r>
          </w:p>
        </w:tc>
        <w:tc>
          <w:tcPr>
            <w:tcW w:w="1171" w:type="pct"/>
          </w:tcPr>
          <w:p w14:paraId="282D3745"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p w14:paraId="69AE1846"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p w14:paraId="56E616D6"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Dirección de Mantenimiento</w:t>
            </w:r>
          </w:p>
        </w:tc>
      </w:tr>
      <w:tr w:rsidR="00CE2E14" w:rsidRPr="00CE2E14" w14:paraId="42E0814C" w14:textId="77777777" w:rsidTr="00CE2E14">
        <w:tc>
          <w:tcPr>
            <w:cnfStyle w:val="001000000000" w:firstRow="0" w:lastRow="0" w:firstColumn="1" w:lastColumn="0" w:oddVBand="0" w:evenVBand="0" w:oddHBand="0" w:evenHBand="0" w:firstRowFirstColumn="0" w:firstRowLastColumn="0" w:lastRowFirstColumn="0" w:lastRowLastColumn="0"/>
            <w:tcW w:w="3829" w:type="pct"/>
            <w:gridSpan w:val="4"/>
          </w:tcPr>
          <w:p w14:paraId="28FF4202" w14:textId="77777777" w:rsidR="00CE2E14" w:rsidRPr="00CE2E14" w:rsidRDefault="00CE2E14" w:rsidP="00CE2E14">
            <w:pPr>
              <w:jc w:val="both"/>
              <w:rPr>
                <w:rFonts w:ascii="Corbel" w:hAnsi="Corbel"/>
                <w:b w:val="0"/>
                <w:sz w:val="18"/>
                <w:szCs w:val="18"/>
              </w:rPr>
            </w:pPr>
            <w:r w:rsidRPr="00CE2E14">
              <w:rPr>
                <w:rFonts w:ascii="Corbel" w:hAnsi="Corbel"/>
                <w:sz w:val="18"/>
                <w:szCs w:val="18"/>
              </w:rPr>
              <w:t xml:space="preserve">Componente 2 </w:t>
            </w:r>
            <w:r w:rsidRPr="00CE2E14">
              <w:rPr>
                <w:rFonts w:ascii="Corbel" w:hAnsi="Corbel"/>
                <w:b w:val="0"/>
                <w:sz w:val="18"/>
                <w:szCs w:val="18"/>
              </w:rPr>
              <w:t>Promover un crecimiento ordenado e inclusivo con el medio ambiente</w:t>
            </w:r>
            <w:r w:rsidRPr="00CE2E14">
              <w:rPr>
                <w:rFonts w:ascii="Corbel" w:hAnsi="Corbel"/>
                <w:sz w:val="18"/>
                <w:szCs w:val="18"/>
              </w:rPr>
              <w:t xml:space="preserve"> </w:t>
            </w:r>
          </w:p>
        </w:tc>
        <w:tc>
          <w:tcPr>
            <w:tcW w:w="1171" w:type="pct"/>
          </w:tcPr>
          <w:p w14:paraId="6394146D" w14:textId="77777777" w:rsidR="00CE2E14" w:rsidRPr="00CE2E14" w:rsidRDefault="00CE2E14" w:rsidP="00CE2E14">
            <w:pPr>
              <w:jc w:val="both"/>
              <w:cnfStyle w:val="000000000000" w:firstRow="0" w:lastRow="0" w:firstColumn="0" w:lastColumn="0" w:oddVBand="0" w:evenVBand="0" w:oddHBand="0" w:evenHBand="0" w:firstRowFirstColumn="0" w:firstRowLastColumn="0" w:lastRowFirstColumn="0" w:lastRowLastColumn="0"/>
              <w:rPr>
                <w:rFonts w:ascii="Corbel" w:hAnsi="Corbel"/>
                <w:b/>
                <w:bCs/>
                <w:sz w:val="18"/>
                <w:szCs w:val="18"/>
              </w:rPr>
            </w:pPr>
            <w:r w:rsidRPr="00CE2E14">
              <w:rPr>
                <w:rFonts w:ascii="Corbel" w:hAnsi="Corbel"/>
                <w:b/>
                <w:bCs/>
                <w:sz w:val="18"/>
                <w:szCs w:val="18"/>
              </w:rPr>
              <w:t>Dependencia Responsable</w:t>
            </w:r>
          </w:p>
        </w:tc>
      </w:tr>
      <w:tr w:rsidR="00CE2E14" w:rsidRPr="00CE2E14" w14:paraId="053D3E2D" w14:textId="77777777" w:rsidTr="00CE2E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 w:type="pct"/>
          </w:tcPr>
          <w:p w14:paraId="39CD296F" w14:textId="77777777" w:rsidR="00CE2E14" w:rsidRPr="00CE2E14" w:rsidRDefault="00CE2E14" w:rsidP="00CE2E14">
            <w:pPr>
              <w:jc w:val="both"/>
              <w:rPr>
                <w:rFonts w:ascii="Corbel" w:hAnsi="Corbel"/>
                <w:b w:val="0"/>
                <w:sz w:val="18"/>
                <w:szCs w:val="18"/>
              </w:rPr>
            </w:pPr>
          </w:p>
          <w:p w14:paraId="0EBB6596" w14:textId="77777777" w:rsidR="00CE2E14" w:rsidRPr="00CE2E14" w:rsidRDefault="00CE2E14" w:rsidP="00CE2E14">
            <w:pPr>
              <w:jc w:val="both"/>
              <w:rPr>
                <w:rFonts w:ascii="Corbel" w:hAnsi="Corbel"/>
                <w:b w:val="0"/>
                <w:sz w:val="18"/>
                <w:szCs w:val="18"/>
              </w:rPr>
            </w:pPr>
          </w:p>
          <w:p w14:paraId="4634F24D" w14:textId="77777777" w:rsidR="00CE2E14" w:rsidRPr="00CE2E14" w:rsidRDefault="00CE2E14" w:rsidP="00CE2E14">
            <w:pPr>
              <w:jc w:val="both"/>
              <w:rPr>
                <w:rFonts w:ascii="Corbel" w:hAnsi="Corbel"/>
                <w:b w:val="0"/>
                <w:sz w:val="18"/>
                <w:szCs w:val="18"/>
              </w:rPr>
            </w:pPr>
          </w:p>
          <w:p w14:paraId="78404065" w14:textId="77777777" w:rsidR="00CE2E14" w:rsidRPr="00CE2E14" w:rsidRDefault="00CE2E14" w:rsidP="00CE2E14">
            <w:pPr>
              <w:jc w:val="both"/>
              <w:rPr>
                <w:rFonts w:ascii="Corbel" w:hAnsi="Corbel"/>
                <w:sz w:val="18"/>
                <w:szCs w:val="18"/>
              </w:rPr>
            </w:pPr>
            <w:r w:rsidRPr="00CE2E14">
              <w:rPr>
                <w:rFonts w:ascii="Corbel" w:hAnsi="Corbel"/>
                <w:sz w:val="18"/>
                <w:szCs w:val="18"/>
              </w:rPr>
              <w:t>Acciones Especificas</w:t>
            </w:r>
          </w:p>
        </w:tc>
        <w:tc>
          <w:tcPr>
            <w:tcW w:w="3283" w:type="pct"/>
            <w:gridSpan w:val="3"/>
          </w:tcPr>
          <w:p w14:paraId="00500C3E" w14:textId="302D4E25"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Realizar jornadas de forestación</w:t>
            </w:r>
          </w:p>
          <w:p w14:paraId="4D822BA5" w14:textId="6395321F" w:rsidR="00CE2E14" w:rsidRPr="00CE2E14" w:rsidRDefault="00CE2E14" w:rsidP="00CE2E14">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Involucrar a las instituciones educativas para la realización de jornadas de forestación</w:t>
            </w:r>
          </w:p>
          <w:p w14:paraId="15D14858" w14:textId="77777777" w:rsidR="00CE2E14" w:rsidRPr="00CE2E14" w:rsidRDefault="00CE2E14" w:rsidP="00CE2E1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Expedir constancias, cédulas y licencias correspondientes a la Coordinación de Desarrollo Urbano</w:t>
            </w:r>
          </w:p>
          <w:p w14:paraId="18D1229A" w14:textId="77777777" w:rsidR="00CE2E14" w:rsidRPr="00CE2E14" w:rsidRDefault="00CE2E14" w:rsidP="00CE2E1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 xml:space="preserve">Participar en las sesiones con el Comité de Prevención y Control del Crecimiento Urbano </w:t>
            </w:r>
          </w:p>
          <w:p w14:paraId="2A291E20" w14:textId="77777777" w:rsidR="00CE2E14" w:rsidRPr="00CE2E14" w:rsidRDefault="00CE2E14" w:rsidP="00CE2E1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Control y supervisión de obra.</w:t>
            </w:r>
          </w:p>
          <w:p w14:paraId="0675839A" w14:textId="77777777" w:rsidR="00CE2E14" w:rsidRPr="00CE2E14" w:rsidRDefault="00CE2E14" w:rsidP="00CE2E14">
            <w:pPr>
              <w:numPr>
                <w:ilvl w:val="0"/>
                <w:numId w:val="18"/>
              </w:num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Mejoramiento de caminos de saca cosechas</w:t>
            </w:r>
          </w:p>
        </w:tc>
        <w:tc>
          <w:tcPr>
            <w:tcW w:w="1171" w:type="pct"/>
          </w:tcPr>
          <w:p w14:paraId="6546537B"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Dirección de Desarrollo Económico y Medio Ambiente</w:t>
            </w:r>
          </w:p>
          <w:p w14:paraId="55FD79C9"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Dirección de Educación</w:t>
            </w:r>
          </w:p>
          <w:p w14:paraId="783607A1"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p w14:paraId="4BCFB61B"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p w14:paraId="7A8A0525"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p>
          <w:p w14:paraId="1BF44664" w14:textId="77777777" w:rsidR="00CE2E14" w:rsidRPr="00CE2E14" w:rsidRDefault="00CE2E14" w:rsidP="00CE2E14">
            <w:pPr>
              <w:jc w:val="both"/>
              <w:cnfStyle w:val="000000100000" w:firstRow="0" w:lastRow="0" w:firstColumn="0" w:lastColumn="0" w:oddVBand="0" w:evenVBand="0" w:oddHBand="1" w:evenHBand="0" w:firstRowFirstColumn="0" w:firstRowLastColumn="0" w:lastRowFirstColumn="0" w:lastRowLastColumn="0"/>
              <w:rPr>
                <w:rFonts w:ascii="Corbel" w:hAnsi="Corbel"/>
                <w:bCs/>
                <w:sz w:val="18"/>
                <w:szCs w:val="18"/>
              </w:rPr>
            </w:pPr>
            <w:r w:rsidRPr="00CE2E14">
              <w:rPr>
                <w:rFonts w:ascii="Corbel" w:hAnsi="Corbel"/>
                <w:bCs/>
                <w:sz w:val="18"/>
                <w:szCs w:val="18"/>
              </w:rPr>
              <w:t>Dirección Obras Pública y Desarrollo Urbano</w:t>
            </w:r>
          </w:p>
        </w:tc>
      </w:tr>
    </w:tbl>
    <w:p w14:paraId="50D64010" w14:textId="4AB0B86B" w:rsidR="00CE2E14" w:rsidRDefault="00CE2E14">
      <w:pPr>
        <w:rPr>
          <w:rFonts w:ascii="Century Gothic" w:hAnsi="Century Gothic"/>
          <w:sz w:val="22"/>
          <w:szCs w:val="22"/>
        </w:rPr>
      </w:pPr>
      <w:r>
        <w:rPr>
          <w:rFonts w:ascii="Century Gothic" w:hAnsi="Century Gothic"/>
          <w:sz w:val="22"/>
          <w:szCs w:val="22"/>
        </w:rPr>
        <w:br w:type="page"/>
      </w:r>
    </w:p>
    <w:p w14:paraId="0D22A6F7" w14:textId="77777777" w:rsidR="00CE2E14" w:rsidRDefault="00CE2E14" w:rsidP="006F2E7F">
      <w:pPr>
        <w:spacing w:line="259" w:lineRule="auto"/>
        <w:jc w:val="both"/>
        <w:rPr>
          <w:rFonts w:ascii="Century Gothic" w:hAnsi="Century Gothic"/>
          <w:sz w:val="22"/>
          <w:szCs w:val="22"/>
        </w:rPr>
        <w:sectPr w:rsidR="00CE2E14" w:rsidSect="00CE2E14">
          <w:pgSz w:w="15840" w:h="12240" w:orient="landscape"/>
          <w:pgMar w:top="1440" w:right="1440" w:bottom="1440" w:left="1440" w:header="709" w:footer="709" w:gutter="0"/>
          <w:cols w:space="708"/>
          <w:docGrid w:linePitch="360"/>
        </w:sectPr>
      </w:pPr>
    </w:p>
    <w:p w14:paraId="20ED4D07" w14:textId="056BF82C" w:rsidR="002657E4" w:rsidRDefault="002657E4" w:rsidP="006F2E7F">
      <w:pPr>
        <w:spacing w:line="259" w:lineRule="auto"/>
        <w:jc w:val="both"/>
        <w:rPr>
          <w:rFonts w:ascii="Century Gothic" w:hAnsi="Century Gothic"/>
          <w:sz w:val="22"/>
          <w:szCs w:val="22"/>
        </w:rPr>
      </w:pPr>
    </w:p>
    <w:p w14:paraId="1A1C6A6E" w14:textId="4F2BCB83" w:rsidR="00CE2E14" w:rsidRDefault="00CE2E14" w:rsidP="006F2E7F">
      <w:pPr>
        <w:spacing w:line="259" w:lineRule="auto"/>
        <w:jc w:val="both"/>
        <w:rPr>
          <w:rFonts w:ascii="Century Gothic" w:hAnsi="Century Gothic"/>
          <w:sz w:val="22"/>
          <w:szCs w:val="22"/>
        </w:rPr>
      </w:pPr>
    </w:p>
    <w:p w14:paraId="5E2B3A5A" w14:textId="3B6A7FC3" w:rsidR="00CE2E14" w:rsidRDefault="00CE2E14" w:rsidP="006F2E7F">
      <w:pPr>
        <w:spacing w:line="259" w:lineRule="auto"/>
        <w:jc w:val="both"/>
        <w:rPr>
          <w:rFonts w:ascii="Century Gothic" w:hAnsi="Century Gothic"/>
          <w:sz w:val="22"/>
          <w:szCs w:val="22"/>
        </w:rPr>
      </w:pPr>
    </w:p>
    <w:p w14:paraId="7FB43959" w14:textId="4008FF8C" w:rsidR="00CE2E14" w:rsidRDefault="00CE2E14" w:rsidP="006F2E7F">
      <w:pPr>
        <w:spacing w:line="259" w:lineRule="auto"/>
        <w:jc w:val="both"/>
        <w:rPr>
          <w:rFonts w:ascii="Century Gothic" w:hAnsi="Century Gothic"/>
          <w:sz w:val="22"/>
          <w:szCs w:val="22"/>
        </w:rPr>
      </w:pPr>
    </w:p>
    <w:p w14:paraId="34406D36" w14:textId="26AA71CF" w:rsidR="00CE2E14" w:rsidRDefault="00CE2E14" w:rsidP="006F2E7F">
      <w:pPr>
        <w:spacing w:line="259" w:lineRule="auto"/>
        <w:jc w:val="both"/>
        <w:rPr>
          <w:rFonts w:ascii="Century Gothic" w:hAnsi="Century Gothic"/>
          <w:sz w:val="22"/>
          <w:szCs w:val="22"/>
        </w:rPr>
      </w:pPr>
    </w:p>
    <w:p w14:paraId="73DCC6B9" w14:textId="77C08DB5" w:rsidR="00CE2E14" w:rsidRDefault="00CE2E14" w:rsidP="006F2E7F">
      <w:pPr>
        <w:spacing w:line="259" w:lineRule="auto"/>
        <w:jc w:val="both"/>
        <w:rPr>
          <w:rFonts w:ascii="Century Gothic" w:hAnsi="Century Gothic"/>
          <w:sz w:val="22"/>
          <w:szCs w:val="22"/>
        </w:rPr>
      </w:pPr>
    </w:p>
    <w:p w14:paraId="3109452D" w14:textId="4BAFA2E4" w:rsidR="00CE2E14" w:rsidRDefault="00CE2E14" w:rsidP="006F2E7F">
      <w:pPr>
        <w:spacing w:line="259" w:lineRule="auto"/>
        <w:jc w:val="both"/>
        <w:rPr>
          <w:rFonts w:ascii="Century Gothic" w:hAnsi="Century Gothic"/>
          <w:sz w:val="22"/>
          <w:szCs w:val="22"/>
        </w:rPr>
      </w:pPr>
    </w:p>
    <w:p w14:paraId="2C08F2F9" w14:textId="6E5E14BE" w:rsidR="00CE2E14" w:rsidRDefault="00CE2E14" w:rsidP="006F2E7F">
      <w:pPr>
        <w:spacing w:line="259" w:lineRule="auto"/>
        <w:jc w:val="both"/>
        <w:rPr>
          <w:rFonts w:ascii="Century Gothic" w:hAnsi="Century Gothic"/>
          <w:sz w:val="22"/>
          <w:szCs w:val="22"/>
        </w:rPr>
      </w:pPr>
    </w:p>
    <w:p w14:paraId="2A4EB882" w14:textId="290913E4" w:rsidR="00CE2E14" w:rsidRDefault="00CE2E14" w:rsidP="006F2E7F">
      <w:pPr>
        <w:spacing w:line="259" w:lineRule="auto"/>
        <w:jc w:val="both"/>
        <w:rPr>
          <w:rFonts w:ascii="Century Gothic" w:hAnsi="Century Gothic"/>
          <w:sz w:val="22"/>
          <w:szCs w:val="22"/>
        </w:rPr>
      </w:pPr>
    </w:p>
    <w:p w14:paraId="5C4CE24D" w14:textId="0C9280F6" w:rsidR="00CE2E14" w:rsidRDefault="00CE2E14" w:rsidP="006F2E7F">
      <w:pPr>
        <w:spacing w:line="259" w:lineRule="auto"/>
        <w:jc w:val="both"/>
        <w:rPr>
          <w:rFonts w:ascii="Century Gothic" w:hAnsi="Century Gothic"/>
          <w:sz w:val="22"/>
          <w:szCs w:val="22"/>
        </w:rPr>
      </w:pPr>
    </w:p>
    <w:p w14:paraId="6B6A20CD" w14:textId="61794498" w:rsidR="00CE2E14" w:rsidRDefault="00CE2E14" w:rsidP="006F2E7F">
      <w:pPr>
        <w:spacing w:line="259" w:lineRule="auto"/>
        <w:jc w:val="both"/>
        <w:rPr>
          <w:rFonts w:ascii="Century Gothic" w:hAnsi="Century Gothic"/>
          <w:sz w:val="22"/>
          <w:szCs w:val="22"/>
        </w:rPr>
      </w:pPr>
    </w:p>
    <w:p w14:paraId="04495942" w14:textId="0CF1EAE2" w:rsidR="00CE2E14" w:rsidRDefault="00CE2E14" w:rsidP="006F2E7F">
      <w:pPr>
        <w:spacing w:line="259" w:lineRule="auto"/>
        <w:jc w:val="both"/>
        <w:rPr>
          <w:rFonts w:ascii="Century Gothic" w:hAnsi="Century Gothic"/>
          <w:sz w:val="22"/>
          <w:szCs w:val="22"/>
        </w:rPr>
      </w:pPr>
    </w:p>
    <w:p w14:paraId="37CC9287" w14:textId="3E1E2840" w:rsidR="00CE2E14" w:rsidRDefault="00CE2E14" w:rsidP="006F2E7F">
      <w:pPr>
        <w:spacing w:line="259" w:lineRule="auto"/>
        <w:jc w:val="both"/>
        <w:rPr>
          <w:rFonts w:ascii="Century Gothic" w:hAnsi="Century Gothic"/>
          <w:sz w:val="22"/>
          <w:szCs w:val="22"/>
        </w:rPr>
      </w:pPr>
    </w:p>
    <w:p w14:paraId="25FAE59C" w14:textId="25475AA7" w:rsidR="00CE2E14" w:rsidRDefault="00CE2E14" w:rsidP="006F2E7F">
      <w:pPr>
        <w:spacing w:line="259" w:lineRule="auto"/>
        <w:jc w:val="both"/>
        <w:rPr>
          <w:rFonts w:ascii="Century Gothic" w:hAnsi="Century Gothic"/>
          <w:sz w:val="22"/>
          <w:szCs w:val="22"/>
        </w:rPr>
      </w:pPr>
    </w:p>
    <w:p w14:paraId="3D6D8F5C" w14:textId="2F219C55" w:rsidR="00CE2E14" w:rsidRDefault="00CE2E14" w:rsidP="006F2E7F">
      <w:pPr>
        <w:spacing w:line="259" w:lineRule="auto"/>
        <w:jc w:val="both"/>
        <w:rPr>
          <w:rFonts w:ascii="Century Gothic" w:hAnsi="Century Gothic"/>
          <w:sz w:val="22"/>
          <w:szCs w:val="22"/>
        </w:rPr>
      </w:pPr>
    </w:p>
    <w:p w14:paraId="37772F8A" w14:textId="72677F9F" w:rsidR="00CE2E14" w:rsidRDefault="00CE2E14" w:rsidP="006F2E7F">
      <w:pPr>
        <w:spacing w:line="259" w:lineRule="auto"/>
        <w:jc w:val="both"/>
        <w:rPr>
          <w:rFonts w:ascii="Century Gothic" w:hAnsi="Century Gothic"/>
          <w:sz w:val="22"/>
          <w:szCs w:val="22"/>
        </w:rPr>
      </w:pPr>
    </w:p>
    <w:p w14:paraId="0797E356" w14:textId="68F9155C" w:rsidR="00CE2E14" w:rsidRDefault="00CE2E14" w:rsidP="006F2E7F">
      <w:pPr>
        <w:spacing w:line="259" w:lineRule="auto"/>
        <w:jc w:val="both"/>
        <w:rPr>
          <w:rFonts w:ascii="Century Gothic" w:hAnsi="Century Gothic"/>
          <w:sz w:val="22"/>
          <w:szCs w:val="22"/>
        </w:rPr>
      </w:pPr>
    </w:p>
    <w:p w14:paraId="36B55053" w14:textId="64D75B30" w:rsidR="00CE2E14" w:rsidRDefault="00CE2E14" w:rsidP="006F2E7F">
      <w:pPr>
        <w:spacing w:line="259" w:lineRule="auto"/>
        <w:jc w:val="both"/>
        <w:rPr>
          <w:rFonts w:ascii="Century Gothic" w:hAnsi="Century Gothic"/>
          <w:sz w:val="22"/>
          <w:szCs w:val="22"/>
        </w:rPr>
      </w:pPr>
    </w:p>
    <w:p w14:paraId="34D234E1" w14:textId="7F43598D" w:rsidR="00CE2E14" w:rsidRDefault="00CE2E14" w:rsidP="006F2E7F">
      <w:pPr>
        <w:spacing w:line="259" w:lineRule="auto"/>
        <w:jc w:val="both"/>
        <w:rPr>
          <w:rFonts w:ascii="Century Gothic" w:hAnsi="Century Gothic"/>
          <w:sz w:val="22"/>
          <w:szCs w:val="22"/>
        </w:rPr>
      </w:pPr>
    </w:p>
    <w:p w14:paraId="55CF70CE" w14:textId="12276EF9" w:rsidR="00CE2E14" w:rsidRDefault="00CE2E14" w:rsidP="006F2E7F">
      <w:pPr>
        <w:spacing w:line="259" w:lineRule="auto"/>
        <w:jc w:val="both"/>
        <w:rPr>
          <w:rFonts w:ascii="Century Gothic" w:hAnsi="Century Gothic"/>
          <w:sz w:val="22"/>
          <w:szCs w:val="22"/>
        </w:rPr>
      </w:pPr>
    </w:p>
    <w:p w14:paraId="0DD8FBA9" w14:textId="583B3485" w:rsidR="00CE2E14" w:rsidRDefault="00CE2E14" w:rsidP="006F2E7F">
      <w:pPr>
        <w:spacing w:line="259" w:lineRule="auto"/>
        <w:jc w:val="both"/>
        <w:rPr>
          <w:rFonts w:ascii="Century Gothic" w:hAnsi="Century Gothic"/>
          <w:sz w:val="22"/>
          <w:szCs w:val="22"/>
        </w:rPr>
      </w:pPr>
    </w:p>
    <w:p w14:paraId="725AC002" w14:textId="1E8509EF" w:rsidR="00CE2E14" w:rsidRDefault="00CE2E14" w:rsidP="006F2E7F">
      <w:pPr>
        <w:spacing w:line="259" w:lineRule="auto"/>
        <w:jc w:val="both"/>
        <w:rPr>
          <w:rFonts w:ascii="Century Gothic" w:hAnsi="Century Gothic"/>
          <w:sz w:val="22"/>
          <w:szCs w:val="22"/>
        </w:rPr>
      </w:pPr>
    </w:p>
    <w:p w14:paraId="70DADD61" w14:textId="176BBDFD" w:rsidR="00CE2E14" w:rsidRDefault="00CE2E14" w:rsidP="006F2E7F">
      <w:pPr>
        <w:spacing w:line="259" w:lineRule="auto"/>
        <w:jc w:val="both"/>
        <w:rPr>
          <w:rFonts w:ascii="Century Gothic" w:hAnsi="Century Gothic"/>
          <w:sz w:val="22"/>
          <w:szCs w:val="22"/>
        </w:rPr>
      </w:pPr>
    </w:p>
    <w:p w14:paraId="1B644E2E" w14:textId="7218082F" w:rsidR="00CE2E14" w:rsidRDefault="00CE2E14" w:rsidP="006F2E7F">
      <w:pPr>
        <w:spacing w:line="259" w:lineRule="auto"/>
        <w:jc w:val="both"/>
        <w:rPr>
          <w:rFonts w:ascii="Century Gothic" w:hAnsi="Century Gothic"/>
          <w:sz w:val="22"/>
          <w:szCs w:val="22"/>
        </w:rPr>
      </w:pPr>
    </w:p>
    <w:p w14:paraId="1EFEEC3C" w14:textId="34B988B3" w:rsidR="00CE2E14" w:rsidRDefault="00CE2E14" w:rsidP="006F2E7F">
      <w:pPr>
        <w:spacing w:line="259" w:lineRule="auto"/>
        <w:jc w:val="both"/>
        <w:rPr>
          <w:rFonts w:ascii="Century Gothic" w:hAnsi="Century Gothic"/>
          <w:sz w:val="22"/>
          <w:szCs w:val="22"/>
        </w:rPr>
      </w:pPr>
    </w:p>
    <w:p w14:paraId="4CBDF8C5" w14:textId="2EFD6AD2" w:rsidR="00CE2E14" w:rsidRDefault="00CE2E14" w:rsidP="006F2E7F">
      <w:pPr>
        <w:spacing w:line="259" w:lineRule="auto"/>
        <w:jc w:val="both"/>
        <w:rPr>
          <w:rFonts w:ascii="Century Gothic" w:hAnsi="Century Gothic"/>
          <w:sz w:val="22"/>
          <w:szCs w:val="22"/>
        </w:rPr>
      </w:pPr>
    </w:p>
    <w:p w14:paraId="4AF7B82E" w14:textId="77777777" w:rsidR="00CE2E14" w:rsidRPr="006F2E7F" w:rsidRDefault="00CE2E14" w:rsidP="006F2E7F">
      <w:pPr>
        <w:spacing w:line="259" w:lineRule="auto"/>
        <w:jc w:val="both"/>
        <w:rPr>
          <w:rFonts w:ascii="Century Gothic" w:hAnsi="Century Gothic"/>
          <w:sz w:val="22"/>
          <w:szCs w:val="22"/>
        </w:rPr>
      </w:pPr>
    </w:p>
    <w:p w14:paraId="72770A68" w14:textId="7B168E88" w:rsidR="00D343CF" w:rsidRPr="00D343CF" w:rsidRDefault="00D343CF" w:rsidP="00D343CF">
      <w:pPr>
        <w:spacing w:before="166" w:line="362" w:lineRule="auto"/>
        <w:rPr>
          <w:rFonts w:ascii="Century Gothic" w:hAnsi="Century Gothic"/>
          <w:b/>
          <w:bCs/>
          <w:color w:val="025850"/>
          <w:sz w:val="28"/>
          <w:szCs w:val="28"/>
        </w:rPr>
      </w:pPr>
      <w:r w:rsidRPr="00D343CF">
        <w:rPr>
          <w:rFonts w:ascii="Century Gothic" w:hAnsi="Century Gothic"/>
          <w:b/>
          <w:bCs/>
          <w:color w:val="025850"/>
          <w:sz w:val="28"/>
          <w:szCs w:val="28"/>
        </w:rPr>
        <w:t>EJE 3: EMPLEO DIGNO Y DESARROLLO ECONÓMICO</w:t>
      </w:r>
    </w:p>
    <w:p w14:paraId="68F92266" w14:textId="270DA7EC" w:rsidR="00D343CF" w:rsidRPr="00D343CF" w:rsidRDefault="00D343CF" w:rsidP="00D343CF">
      <w:pPr>
        <w:spacing w:before="166" w:line="362" w:lineRule="auto"/>
        <w:rPr>
          <w:rFonts w:ascii="Century Gothic" w:hAnsi="Century Gothic"/>
          <w:b/>
          <w:bCs/>
          <w:color w:val="025850"/>
          <w:sz w:val="28"/>
          <w:szCs w:val="28"/>
        </w:rPr>
      </w:pPr>
      <w:r w:rsidRPr="00D343CF">
        <w:rPr>
          <w:rFonts w:ascii="Century Gothic" w:hAnsi="Century Gothic"/>
          <w:b/>
          <w:bCs/>
          <w:color w:val="025850"/>
          <w:sz w:val="28"/>
          <w:szCs w:val="28"/>
        </w:rPr>
        <w:t>“Inclusión para el bienestar y la prosperidad”</w:t>
      </w:r>
    </w:p>
    <w:p w14:paraId="7871210B" w14:textId="77777777" w:rsidR="00D343CF" w:rsidRPr="00D343CF" w:rsidRDefault="00D343CF" w:rsidP="00D343CF">
      <w:pPr>
        <w:spacing w:before="166"/>
        <w:jc w:val="center"/>
        <w:rPr>
          <w:rFonts w:ascii="Century Gothic" w:hAnsi="Century Gothic"/>
          <w:b/>
          <w:bCs/>
          <w:color w:val="025850"/>
          <w:sz w:val="22"/>
          <w:szCs w:val="22"/>
          <w:lang w:val="es-US"/>
        </w:rPr>
      </w:pPr>
      <w:r w:rsidRPr="00D343CF">
        <w:rPr>
          <w:rFonts w:ascii="Century Gothic" w:hAnsi="Century Gothic"/>
          <w:b/>
          <w:bCs/>
          <w:color w:val="025850"/>
          <w:sz w:val="22"/>
          <w:szCs w:val="22"/>
          <w:lang w:val="es-US"/>
        </w:rPr>
        <w:t xml:space="preserve">"La inclusión es un proceso de empoderamiento que permite a las personas y comunidades tomar control de su propio destino, y es fundamental para el bienestar y la prosperidad de todos." </w:t>
      </w:r>
    </w:p>
    <w:p w14:paraId="38A984E9" w14:textId="7A3CAC41" w:rsidR="00D343CF" w:rsidRDefault="00D343CF" w:rsidP="00D343CF">
      <w:pPr>
        <w:spacing w:before="166"/>
        <w:jc w:val="center"/>
        <w:rPr>
          <w:rFonts w:ascii="Century Gothic" w:hAnsi="Century Gothic"/>
          <w:b/>
          <w:bCs/>
          <w:color w:val="025850"/>
          <w:sz w:val="22"/>
          <w:szCs w:val="22"/>
          <w:lang w:val="es-US"/>
        </w:rPr>
      </w:pPr>
      <w:r w:rsidRPr="00D343CF">
        <w:rPr>
          <w:rFonts w:ascii="Century Gothic" w:hAnsi="Century Gothic"/>
          <w:b/>
          <w:bCs/>
          <w:color w:val="025850"/>
          <w:sz w:val="22"/>
          <w:szCs w:val="22"/>
          <w:lang w:val="es-US"/>
        </w:rPr>
        <w:t xml:space="preserve">Antropólogo, </w:t>
      </w:r>
      <w:proofErr w:type="spellStart"/>
      <w:r w:rsidRPr="00D343CF">
        <w:rPr>
          <w:rFonts w:ascii="Century Gothic" w:hAnsi="Century Gothic"/>
          <w:b/>
          <w:bCs/>
          <w:color w:val="025850"/>
          <w:sz w:val="22"/>
          <w:szCs w:val="22"/>
          <w:lang w:val="es-US"/>
        </w:rPr>
        <w:t>Boaventura</w:t>
      </w:r>
      <w:proofErr w:type="spellEnd"/>
      <w:r w:rsidRPr="00D343CF">
        <w:rPr>
          <w:rFonts w:ascii="Century Gothic" w:hAnsi="Century Gothic"/>
          <w:b/>
          <w:bCs/>
          <w:color w:val="025850"/>
          <w:sz w:val="22"/>
          <w:szCs w:val="22"/>
          <w:lang w:val="es-US"/>
        </w:rPr>
        <w:t xml:space="preserve"> de Sousa Santos</w:t>
      </w:r>
    </w:p>
    <w:p w14:paraId="04A92DFB" w14:textId="77777777" w:rsidR="00D343CF" w:rsidRDefault="00D343CF">
      <w:pPr>
        <w:rPr>
          <w:rFonts w:ascii="Century Gothic" w:hAnsi="Century Gothic"/>
          <w:b/>
          <w:bCs/>
          <w:color w:val="025850"/>
          <w:sz w:val="22"/>
          <w:szCs w:val="22"/>
          <w:lang w:val="es-US"/>
        </w:rPr>
      </w:pPr>
      <w:r>
        <w:rPr>
          <w:rFonts w:ascii="Century Gothic" w:hAnsi="Century Gothic"/>
          <w:b/>
          <w:bCs/>
          <w:color w:val="025850"/>
          <w:sz w:val="22"/>
          <w:szCs w:val="22"/>
          <w:lang w:val="es-US"/>
        </w:rPr>
        <w:br w:type="page"/>
      </w:r>
    </w:p>
    <w:p w14:paraId="54EE4213" w14:textId="77777777" w:rsidR="00D343CF" w:rsidRPr="00D343CF" w:rsidRDefault="00D343CF" w:rsidP="005A1ADF">
      <w:pPr>
        <w:pStyle w:val="Prrafodelista"/>
        <w:numPr>
          <w:ilvl w:val="0"/>
          <w:numId w:val="20"/>
        </w:numPr>
        <w:spacing w:after="160" w:line="259" w:lineRule="auto"/>
        <w:jc w:val="both"/>
        <w:rPr>
          <w:rFonts w:ascii="Century Gothic" w:hAnsi="Century Gothic"/>
          <w:b/>
          <w:color w:val="025850"/>
          <w:sz w:val="22"/>
          <w:szCs w:val="22"/>
        </w:rPr>
      </w:pPr>
      <w:r w:rsidRPr="00D343CF">
        <w:rPr>
          <w:rFonts w:ascii="Century Gothic" w:hAnsi="Century Gothic"/>
          <w:b/>
          <w:color w:val="025850"/>
          <w:sz w:val="22"/>
          <w:szCs w:val="22"/>
        </w:rPr>
        <w:lastRenderedPageBreak/>
        <w:t>Impulso al empleo digno y al desarrollo económico</w:t>
      </w:r>
    </w:p>
    <w:p w14:paraId="5369A4B9" w14:textId="77777777" w:rsidR="00D343CF" w:rsidRPr="00D343CF" w:rsidRDefault="00D343CF" w:rsidP="00D343CF">
      <w:pPr>
        <w:jc w:val="both"/>
        <w:rPr>
          <w:rFonts w:ascii="Century Gothic" w:hAnsi="Century Gothic"/>
          <w:sz w:val="22"/>
          <w:szCs w:val="22"/>
        </w:rPr>
      </w:pPr>
    </w:p>
    <w:p w14:paraId="58A931C0" w14:textId="52F0A293" w:rsidR="00D343CF" w:rsidRPr="00D343CF" w:rsidRDefault="00D343CF" w:rsidP="00010650">
      <w:pPr>
        <w:spacing w:line="360" w:lineRule="auto"/>
        <w:ind w:firstLine="708"/>
        <w:jc w:val="both"/>
        <w:rPr>
          <w:rFonts w:ascii="Century Gothic" w:hAnsi="Century Gothic"/>
          <w:bCs/>
          <w:sz w:val="22"/>
          <w:szCs w:val="22"/>
        </w:rPr>
      </w:pPr>
      <w:r w:rsidRPr="00D343CF">
        <w:rPr>
          <w:rFonts w:ascii="Century Gothic" w:hAnsi="Century Gothic"/>
          <w:bCs/>
          <w:sz w:val="22"/>
          <w:szCs w:val="22"/>
        </w:rPr>
        <w:t>En la actualidad, el municipio de San Antonio la Isla se compone de dos localidades originarias: San Antonio la Isla y San Lucas Tepemajalco. Ambos son pueblos arraigados en tradiciones y costumbres ancestrales de las culturas otomí y matlatzinca, que se desarrollaron en la zona Lacustre del Alto Lerma. Desde el punto de vista demográfico, ha experimentado un crecimiento territorial con la incorporación de conjuntos habitacionales como Ex Rancho San Dimas, La Isla y Villa Los Sauces.</w:t>
      </w:r>
    </w:p>
    <w:p w14:paraId="02411E51" w14:textId="7499D2FE" w:rsidR="00CD5EC0" w:rsidRPr="00010650" w:rsidRDefault="00D343CF" w:rsidP="00010650">
      <w:pPr>
        <w:spacing w:line="360" w:lineRule="auto"/>
        <w:ind w:firstLine="708"/>
        <w:jc w:val="both"/>
        <w:rPr>
          <w:rFonts w:ascii="Century Gothic" w:hAnsi="Century Gothic"/>
          <w:bCs/>
          <w:sz w:val="22"/>
          <w:szCs w:val="22"/>
        </w:rPr>
      </w:pPr>
      <w:r w:rsidRPr="00D343CF">
        <w:rPr>
          <w:rFonts w:ascii="Century Gothic" w:hAnsi="Century Gothic"/>
          <w:bCs/>
          <w:sz w:val="22"/>
          <w:szCs w:val="22"/>
        </w:rPr>
        <w:t xml:space="preserve">Este municipio representa una fusión armoniosa entre lo moderno y la tradición, siendo reconocido como la cuna del juguete tradicional de madera en la región. Destaca el trabajo excepcional de destacados artesanos y artesanas a lo largo de varias generaciones, quienes han creado piezas inigualables dignas de reconocimiento a nivel nacional e internacional. </w:t>
      </w:r>
    </w:p>
    <w:p w14:paraId="45FE418A" w14:textId="143D0BAB" w:rsidR="006F2E7F" w:rsidRDefault="00CD5EC0" w:rsidP="00CD5EC0">
      <w:pPr>
        <w:spacing w:line="360" w:lineRule="auto"/>
        <w:ind w:firstLine="708"/>
        <w:jc w:val="both"/>
        <w:rPr>
          <w:rFonts w:ascii="Century Gothic" w:hAnsi="Century Gothic"/>
          <w:sz w:val="22"/>
          <w:szCs w:val="22"/>
        </w:rPr>
      </w:pPr>
      <w:r w:rsidRPr="00CD5EC0">
        <w:rPr>
          <w:rFonts w:ascii="Century Gothic" w:hAnsi="Century Gothic"/>
          <w:sz w:val="22"/>
          <w:szCs w:val="22"/>
        </w:rPr>
        <w:t xml:space="preserve">Como se muestra en la siguiente tabla en el municipio de San Antonio la Isla, la población económicamente activa está conformada por un 58.76% </w:t>
      </w:r>
      <w:r w:rsidRPr="00CD5EC0">
        <w:rPr>
          <w:rFonts w:ascii="Century Gothic" w:hAnsi="Century Gothic"/>
          <w:sz w:val="22"/>
          <w:szCs w:val="22"/>
        </w:rPr>
        <w:t>de hombres y un 41.24% de mujeres. De este total, la población ocupada representa un 97.33% en hombres y un 95.00% en mujeres, mientras que la población desocupada corresponde al 2.67% en hombres y al 1.50% en mujeres. Por otro lado, la población no económicamente activa equivale al 29.82% en hombres y al 50.40% en mujeres. Estos datos reflejan una mayor participación masculina en el mercado laboral y una diferencia significativa en la población no económicamente activa entre ambos sexos.</w:t>
      </w:r>
    </w:p>
    <w:p w14:paraId="04F550CD" w14:textId="77777777" w:rsidR="006F2E7F" w:rsidRDefault="006F2E7F">
      <w:pPr>
        <w:rPr>
          <w:rFonts w:ascii="Century Gothic" w:hAnsi="Century Gothic"/>
          <w:sz w:val="22"/>
          <w:szCs w:val="22"/>
        </w:rPr>
      </w:pPr>
      <w:r>
        <w:rPr>
          <w:rFonts w:ascii="Century Gothic" w:hAnsi="Century Gothic"/>
          <w:sz w:val="22"/>
          <w:szCs w:val="22"/>
        </w:rPr>
        <w:br w:type="page"/>
      </w:r>
    </w:p>
    <w:p w14:paraId="3AED145D" w14:textId="670D2E91" w:rsidR="00CD5EC0" w:rsidRDefault="00CD5EC0" w:rsidP="00CE2E14">
      <w:pPr>
        <w:rPr>
          <w:rFonts w:ascii="Century Gothic" w:hAnsi="Century Gothic"/>
          <w:sz w:val="22"/>
          <w:szCs w:val="22"/>
        </w:rPr>
        <w:sectPr w:rsidR="00CD5EC0" w:rsidSect="00CE2E14">
          <w:pgSz w:w="15840" w:h="12240" w:orient="landscape"/>
          <w:pgMar w:top="1440" w:right="1440" w:bottom="1440" w:left="1440" w:header="709" w:footer="709" w:gutter="0"/>
          <w:cols w:num="2" w:space="708"/>
          <w:docGrid w:linePitch="360"/>
        </w:sectPr>
      </w:pPr>
    </w:p>
    <w:tbl>
      <w:tblPr>
        <w:tblStyle w:val="Tablaconcuadrcula4-nfasis2"/>
        <w:tblpPr w:leftFromText="141" w:rightFromText="141" w:vertAnchor="text" w:horzAnchor="margin" w:tblpXSpec="center" w:tblpY="369"/>
        <w:tblW w:w="5111" w:type="pct"/>
        <w:tblLook w:val="04A0" w:firstRow="1" w:lastRow="0" w:firstColumn="1" w:lastColumn="0" w:noHBand="0" w:noVBand="1"/>
      </w:tblPr>
      <w:tblGrid>
        <w:gridCol w:w="2690"/>
        <w:gridCol w:w="1133"/>
        <w:gridCol w:w="2692"/>
        <w:gridCol w:w="1390"/>
        <w:gridCol w:w="2023"/>
        <w:gridCol w:w="3309"/>
      </w:tblGrid>
      <w:tr w:rsidR="00CD5EC0" w:rsidRPr="00CD5EC0" w14:paraId="1D555A5E" w14:textId="77777777" w:rsidTr="00791DC6">
        <w:trPr>
          <w:cnfStyle w:val="100000000000" w:firstRow="1" w:lastRow="0" w:firstColumn="0" w:lastColumn="0" w:oddVBand="0" w:evenVBand="0" w:oddHBand="0"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016" w:type="pct"/>
          </w:tcPr>
          <w:p w14:paraId="06E975F4"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lastRenderedPageBreak/>
              <w:t>Municipio</w:t>
            </w:r>
          </w:p>
        </w:tc>
        <w:tc>
          <w:tcPr>
            <w:tcW w:w="428" w:type="pct"/>
          </w:tcPr>
          <w:p w14:paraId="455EB8C1" w14:textId="77777777" w:rsidR="00CD5EC0" w:rsidRPr="00CD5EC0" w:rsidRDefault="00CD5EC0" w:rsidP="00CD5EC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Sexo</w:t>
            </w:r>
          </w:p>
        </w:tc>
        <w:tc>
          <w:tcPr>
            <w:tcW w:w="1017" w:type="pct"/>
          </w:tcPr>
          <w:p w14:paraId="5DE296E8" w14:textId="77777777" w:rsidR="00CD5EC0" w:rsidRPr="00CD5EC0" w:rsidRDefault="00CD5EC0" w:rsidP="00CD5EC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 xml:space="preserve">Población económicamente activa </w:t>
            </w:r>
          </w:p>
        </w:tc>
        <w:tc>
          <w:tcPr>
            <w:tcW w:w="525" w:type="pct"/>
          </w:tcPr>
          <w:p w14:paraId="58C43778" w14:textId="77777777" w:rsidR="00CD5EC0" w:rsidRPr="00CD5EC0" w:rsidRDefault="00CD5EC0" w:rsidP="00CD5EC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Ocupada</w:t>
            </w:r>
          </w:p>
        </w:tc>
        <w:tc>
          <w:tcPr>
            <w:tcW w:w="764" w:type="pct"/>
          </w:tcPr>
          <w:p w14:paraId="7A90D3BA" w14:textId="77777777" w:rsidR="00CD5EC0" w:rsidRPr="00CD5EC0" w:rsidRDefault="00CD5EC0" w:rsidP="00CD5EC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Desocupada</w:t>
            </w:r>
          </w:p>
        </w:tc>
        <w:tc>
          <w:tcPr>
            <w:tcW w:w="1250" w:type="pct"/>
          </w:tcPr>
          <w:p w14:paraId="21177E4F" w14:textId="77777777" w:rsidR="00CD5EC0" w:rsidRPr="00CD5EC0" w:rsidRDefault="00CD5EC0" w:rsidP="00CD5EC0">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Población No económicamente Activa</w:t>
            </w:r>
          </w:p>
        </w:tc>
      </w:tr>
      <w:tr w:rsidR="00CD5EC0" w:rsidRPr="00CD5EC0" w14:paraId="49DA254C" w14:textId="77777777" w:rsidTr="00791DC6">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6E788E6E" w14:textId="25BAAD36" w:rsidR="00CD5EC0" w:rsidRPr="00CD5EC0" w:rsidRDefault="00791DC6" w:rsidP="00CD5EC0">
            <w:pPr>
              <w:rPr>
                <w:rFonts w:ascii="Century Gothic" w:hAnsi="Century Gothic"/>
                <w:sz w:val="20"/>
                <w:szCs w:val="20"/>
              </w:rPr>
            </w:pPr>
            <w:r w:rsidRPr="00CD5EC0">
              <w:rPr>
                <w:rFonts w:ascii="Century Gothic" w:hAnsi="Century Gothic"/>
                <w:sz w:val="20"/>
                <w:szCs w:val="20"/>
              </w:rPr>
              <w:t>Atizapán</w:t>
            </w:r>
          </w:p>
        </w:tc>
        <w:tc>
          <w:tcPr>
            <w:tcW w:w="428" w:type="pct"/>
          </w:tcPr>
          <w:p w14:paraId="21FCFA57"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 xml:space="preserve">Hombre </w:t>
            </w:r>
          </w:p>
        </w:tc>
        <w:tc>
          <w:tcPr>
            <w:tcW w:w="1017" w:type="pct"/>
          </w:tcPr>
          <w:p w14:paraId="011C9022"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3,746</w:t>
            </w:r>
          </w:p>
        </w:tc>
        <w:tc>
          <w:tcPr>
            <w:tcW w:w="525" w:type="pct"/>
          </w:tcPr>
          <w:p w14:paraId="3FD2287E"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 xml:space="preserve"> 3,680</w:t>
            </w:r>
          </w:p>
        </w:tc>
        <w:tc>
          <w:tcPr>
            <w:tcW w:w="764" w:type="pct"/>
          </w:tcPr>
          <w:p w14:paraId="7C682FD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66</w:t>
            </w:r>
          </w:p>
        </w:tc>
        <w:tc>
          <w:tcPr>
            <w:tcW w:w="1250" w:type="pct"/>
          </w:tcPr>
          <w:p w14:paraId="43FFDD50"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1,004</w:t>
            </w:r>
          </w:p>
        </w:tc>
      </w:tr>
      <w:tr w:rsidR="00CD5EC0" w:rsidRPr="00CD5EC0" w14:paraId="4795B6D1" w14:textId="77777777" w:rsidTr="00791DC6">
        <w:trPr>
          <w:trHeight w:val="80"/>
        </w:trPr>
        <w:tc>
          <w:tcPr>
            <w:cnfStyle w:val="001000000000" w:firstRow="0" w:lastRow="0" w:firstColumn="1" w:lastColumn="0" w:oddVBand="0" w:evenVBand="0" w:oddHBand="0" w:evenHBand="0" w:firstRowFirstColumn="0" w:firstRowLastColumn="0" w:lastRowFirstColumn="0" w:lastRowLastColumn="0"/>
            <w:tcW w:w="1016" w:type="pct"/>
            <w:vMerge/>
          </w:tcPr>
          <w:p w14:paraId="50D5A947" w14:textId="77777777" w:rsidR="00CD5EC0" w:rsidRPr="00CD5EC0" w:rsidRDefault="00CD5EC0" w:rsidP="00CD5EC0">
            <w:pPr>
              <w:rPr>
                <w:rFonts w:ascii="Century Gothic" w:hAnsi="Century Gothic"/>
                <w:sz w:val="20"/>
                <w:szCs w:val="20"/>
              </w:rPr>
            </w:pPr>
          </w:p>
        </w:tc>
        <w:tc>
          <w:tcPr>
            <w:tcW w:w="428" w:type="pct"/>
          </w:tcPr>
          <w:p w14:paraId="2FCBEC60"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 xml:space="preserve">Mujer </w:t>
            </w:r>
          </w:p>
        </w:tc>
        <w:tc>
          <w:tcPr>
            <w:tcW w:w="1017" w:type="pct"/>
          </w:tcPr>
          <w:p w14:paraId="3D37E1B6"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2,765</w:t>
            </w:r>
          </w:p>
        </w:tc>
        <w:tc>
          <w:tcPr>
            <w:tcW w:w="525" w:type="pct"/>
          </w:tcPr>
          <w:p w14:paraId="23DADDDB"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2,733</w:t>
            </w:r>
          </w:p>
        </w:tc>
        <w:tc>
          <w:tcPr>
            <w:tcW w:w="764" w:type="pct"/>
          </w:tcPr>
          <w:p w14:paraId="1E7DF320"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32</w:t>
            </w:r>
          </w:p>
        </w:tc>
        <w:tc>
          <w:tcPr>
            <w:tcW w:w="1250" w:type="pct"/>
          </w:tcPr>
          <w:p w14:paraId="60E4E0EC"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2,485</w:t>
            </w:r>
          </w:p>
        </w:tc>
      </w:tr>
      <w:tr w:rsidR="00CD5EC0" w:rsidRPr="00CD5EC0" w14:paraId="7C04A665" w14:textId="77777777" w:rsidTr="00791DC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55935E25"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Capulhuac</w:t>
            </w:r>
          </w:p>
        </w:tc>
        <w:tc>
          <w:tcPr>
            <w:tcW w:w="428" w:type="pct"/>
          </w:tcPr>
          <w:p w14:paraId="118F92B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4BFBAE0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11,276</w:t>
            </w:r>
          </w:p>
        </w:tc>
        <w:tc>
          <w:tcPr>
            <w:tcW w:w="525" w:type="pct"/>
          </w:tcPr>
          <w:p w14:paraId="11500395"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11,065</w:t>
            </w:r>
          </w:p>
        </w:tc>
        <w:tc>
          <w:tcPr>
            <w:tcW w:w="764" w:type="pct"/>
          </w:tcPr>
          <w:p w14:paraId="45A63815"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211</w:t>
            </w:r>
          </w:p>
        </w:tc>
        <w:tc>
          <w:tcPr>
            <w:tcW w:w="1250" w:type="pct"/>
          </w:tcPr>
          <w:p w14:paraId="14C24603"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2,671</w:t>
            </w:r>
          </w:p>
        </w:tc>
      </w:tr>
      <w:tr w:rsidR="00CD5EC0" w:rsidRPr="00CD5EC0" w14:paraId="71EC0DA7" w14:textId="77777777" w:rsidTr="00791DC6">
        <w:trPr>
          <w:trHeight w:val="250"/>
        </w:trPr>
        <w:tc>
          <w:tcPr>
            <w:cnfStyle w:val="001000000000" w:firstRow="0" w:lastRow="0" w:firstColumn="1" w:lastColumn="0" w:oddVBand="0" w:evenVBand="0" w:oddHBand="0" w:evenHBand="0" w:firstRowFirstColumn="0" w:firstRowLastColumn="0" w:lastRowFirstColumn="0" w:lastRowLastColumn="0"/>
            <w:tcW w:w="1016" w:type="pct"/>
            <w:vMerge/>
          </w:tcPr>
          <w:p w14:paraId="59707191" w14:textId="77777777" w:rsidR="00CD5EC0" w:rsidRPr="00CD5EC0" w:rsidRDefault="00CD5EC0" w:rsidP="00CD5EC0">
            <w:pPr>
              <w:rPr>
                <w:rFonts w:ascii="Century Gothic" w:hAnsi="Century Gothic"/>
                <w:sz w:val="20"/>
                <w:szCs w:val="20"/>
              </w:rPr>
            </w:pPr>
          </w:p>
        </w:tc>
        <w:tc>
          <w:tcPr>
            <w:tcW w:w="428" w:type="pct"/>
          </w:tcPr>
          <w:p w14:paraId="49C1B1B3"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tbl>
            <w:tblPr>
              <w:tblW w:w="624"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624"/>
            </w:tblGrid>
            <w:tr w:rsidR="00CD5EC0" w:rsidRPr="00CD5EC0" w14:paraId="540029E6" w14:textId="77777777" w:rsidTr="00CD5EC0">
              <w:trPr>
                <w:trHeight w:val="422"/>
                <w:tblCellSpacing w:w="15" w:type="dxa"/>
              </w:trPr>
              <w:tc>
                <w:tcPr>
                  <w:tcW w:w="0" w:type="auto"/>
                  <w:vAlign w:val="center"/>
                  <w:hideMark/>
                </w:tcPr>
                <w:p w14:paraId="26CAFAB1" w14:textId="77777777" w:rsidR="00CD5EC0" w:rsidRPr="00CD5EC0" w:rsidRDefault="00CD5EC0" w:rsidP="00446C98">
                  <w:pPr>
                    <w:framePr w:hSpace="141" w:wrap="around" w:vAnchor="text" w:hAnchor="margin" w:xAlign="center" w:y="369"/>
                    <w:spacing w:line="240" w:lineRule="auto"/>
                    <w:rPr>
                      <w:rFonts w:ascii="Century Gothic" w:hAnsi="Century Gothic"/>
                      <w:sz w:val="20"/>
                      <w:szCs w:val="20"/>
                    </w:rPr>
                  </w:pPr>
                  <w:r w:rsidRPr="00CD5EC0">
                    <w:rPr>
                      <w:rFonts w:ascii="Century Gothic" w:hAnsi="Century Gothic"/>
                      <w:sz w:val="20"/>
                      <w:szCs w:val="20"/>
                    </w:rPr>
                    <w:t>8,257</w:t>
                  </w:r>
                </w:p>
              </w:tc>
            </w:tr>
          </w:tbl>
          <w:p w14:paraId="25542EFA"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525" w:type="pct"/>
          </w:tcPr>
          <w:tbl>
            <w:tblPr>
              <w:tblW w:w="624"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624"/>
            </w:tblGrid>
            <w:tr w:rsidR="00CD5EC0" w:rsidRPr="00CD5EC0" w14:paraId="3A3BE000" w14:textId="77777777" w:rsidTr="00CD5EC0">
              <w:trPr>
                <w:trHeight w:val="422"/>
                <w:tblCellSpacing w:w="15" w:type="dxa"/>
              </w:trPr>
              <w:tc>
                <w:tcPr>
                  <w:tcW w:w="0" w:type="auto"/>
                  <w:vAlign w:val="center"/>
                  <w:hideMark/>
                </w:tcPr>
                <w:p w14:paraId="299AFF2B" w14:textId="77777777" w:rsidR="00CD5EC0" w:rsidRPr="00CD5EC0" w:rsidRDefault="00CD5EC0" w:rsidP="00446C98">
                  <w:pPr>
                    <w:framePr w:hSpace="141" w:wrap="around" w:vAnchor="text" w:hAnchor="margin" w:xAlign="center" w:y="369"/>
                    <w:spacing w:line="240" w:lineRule="auto"/>
                    <w:rPr>
                      <w:rFonts w:ascii="Century Gothic" w:hAnsi="Century Gothic"/>
                      <w:sz w:val="20"/>
                      <w:szCs w:val="20"/>
                    </w:rPr>
                  </w:pPr>
                  <w:r w:rsidRPr="00CD5EC0">
                    <w:rPr>
                      <w:rFonts w:ascii="Century Gothic" w:hAnsi="Century Gothic"/>
                      <w:sz w:val="20"/>
                      <w:szCs w:val="20"/>
                    </w:rPr>
                    <w:t>8,257</w:t>
                  </w:r>
                </w:p>
              </w:tc>
            </w:tr>
          </w:tbl>
          <w:p w14:paraId="260D2F80"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764" w:type="pct"/>
          </w:tcPr>
          <w:tbl>
            <w:tblPr>
              <w:tblW w:w="624"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624"/>
            </w:tblGrid>
            <w:tr w:rsidR="00CD5EC0" w:rsidRPr="00CD5EC0" w14:paraId="625E9CC5" w14:textId="77777777" w:rsidTr="00CD5EC0">
              <w:trPr>
                <w:trHeight w:val="422"/>
                <w:tblCellSpacing w:w="15" w:type="dxa"/>
              </w:trPr>
              <w:tc>
                <w:tcPr>
                  <w:tcW w:w="0" w:type="auto"/>
                  <w:vAlign w:val="center"/>
                  <w:hideMark/>
                </w:tcPr>
                <w:p w14:paraId="62E4109F" w14:textId="77777777" w:rsidR="00CD5EC0" w:rsidRPr="00CD5EC0" w:rsidRDefault="00CD5EC0" w:rsidP="00446C98">
                  <w:pPr>
                    <w:framePr w:hSpace="141" w:wrap="around" w:vAnchor="text" w:hAnchor="margin" w:xAlign="center" w:y="369"/>
                    <w:spacing w:line="240" w:lineRule="auto"/>
                    <w:rPr>
                      <w:rFonts w:ascii="Century Gothic" w:hAnsi="Century Gothic"/>
                      <w:sz w:val="20"/>
                      <w:szCs w:val="20"/>
                    </w:rPr>
                  </w:pPr>
                  <w:r w:rsidRPr="00CD5EC0">
                    <w:rPr>
                      <w:rFonts w:ascii="Century Gothic" w:hAnsi="Century Gothic"/>
                      <w:sz w:val="20"/>
                      <w:szCs w:val="20"/>
                    </w:rPr>
                    <w:t>8,257</w:t>
                  </w:r>
                </w:p>
              </w:tc>
            </w:tr>
          </w:tbl>
          <w:p w14:paraId="62B118D1"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c>
          <w:tcPr>
            <w:tcW w:w="1250" w:type="pct"/>
          </w:tcPr>
          <w:tbl>
            <w:tblPr>
              <w:tblW w:w="624" w:type="dxa"/>
              <w:tblCellSpacing w:w="15" w:type="dxa"/>
              <w:tblInd w:w="1" w:type="dxa"/>
              <w:tblCellMar>
                <w:top w:w="15" w:type="dxa"/>
                <w:left w:w="15" w:type="dxa"/>
                <w:bottom w:w="15" w:type="dxa"/>
                <w:right w:w="15" w:type="dxa"/>
              </w:tblCellMar>
              <w:tblLook w:val="04A0" w:firstRow="1" w:lastRow="0" w:firstColumn="1" w:lastColumn="0" w:noHBand="0" w:noVBand="1"/>
            </w:tblPr>
            <w:tblGrid>
              <w:gridCol w:w="624"/>
            </w:tblGrid>
            <w:tr w:rsidR="00CD5EC0" w:rsidRPr="00CD5EC0" w14:paraId="2E1653F6" w14:textId="77777777" w:rsidTr="00CD5EC0">
              <w:trPr>
                <w:trHeight w:val="422"/>
                <w:tblCellSpacing w:w="15" w:type="dxa"/>
              </w:trPr>
              <w:tc>
                <w:tcPr>
                  <w:tcW w:w="0" w:type="auto"/>
                  <w:vAlign w:val="center"/>
                  <w:hideMark/>
                </w:tcPr>
                <w:p w14:paraId="3F11EF4E" w14:textId="77777777" w:rsidR="00CD5EC0" w:rsidRPr="00CD5EC0" w:rsidRDefault="00CD5EC0" w:rsidP="00446C98">
                  <w:pPr>
                    <w:framePr w:hSpace="141" w:wrap="around" w:vAnchor="text" w:hAnchor="margin" w:xAlign="center" w:y="369"/>
                    <w:spacing w:line="240" w:lineRule="auto"/>
                    <w:rPr>
                      <w:rFonts w:ascii="Century Gothic" w:hAnsi="Century Gothic"/>
                      <w:sz w:val="20"/>
                      <w:szCs w:val="20"/>
                    </w:rPr>
                  </w:pPr>
                  <w:r w:rsidRPr="00CD5EC0">
                    <w:rPr>
                      <w:rFonts w:ascii="Century Gothic" w:hAnsi="Century Gothic"/>
                      <w:sz w:val="20"/>
                      <w:szCs w:val="20"/>
                    </w:rPr>
                    <w:t>8,257</w:t>
                  </w:r>
                </w:p>
              </w:tc>
            </w:tr>
          </w:tbl>
          <w:p w14:paraId="299FC8EE"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p>
        </w:tc>
      </w:tr>
      <w:tr w:rsidR="00CD5EC0" w:rsidRPr="00CD5EC0" w14:paraId="5A1CF9F8" w14:textId="77777777" w:rsidTr="00791DC6">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07D4AC8B"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Chapultepec</w:t>
            </w:r>
          </w:p>
        </w:tc>
        <w:tc>
          <w:tcPr>
            <w:tcW w:w="428" w:type="pct"/>
          </w:tcPr>
          <w:p w14:paraId="04EC0121"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6CF3FE0A"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3,652</w:t>
            </w:r>
          </w:p>
        </w:tc>
        <w:tc>
          <w:tcPr>
            <w:tcW w:w="525" w:type="pct"/>
          </w:tcPr>
          <w:p w14:paraId="6765C888"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3,566</w:t>
            </w:r>
          </w:p>
        </w:tc>
        <w:tc>
          <w:tcPr>
            <w:tcW w:w="764" w:type="pct"/>
          </w:tcPr>
          <w:p w14:paraId="46CAEFD5"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86</w:t>
            </w:r>
          </w:p>
        </w:tc>
        <w:tc>
          <w:tcPr>
            <w:tcW w:w="1250" w:type="pct"/>
          </w:tcPr>
          <w:p w14:paraId="725FA3D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1,228</w:t>
            </w:r>
          </w:p>
        </w:tc>
      </w:tr>
      <w:tr w:rsidR="00CD5EC0" w:rsidRPr="00CD5EC0" w14:paraId="73678254" w14:textId="77777777" w:rsidTr="00791DC6">
        <w:trPr>
          <w:trHeight w:val="80"/>
        </w:trPr>
        <w:tc>
          <w:tcPr>
            <w:cnfStyle w:val="001000000000" w:firstRow="0" w:lastRow="0" w:firstColumn="1" w:lastColumn="0" w:oddVBand="0" w:evenVBand="0" w:oddHBand="0" w:evenHBand="0" w:firstRowFirstColumn="0" w:firstRowLastColumn="0" w:lastRowFirstColumn="0" w:lastRowLastColumn="0"/>
            <w:tcW w:w="1016" w:type="pct"/>
            <w:vMerge/>
          </w:tcPr>
          <w:p w14:paraId="24AE85F9" w14:textId="77777777" w:rsidR="00CD5EC0" w:rsidRPr="00CD5EC0" w:rsidRDefault="00CD5EC0" w:rsidP="00CD5EC0">
            <w:pPr>
              <w:rPr>
                <w:rFonts w:ascii="Century Gothic" w:hAnsi="Century Gothic"/>
                <w:sz w:val="20"/>
                <w:szCs w:val="20"/>
              </w:rPr>
            </w:pPr>
          </w:p>
        </w:tc>
        <w:tc>
          <w:tcPr>
            <w:tcW w:w="428" w:type="pct"/>
          </w:tcPr>
          <w:p w14:paraId="565663FE"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4B46EC80"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2,467</w:t>
            </w:r>
          </w:p>
        </w:tc>
        <w:tc>
          <w:tcPr>
            <w:tcW w:w="525" w:type="pct"/>
          </w:tcPr>
          <w:p w14:paraId="7AEBD38C"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2,440</w:t>
            </w:r>
          </w:p>
        </w:tc>
        <w:tc>
          <w:tcPr>
            <w:tcW w:w="764" w:type="pct"/>
          </w:tcPr>
          <w:p w14:paraId="441F9506"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27</w:t>
            </w:r>
          </w:p>
        </w:tc>
        <w:tc>
          <w:tcPr>
            <w:tcW w:w="1250" w:type="pct"/>
          </w:tcPr>
          <w:p w14:paraId="0AA4E811"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2,814</w:t>
            </w:r>
          </w:p>
        </w:tc>
      </w:tr>
      <w:tr w:rsidR="00CD5EC0" w:rsidRPr="00CD5EC0" w14:paraId="4DD82478" w14:textId="77777777" w:rsidTr="00791DC6">
        <w:trPr>
          <w:cnfStyle w:val="000000100000" w:firstRow="0" w:lastRow="0" w:firstColumn="0" w:lastColumn="0" w:oddVBand="0" w:evenVBand="0" w:oddHBand="1"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64FFCC85"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Lerma</w:t>
            </w:r>
          </w:p>
        </w:tc>
        <w:tc>
          <w:tcPr>
            <w:tcW w:w="428" w:type="pct"/>
          </w:tcPr>
          <w:p w14:paraId="4455FBD5"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31AAFB5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50,851</w:t>
            </w:r>
          </w:p>
        </w:tc>
        <w:tc>
          <w:tcPr>
            <w:tcW w:w="525" w:type="pct"/>
          </w:tcPr>
          <w:p w14:paraId="0778EDBC"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49,465</w:t>
            </w:r>
          </w:p>
        </w:tc>
        <w:tc>
          <w:tcPr>
            <w:tcW w:w="764" w:type="pct"/>
          </w:tcPr>
          <w:p w14:paraId="4544F075"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1,386</w:t>
            </w:r>
          </w:p>
        </w:tc>
        <w:tc>
          <w:tcPr>
            <w:tcW w:w="1250" w:type="pct"/>
          </w:tcPr>
          <w:p w14:paraId="00C983F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15,383</w:t>
            </w:r>
          </w:p>
        </w:tc>
      </w:tr>
      <w:tr w:rsidR="00CD5EC0" w:rsidRPr="00CD5EC0" w14:paraId="0EF488A5"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77FC00F5" w14:textId="77777777" w:rsidR="00CD5EC0" w:rsidRPr="00CD5EC0" w:rsidRDefault="00CD5EC0" w:rsidP="00CD5EC0">
            <w:pPr>
              <w:rPr>
                <w:rFonts w:ascii="Century Gothic" w:hAnsi="Century Gothic"/>
                <w:sz w:val="20"/>
                <w:szCs w:val="20"/>
              </w:rPr>
            </w:pPr>
          </w:p>
        </w:tc>
        <w:tc>
          <w:tcPr>
            <w:tcW w:w="428" w:type="pct"/>
          </w:tcPr>
          <w:p w14:paraId="19BDBBDB"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1EDC75FC"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32,935</w:t>
            </w:r>
          </w:p>
        </w:tc>
        <w:tc>
          <w:tcPr>
            <w:tcW w:w="525" w:type="pct"/>
          </w:tcPr>
          <w:p w14:paraId="0AA70B95"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32,464</w:t>
            </w:r>
          </w:p>
        </w:tc>
        <w:tc>
          <w:tcPr>
            <w:tcW w:w="764" w:type="pct"/>
          </w:tcPr>
          <w:p w14:paraId="45740E19"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471</w:t>
            </w:r>
          </w:p>
        </w:tc>
        <w:tc>
          <w:tcPr>
            <w:tcW w:w="1250" w:type="pct"/>
          </w:tcPr>
          <w:p w14:paraId="104DAD0D"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36,121</w:t>
            </w:r>
          </w:p>
        </w:tc>
      </w:tr>
      <w:tr w:rsidR="00CD5EC0" w:rsidRPr="00CD5EC0" w14:paraId="2BBCDFCB" w14:textId="77777777" w:rsidTr="00791DC6">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562AC8E7"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Ocoyoacac</w:t>
            </w:r>
          </w:p>
        </w:tc>
        <w:tc>
          <w:tcPr>
            <w:tcW w:w="428" w:type="pct"/>
          </w:tcPr>
          <w:p w14:paraId="426A312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7EEC092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21,637</w:t>
            </w:r>
          </w:p>
        </w:tc>
        <w:tc>
          <w:tcPr>
            <w:tcW w:w="525" w:type="pct"/>
          </w:tcPr>
          <w:p w14:paraId="4027ACD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21,172</w:t>
            </w:r>
          </w:p>
        </w:tc>
        <w:tc>
          <w:tcPr>
            <w:tcW w:w="764" w:type="pct"/>
          </w:tcPr>
          <w:p w14:paraId="4D1E1981"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465</w:t>
            </w:r>
          </w:p>
        </w:tc>
        <w:tc>
          <w:tcPr>
            <w:tcW w:w="1250" w:type="pct"/>
          </w:tcPr>
          <w:p w14:paraId="16C55790"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6,394</w:t>
            </w:r>
          </w:p>
        </w:tc>
      </w:tr>
      <w:tr w:rsidR="00CD5EC0" w:rsidRPr="00CD5EC0" w14:paraId="3EFDD8CB"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07E2363B" w14:textId="77777777" w:rsidR="00CD5EC0" w:rsidRPr="00CD5EC0" w:rsidRDefault="00CD5EC0" w:rsidP="00CD5EC0">
            <w:pPr>
              <w:rPr>
                <w:rFonts w:ascii="Century Gothic" w:hAnsi="Century Gothic"/>
                <w:sz w:val="20"/>
                <w:szCs w:val="20"/>
              </w:rPr>
            </w:pPr>
          </w:p>
        </w:tc>
        <w:tc>
          <w:tcPr>
            <w:tcW w:w="428" w:type="pct"/>
          </w:tcPr>
          <w:p w14:paraId="0C4733DA"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229CF170"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15,257</w:t>
            </w:r>
          </w:p>
        </w:tc>
        <w:tc>
          <w:tcPr>
            <w:tcW w:w="525" w:type="pct"/>
          </w:tcPr>
          <w:p w14:paraId="79E714D9"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15,074</w:t>
            </w:r>
          </w:p>
        </w:tc>
        <w:tc>
          <w:tcPr>
            <w:tcW w:w="764" w:type="pct"/>
          </w:tcPr>
          <w:p w14:paraId="3117CDC2"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183</w:t>
            </w:r>
          </w:p>
        </w:tc>
        <w:tc>
          <w:tcPr>
            <w:tcW w:w="1250" w:type="pct"/>
          </w:tcPr>
          <w:p w14:paraId="793D47F1"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14,682</w:t>
            </w:r>
          </w:p>
        </w:tc>
      </w:tr>
      <w:tr w:rsidR="00CD5EC0" w:rsidRPr="00CD5EC0" w14:paraId="1CC92E06" w14:textId="77777777" w:rsidTr="00791DC6">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2B72C17C"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San Antonio la Isla</w:t>
            </w:r>
          </w:p>
        </w:tc>
        <w:tc>
          <w:tcPr>
            <w:tcW w:w="428" w:type="pct"/>
          </w:tcPr>
          <w:p w14:paraId="6C756E70"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701AA7F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9,289</w:t>
            </w:r>
          </w:p>
        </w:tc>
        <w:tc>
          <w:tcPr>
            <w:tcW w:w="525" w:type="pct"/>
          </w:tcPr>
          <w:p w14:paraId="49AA6A2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9,041</w:t>
            </w:r>
          </w:p>
        </w:tc>
        <w:tc>
          <w:tcPr>
            <w:tcW w:w="764" w:type="pct"/>
          </w:tcPr>
          <w:p w14:paraId="29B70F4B"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248</w:t>
            </w:r>
          </w:p>
        </w:tc>
        <w:tc>
          <w:tcPr>
            <w:tcW w:w="1250" w:type="pct"/>
          </w:tcPr>
          <w:p w14:paraId="6ED281C4"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2,771</w:t>
            </w:r>
          </w:p>
        </w:tc>
      </w:tr>
      <w:tr w:rsidR="00CD5EC0" w:rsidRPr="00CD5EC0" w14:paraId="68AAF797"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6CF74C5B" w14:textId="77777777" w:rsidR="00CD5EC0" w:rsidRPr="00CD5EC0" w:rsidRDefault="00CD5EC0" w:rsidP="00CD5EC0">
            <w:pPr>
              <w:rPr>
                <w:rFonts w:ascii="Century Gothic" w:hAnsi="Century Gothic"/>
                <w:sz w:val="20"/>
                <w:szCs w:val="20"/>
              </w:rPr>
            </w:pPr>
          </w:p>
        </w:tc>
        <w:tc>
          <w:tcPr>
            <w:tcW w:w="428" w:type="pct"/>
          </w:tcPr>
          <w:p w14:paraId="66393764"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3C0EECBE"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6,520</w:t>
            </w:r>
          </w:p>
        </w:tc>
        <w:tc>
          <w:tcPr>
            <w:tcW w:w="525" w:type="pct"/>
          </w:tcPr>
          <w:p w14:paraId="239D00B4"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6,222</w:t>
            </w:r>
          </w:p>
        </w:tc>
        <w:tc>
          <w:tcPr>
            <w:tcW w:w="764" w:type="pct"/>
          </w:tcPr>
          <w:p w14:paraId="5930BE66"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98</w:t>
            </w:r>
          </w:p>
        </w:tc>
        <w:tc>
          <w:tcPr>
            <w:tcW w:w="1250" w:type="pct"/>
          </w:tcPr>
          <w:p w14:paraId="3E05340F"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6,628</w:t>
            </w:r>
          </w:p>
        </w:tc>
      </w:tr>
      <w:tr w:rsidR="00CD5EC0" w:rsidRPr="00CD5EC0" w14:paraId="6249F2C5" w14:textId="77777777" w:rsidTr="00791DC6">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01E95B63"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Texcalyacac</w:t>
            </w:r>
          </w:p>
        </w:tc>
        <w:tc>
          <w:tcPr>
            <w:tcW w:w="428" w:type="pct"/>
          </w:tcPr>
          <w:p w14:paraId="70639E48"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38BC2EA3"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1,593</w:t>
            </w:r>
          </w:p>
        </w:tc>
        <w:tc>
          <w:tcPr>
            <w:tcW w:w="525" w:type="pct"/>
          </w:tcPr>
          <w:p w14:paraId="2656052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1,533</w:t>
            </w:r>
          </w:p>
        </w:tc>
        <w:tc>
          <w:tcPr>
            <w:tcW w:w="764" w:type="pct"/>
          </w:tcPr>
          <w:p w14:paraId="4D1045CA"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60</w:t>
            </w:r>
          </w:p>
        </w:tc>
        <w:tc>
          <w:tcPr>
            <w:tcW w:w="1250" w:type="pct"/>
          </w:tcPr>
          <w:p w14:paraId="04523F10"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604</w:t>
            </w:r>
          </w:p>
        </w:tc>
      </w:tr>
      <w:tr w:rsidR="00CD5EC0" w:rsidRPr="00CD5EC0" w14:paraId="0118CC1E"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49F364FB" w14:textId="77777777" w:rsidR="00CD5EC0" w:rsidRPr="00CD5EC0" w:rsidRDefault="00CD5EC0" w:rsidP="00CD5EC0">
            <w:pPr>
              <w:rPr>
                <w:rFonts w:ascii="Century Gothic" w:hAnsi="Century Gothic"/>
                <w:sz w:val="20"/>
                <w:szCs w:val="20"/>
              </w:rPr>
            </w:pPr>
          </w:p>
        </w:tc>
        <w:tc>
          <w:tcPr>
            <w:tcW w:w="428" w:type="pct"/>
          </w:tcPr>
          <w:p w14:paraId="1975BCDD"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54DB2F4B"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1,001</w:t>
            </w:r>
          </w:p>
        </w:tc>
        <w:tc>
          <w:tcPr>
            <w:tcW w:w="525" w:type="pct"/>
          </w:tcPr>
          <w:p w14:paraId="77B2353F"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977</w:t>
            </w:r>
          </w:p>
        </w:tc>
        <w:tc>
          <w:tcPr>
            <w:tcW w:w="764" w:type="pct"/>
          </w:tcPr>
          <w:p w14:paraId="0AB1AC66"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24</w:t>
            </w:r>
          </w:p>
        </w:tc>
        <w:tc>
          <w:tcPr>
            <w:tcW w:w="1250" w:type="pct"/>
          </w:tcPr>
          <w:p w14:paraId="5D2F77EE"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1,338</w:t>
            </w:r>
          </w:p>
        </w:tc>
      </w:tr>
      <w:tr w:rsidR="00CD5EC0" w:rsidRPr="00CD5EC0" w14:paraId="6E106ED0" w14:textId="77777777" w:rsidTr="00791DC6">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2F5B4888"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Tianguistenco</w:t>
            </w:r>
          </w:p>
        </w:tc>
        <w:tc>
          <w:tcPr>
            <w:tcW w:w="428" w:type="pct"/>
          </w:tcPr>
          <w:p w14:paraId="5BFA54A2"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2D8DBE48"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25,320</w:t>
            </w:r>
          </w:p>
        </w:tc>
        <w:tc>
          <w:tcPr>
            <w:tcW w:w="525" w:type="pct"/>
          </w:tcPr>
          <w:p w14:paraId="31C98FD9"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24,920</w:t>
            </w:r>
          </w:p>
        </w:tc>
        <w:tc>
          <w:tcPr>
            <w:tcW w:w="764" w:type="pct"/>
          </w:tcPr>
          <w:p w14:paraId="1CA03A72"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400</w:t>
            </w:r>
          </w:p>
        </w:tc>
        <w:tc>
          <w:tcPr>
            <w:tcW w:w="1250" w:type="pct"/>
          </w:tcPr>
          <w:p w14:paraId="49EEED3F"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6,266</w:t>
            </w:r>
          </w:p>
        </w:tc>
      </w:tr>
      <w:tr w:rsidR="00CD5EC0" w:rsidRPr="00CD5EC0" w14:paraId="0CEB4019"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0778151B" w14:textId="77777777" w:rsidR="00CD5EC0" w:rsidRPr="00CD5EC0" w:rsidRDefault="00CD5EC0" w:rsidP="00CD5EC0">
            <w:pPr>
              <w:rPr>
                <w:rFonts w:ascii="Century Gothic" w:hAnsi="Century Gothic"/>
                <w:sz w:val="20"/>
                <w:szCs w:val="20"/>
              </w:rPr>
            </w:pPr>
          </w:p>
        </w:tc>
        <w:tc>
          <w:tcPr>
            <w:tcW w:w="428" w:type="pct"/>
          </w:tcPr>
          <w:p w14:paraId="24CE63E2"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1CDA9BFC"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18,247</w:t>
            </w:r>
          </w:p>
        </w:tc>
        <w:tc>
          <w:tcPr>
            <w:tcW w:w="525" w:type="pct"/>
          </w:tcPr>
          <w:p w14:paraId="099EE5F2"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18,055</w:t>
            </w:r>
          </w:p>
        </w:tc>
        <w:tc>
          <w:tcPr>
            <w:tcW w:w="764" w:type="pct"/>
          </w:tcPr>
          <w:p w14:paraId="2FE82EC3"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192</w:t>
            </w:r>
          </w:p>
        </w:tc>
        <w:tc>
          <w:tcPr>
            <w:tcW w:w="1250" w:type="pct"/>
          </w:tcPr>
          <w:p w14:paraId="7956AB01"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15,793</w:t>
            </w:r>
          </w:p>
        </w:tc>
      </w:tr>
      <w:tr w:rsidR="00CD5EC0" w:rsidRPr="00CD5EC0" w14:paraId="05788C52" w14:textId="77777777" w:rsidTr="00791DC6">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3806C6F0"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Xalatlaco</w:t>
            </w:r>
          </w:p>
        </w:tc>
        <w:tc>
          <w:tcPr>
            <w:tcW w:w="428" w:type="pct"/>
          </w:tcPr>
          <w:p w14:paraId="770AC671"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736BD469"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9,123</w:t>
            </w:r>
          </w:p>
        </w:tc>
        <w:tc>
          <w:tcPr>
            <w:tcW w:w="525" w:type="pct"/>
          </w:tcPr>
          <w:p w14:paraId="0AC0A7A0"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8,975</w:t>
            </w:r>
          </w:p>
        </w:tc>
        <w:tc>
          <w:tcPr>
            <w:tcW w:w="764" w:type="pct"/>
          </w:tcPr>
          <w:p w14:paraId="1BEB52C2"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148</w:t>
            </w:r>
          </w:p>
        </w:tc>
        <w:tc>
          <w:tcPr>
            <w:tcW w:w="1250" w:type="pct"/>
          </w:tcPr>
          <w:p w14:paraId="2DD2A7B5"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38,580</w:t>
            </w:r>
          </w:p>
        </w:tc>
      </w:tr>
      <w:tr w:rsidR="00CD5EC0" w:rsidRPr="00CD5EC0" w14:paraId="326A9229"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7CABD6CA" w14:textId="77777777" w:rsidR="00CD5EC0" w:rsidRPr="00CD5EC0" w:rsidRDefault="00CD5EC0" w:rsidP="00CD5EC0">
            <w:pPr>
              <w:rPr>
                <w:rFonts w:ascii="Century Gothic" w:hAnsi="Century Gothic"/>
                <w:sz w:val="20"/>
                <w:szCs w:val="20"/>
              </w:rPr>
            </w:pPr>
          </w:p>
        </w:tc>
        <w:tc>
          <w:tcPr>
            <w:tcW w:w="428" w:type="pct"/>
          </w:tcPr>
          <w:p w14:paraId="675BFBA4"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4ED1B0F2"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6,595</w:t>
            </w:r>
          </w:p>
        </w:tc>
        <w:tc>
          <w:tcPr>
            <w:tcW w:w="525" w:type="pct"/>
          </w:tcPr>
          <w:p w14:paraId="5D7E231B"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6,555</w:t>
            </w:r>
          </w:p>
        </w:tc>
        <w:tc>
          <w:tcPr>
            <w:tcW w:w="764" w:type="pct"/>
          </w:tcPr>
          <w:p w14:paraId="4B15B1ED"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40</w:t>
            </w:r>
          </w:p>
        </w:tc>
        <w:tc>
          <w:tcPr>
            <w:tcW w:w="1250" w:type="pct"/>
          </w:tcPr>
          <w:p w14:paraId="1A57B940"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5,641</w:t>
            </w:r>
          </w:p>
        </w:tc>
      </w:tr>
      <w:tr w:rsidR="00CD5EC0" w:rsidRPr="00CD5EC0" w14:paraId="28BFD928" w14:textId="77777777" w:rsidTr="00791DC6">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16" w:type="pct"/>
            <w:vMerge w:val="restart"/>
          </w:tcPr>
          <w:p w14:paraId="3D75F46E"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Total, Región</w:t>
            </w:r>
          </w:p>
        </w:tc>
        <w:tc>
          <w:tcPr>
            <w:tcW w:w="428" w:type="pct"/>
          </w:tcPr>
          <w:p w14:paraId="712EE903"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Hombre</w:t>
            </w:r>
          </w:p>
        </w:tc>
        <w:tc>
          <w:tcPr>
            <w:tcW w:w="1017" w:type="pct"/>
          </w:tcPr>
          <w:p w14:paraId="2FAE1C1D"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136,487</w:t>
            </w:r>
          </w:p>
        </w:tc>
        <w:tc>
          <w:tcPr>
            <w:tcW w:w="525" w:type="pct"/>
          </w:tcPr>
          <w:p w14:paraId="45796079"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133,417</w:t>
            </w:r>
          </w:p>
        </w:tc>
        <w:tc>
          <w:tcPr>
            <w:tcW w:w="764" w:type="pct"/>
          </w:tcPr>
          <w:p w14:paraId="5C76D6ED"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3,070</w:t>
            </w:r>
          </w:p>
        </w:tc>
        <w:tc>
          <w:tcPr>
            <w:tcW w:w="1250" w:type="pct"/>
          </w:tcPr>
          <w:p w14:paraId="56201B30"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38,580</w:t>
            </w:r>
          </w:p>
        </w:tc>
      </w:tr>
      <w:tr w:rsidR="00CD5EC0" w:rsidRPr="00CD5EC0" w14:paraId="029DDC63" w14:textId="77777777" w:rsidTr="00791DC6">
        <w:trPr>
          <w:trHeight w:val="268"/>
        </w:trPr>
        <w:tc>
          <w:tcPr>
            <w:cnfStyle w:val="001000000000" w:firstRow="0" w:lastRow="0" w:firstColumn="1" w:lastColumn="0" w:oddVBand="0" w:evenVBand="0" w:oddHBand="0" w:evenHBand="0" w:firstRowFirstColumn="0" w:firstRowLastColumn="0" w:lastRowFirstColumn="0" w:lastRowLastColumn="0"/>
            <w:tcW w:w="1016" w:type="pct"/>
            <w:vMerge/>
          </w:tcPr>
          <w:p w14:paraId="62FA8967" w14:textId="77777777" w:rsidR="00CD5EC0" w:rsidRPr="00CD5EC0" w:rsidRDefault="00CD5EC0" w:rsidP="00CD5EC0">
            <w:pPr>
              <w:rPr>
                <w:rFonts w:ascii="Century Gothic" w:hAnsi="Century Gothic"/>
                <w:sz w:val="20"/>
                <w:szCs w:val="20"/>
              </w:rPr>
            </w:pPr>
          </w:p>
        </w:tc>
        <w:tc>
          <w:tcPr>
            <w:tcW w:w="428" w:type="pct"/>
          </w:tcPr>
          <w:p w14:paraId="40762543"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Mujer</w:t>
            </w:r>
          </w:p>
        </w:tc>
        <w:tc>
          <w:tcPr>
            <w:tcW w:w="1017" w:type="pct"/>
          </w:tcPr>
          <w:p w14:paraId="0F8043F3"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94,044</w:t>
            </w:r>
          </w:p>
        </w:tc>
        <w:tc>
          <w:tcPr>
            <w:tcW w:w="525" w:type="pct"/>
          </w:tcPr>
          <w:p w14:paraId="46BB7521"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92,901</w:t>
            </w:r>
          </w:p>
        </w:tc>
        <w:tc>
          <w:tcPr>
            <w:tcW w:w="764" w:type="pct"/>
          </w:tcPr>
          <w:p w14:paraId="20894124"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1,143</w:t>
            </w:r>
          </w:p>
        </w:tc>
        <w:tc>
          <w:tcPr>
            <w:tcW w:w="1250" w:type="pct"/>
          </w:tcPr>
          <w:p w14:paraId="4C94C6DD" w14:textId="77777777" w:rsidR="00CD5EC0" w:rsidRPr="00CD5EC0" w:rsidRDefault="00CD5EC0" w:rsidP="00CD5EC0">
            <w:pP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92,447</w:t>
            </w:r>
          </w:p>
        </w:tc>
      </w:tr>
      <w:tr w:rsidR="00CD5EC0" w:rsidRPr="00CD5EC0" w14:paraId="4FD4644F" w14:textId="77777777" w:rsidTr="00791DC6">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016" w:type="pct"/>
          </w:tcPr>
          <w:p w14:paraId="7D1C7C1B" w14:textId="77777777" w:rsidR="00CD5EC0" w:rsidRPr="00CD5EC0" w:rsidRDefault="00CD5EC0" w:rsidP="00CD5EC0">
            <w:pPr>
              <w:rPr>
                <w:rFonts w:ascii="Century Gothic" w:hAnsi="Century Gothic"/>
                <w:sz w:val="20"/>
                <w:szCs w:val="20"/>
              </w:rPr>
            </w:pPr>
            <w:r w:rsidRPr="00CD5EC0">
              <w:rPr>
                <w:rFonts w:ascii="Century Gothic" w:hAnsi="Century Gothic"/>
                <w:sz w:val="20"/>
                <w:szCs w:val="20"/>
              </w:rPr>
              <w:t>Total, Hombres y Mujeres</w:t>
            </w:r>
          </w:p>
        </w:tc>
        <w:tc>
          <w:tcPr>
            <w:tcW w:w="428" w:type="pct"/>
          </w:tcPr>
          <w:p w14:paraId="48D21637"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w:t>
            </w:r>
          </w:p>
        </w:tc>
        <w:tc>
          <w:tcPr>
            <w:tcW w:w="1017" w:type="pct"/>
          </w:tcPr>
          <w:p w14:paraId="3EAB16DE"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230,531</w:t>
            </w:r>
          </w:p>
        </w:tc>
        <w:tc>
          <w:tcPr>
            <w:tcW w:w="525" w:type="pct"/>
          </w:tcPr>
          <w:p w14:paraId="44992926"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226,318</w:t>
            </w:r>
          </w:p>
        </w:tc>
        <w:tc>
          <w:tcPr>
            <w:tcW w:w="764" w:type="pct"/>
          </w:tcPr>
          <w:p w14:paraId="42CC833A"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4,213</w:t>
            </w:r>
          </w:p>
        </w:tc>
        <w:tc>
          <w:tcPr>
            <w:tcW w:w="1250" w:type="pct"/>
          </w:tcPr>
          <w:p w14:paraId="3AD31B8B" w14:textId="77777777" w:rsidR="00CD5EC0" w:rsidRPr="00CD5EC0" w:rsidRDefault="00CD5EC0" w:rsidP="00CD5EC0">
            <w:pPr>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CD5EC0">
              <w:rPr>
                <w:rFonts w:ascii="Century Gothic" w:hAnsi="Century Gothic"/>
                <w:sz w:val="20"/>
                <w:szCs w:val="20"/>
              </w:rPr>
              <w:t>131,027</w:t>
            </w:r>
          </w:p>
        </w:tc>
      </w:tr>
    </w:tbl>
    <w:p w14:paraId="5BBEA89F" w14:textId="1344368A" w:rsidR="00CD5EC0" w:rsidRPr="00CD5EC0" w:rsidRDefault="00CD5EC0" w:rsidP="00CD5EC0">
      <w:pPr>
        <w:spacing w:line="360" w:lineRule="auto"/>
        <w:jc w:val="both"/>
        <w:rPr>
          <w:rFonts w:ascii="Century Gothic" w:hAnsi="Century Gothic"/>
          <w:sz w:val="22"/>
          <w:szCs w:val="22"/>
        </w:rPr>
      </w:pPr>
    </w:p>
    <w:p w14:paraId="5CF01ACD" w14:textId="365EBF51" w:rsidR="00CD5EC0" w:rsidRDefault="00CD5EC0">
      <w:pPr>
        <w:rPr>
          <w:rFonts w:ascii="Century Gothic" w:hAnsi="Century Gothic"/>
          <w:bCs/>
          <w:sz w:val="22"/>
          <w:szCs w:val="22"/>
        </w:rPr>
      </w:pPr>
      <w:r>
        <w:rPr>
          <w:rFonts w:ascii="Century Gothic" w:hAnsi="Century Gothic"/>
          <w:bCs/>
          <w:sz w:val="22"/>
          <w:szCs w:val="22"/>
        </w:rPr>
        <w:t>Fuente: COPLADEM 2024</w:t>
      </w:r>
      <w:r>
        <w:rPr>
          <w:rFonts w:ascii="Century Gothic" w:hAnsi="Century Gothic"/>
          <w:bCs/>
          <w:sz w:val="22"/>
          <w:szCs w:val="22"/>
        </w:rPr>
        <w:br w:type="page"/>
      </w:r>
    </w:p>
    <w:p w14:paraId="4B87B4BD" w14:textId="77777777" w:rsidR="00CD5EC0" w:rsidRDefault="00CD5EC0" w:rsidP="00CD5EC0">
      <w:pPr>
        <w:spacing w:line="360" w:lineRule="auto"/>
        <w:jc w:val="both"/>
        <w:rPr>
          <w:rFonts w:ascii="Century Gothic" w:hAnsi="Century Gothic"/>
          <w:bCs/>
          <w:sz w:val="22"/>
          <w:szCs w:val="22"/>
        </w:rPr>
        <w:sectPr w:rsidR="00CD5EC0" w:rsidSect="00CE2E14">
          <w:pgSz w:w="15840" w:h="12240" w:orient="landscape"/>
          <w:pgMar w:top="1440" w:right="1440" w:bottom="1440" w:left="1440" w:header="709" w:footer="709" w:gutter="0"/>
          <w:cols w:space="708"/>
          <w:docGrid w:linePitch="360"/>
        </w:sectPr>
      </w:pPr>
    </w:p>
    <w:p w14:paraId="361DF3DB" w14:textId="014A2020" w:rsidR="00CD5EC0" w:rsidRPr="00CD5EC0" w:rsidRDefault="00CD5EC0" w:rsidP="00CD5EC0">
      <w:pPr>
        <w:spacing w:line="360" w:lineRule="auto"/>
        <w:ind w:firstLine="708"/>
        <w:jc w:val="both"/>
        <w:rPr>
          <w:rFonts w:ascii="Century Gothic" w:hAnsi="Century Gothic"/>
          <w:sz w:val="22"/>
          <w:szCs w:val="22"/>
        </w:rPr>
      </w:pPr>
      <w:r w:rsidRPr="00CD5EC0">
        <w:rPr>
          <w:rFonts w:ascii="Century Gothic" w:hAnsi="Century Gothic"/>
          <w:sz w:val="22"/>
          <w:szCs w:val="22"/>
        </w:rPr>
        <w:lastRenderedPageBreak/>
        <w:t>El crecimiento económico tiene el poder de transformar sociedades, aumentar los ingresos y permitir que los ciudadanos prosperen, pero el crecimiento por sí solo no es suficiente. Para reducir la pobreza y garantizar la prosperidad compartida, se necesita que el crecimiento genere mayor cantidad de empleos y que estos sean de mejor calidad y más inclusivos, ya que constituyen el camino más seguro para salir de la pobreza.</w:t>
      </w:r>
    </w:p>
    <w:p w14:paraId="285F0BF8" w14:textId="13BF11D7" w:rsidR="00CD5EC0" w:rsidRPr="00CD5EC0" w:rsidRDefault="00CD5EC0" w:rsidP="00CD5EC0">
      <w:pPr>
        <w:spacing w:line="360" w:lineRule="auto"/>
        <w:ind w:firstLine="708"/>
        <w:jc w:val="both"/>
        <w:rPr>
          <w:rFonts w:ascii="Century Gothic" w:hAnsi="Century Gothic"/>
          <w:sz w:val="22"/>
          <w:szCs w:val="22"/>
        </w:rPr>
      </w:pPr>
      <w:r w:rsidRPr="00CD5EC0">
        <w:rPr>
          <w:rFonts w:ascii="Century Gothic" w:hAnsi="Century Gothic"/>
          <w:sz w:val="22"/>
          <w:szCs w:val="22"/>
        </w:rPr>
        <w:t xml:space="preserve">El municipio enfrenta un gran desafío debido a que debe eliminar los obstáculos al empleo para asegurar oportunidades en el mercado laboral para grupos generalmente desfavorecidos, como las mujeres, los jóvenes y los más pobres. </w:t>
      </w:r>
    </w:p>
    <w:p w14:paraId="7B921C3C" w14:textId="241C3103" w:rsidR="00CD5EC0" w:rsidRPr="00CD5EC0" w:rsidRDefault="00CD5EC0" w:rsidP="00CD5EC0">
      <w:pPr>
        <w:spacing w:line="360" w:lineRule="auto"/>
        <w:ind w:firstLine="708"/>
        <w:jc w:val="both"/>
        <w:rPr>
          <w:rFonts w:ascii="Century Gothic" w:hAnsi="Century Gothic"/>
          <w:sz w:val="22"/>
          <w:szCs w:val="22"/>
        </w:rPr>
      </w:pPr>
      <w:r w:rsidRPr="00CD5EC0">
        <w:rPr>
          <w:rFonts w:ascii="Century Gothic" w:hAnsi="Century Gothic"/>
          <w:sz w:val="22"/>
          <w:szCs w:val="22"/>
        </w:rPr>
        <w:t xml:space="preserve">Debe velar por que los Islenses reciban la educación y desarrollen las habilidades necesarias para desempeñarse en los empleos disponibles en la economía moderna. Es fundamental tener éxito en estos ámbitos. Los empleos de buena calidad proporcionan a la gente los medios para salir de la pobreza, lo que a su vez ayuda a los países a tener mayor estabilidad </w:t>
      </w:r>
      <w:r w:rsidRPr="00CD5EC0">
        <w:rPr>
          <w:rFonts w:ascii="Century Gothic" w:hAnsi="Century Gothic"/>
          <w:sz w:val="22"/>
          <w:szCs w:val="22"/>
        </w:rPr>
        <w:t xml:space="preserve">económica y social y en última instancia, beneficia el crecimiento económico mundial. </w:t>
      </w:r>
    </w:p>
    <w:p w14:paraId="2F52214F" w14:textId="4995FE16" w:rsidR="00CD5EC0" w:rsidRDefault="00CD5EC0" w:rsidP="00CD5EC0">
      <w:pPr>
        <w:spacing w:line="360" w:lineRule="auto"/>
        <w:ind w:firstLine="708"/>
        <w:jc w:val="both"/>
        <w:rPr>
          <w:rFonts w:ascii="Century Gothic" w:hAnsi="Century Gothic"/>
          <w:sz w:val="22"/>
          <w:szCs w:val="22"/>
        </w:rPr>
      </w:pPr>
      <w:r w:rsidRPr="00CD5EC0">
        <w:rPr>
          <w:rFonts w:ascii="Century Gothic" w:hAnsi="Century Gothic"/>
          <w:sz w:val="22"/>
          <w:szCs w:val="22"/>
        </w:rPr>
        <w:t>Para disminuir el desempleo es necesario incentivar a los empleadores, impulsar la capacitación tecnológica para tener personal calificado, derivado de lo anterior, es necesario dotar al capital humano de una profesionalización acorde a las nuevas necesidades de entorno laboral. De igual manera, es importante es importante concientizar a los empleadores para contratar personas de grupos vulnerables, con lo cual se logrará un trabajo digno e inclusivo.</w:t>
      </w:r>
    </w:p>
    <w:p w14:paraId="1A4174D3" w14:textId="77777777" w:rsidR="00CD5EC0" w:rsidRDefault="00CD5EC0" w:rsidP="00CD5EC0">
      <w:pPr>
        <w:spacing w:line="360" w:lineRule="auto"/>
        <w:ind w:firstLine="708"/>
        <w:jc w:val="both"/>
        <w:rPr>
          <w:rFonts w:ascii="Century Gothic" w:hAnsi="Century Gothic"/>
          <w:sz w:val="22"/>
          <w:szCs w:val="22"/>
        </w:rPr>
      </w:pPr>
    </w:p>
    <w:p w14:paraId="3EFEEE17" w14:textId="7EC113C6" w:rsidR="00CD5EC0" w:rsidRPr="00CD5EC0" w:rsidRDefault="00CD5EC0" w:rsidP="005A1ADF">
      <w:pPr>
        <w:pStyle w:val="Prrafodelista"/>
        <w:widowControl w:val="0"/>
        <w:numPr>
          <w:ilvl w:val="0"/>
          <w:numId w:val="20"/>
        </w:numPr>
        <w:autoSpaceDE w:val="0"/>
        <w:autoSpaceDN w:val="0"/>
        <w:spacing w:after="0" w:line="360" w:lineRule="auto"/>
        <w:jc w:val="both"/>
        <w:rPr>
          <w:rFonts w:ascii="Century Gothic" w:hAnsi="Century Gothic"/>
          <w:b/>
          <w:bCs/>
          <w:color w:val="025850"/>
          <w:sz w:val="22"/>
          <w:szCs w:val="22"/>
        </w:rPr>
      </w:pPr>
      <w:r w:rsidRPr="00CD5EC0">
        <w:rPr>
          <w:rFonts w:ascii="Century Gothic" w:hAnsi="Century Gothic"/>
          <w:b/>
          <w:bCs/>
          <w:color w:val="025850"/>
          <w:sz w:val="22"/>
          <w:szCs w:val="22"/>
        </w:rPr>
        <w:t>Economía incluyente y atención a la informalidad</w:t>
      </w:r>
    </w:p>
    <w:p w14:paraId="5500BEBF" w14:textId="77777777"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rPr>
        <w:t xml:space="preserve">El crecimiento económico es fomentado a través de las políticas gubernamentales que buscan mejorar las condiciones de infraestructura física, recursos humanos y reforma regulatoria para la atracción de inversión y encadenamiento productivo. En ese sentido, es </w:t>
      </w:r>
      <w:r w:rsidRPr="00CD5EC0">
        <w:rPr>
          <w:rFonts w:ascii="Century Gothic" w:hAnsi="Century Gothic"/>
          <w:sz w:val="22"/>
          <w:szCs w:val="22"/>
          <w:lang w:val="es-US"/>
        </w:rPr>
        <w:t>fundamental entender y evaluar el comportamiento de las variables económicas y su impacto en la sociedad.</w:t>
      </w:r>
    </w:p>
    <w:p w14:paraId="18A28FCA" w14:textId="77777777" w:rsidR="00CD5EC0" w:rsidRPr="00CD5EC0" w:rsidRDefault="00CD5EC0" w:rsidP="00CD5EC0">
      <w:pPr>
        <w:spacing w:line="360" w:lineRule="auto"/>
        <w:jc w:val="both"/>
        <w:rPr>
          <w:rFonts w:ascii="Century Gothic" w:hAnsi="Century Gothic"/>
          <w:sz w:val="22"/>
          <w:szCs w:val="22"/>
          <w:lang w:val="es-US"/>
        </w:rPr>
      </w:pPr>
    </w:p>
    <w:p w14:paraId="6667AD3F" w14:textId="50208F4F"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lastRenderedPageBreak/>
        <w:t>Un análisis claro y preciso de la economía, es prioritario debido a que permite identificar oportunidades de crecimiento y desarrollo:</w:t>
      </w:r>
    </w:p>
    <w:p w14:paraId="326E448C" w14:textId="77777777" w:rsidR="00CD5EC0" w:rsidRPr="00CD5EC0" w:rsidRDefault="00CD5EC0" w:rsidP="005A1ADF">
      <w:pPr>
        <w:pStyle w:val="Prrafodelista"/>
        <w:widowControl w:val="0"/>
        <w:numPr>
          <w:ilvl w:val="0"/>
          <w:numId w:val="22"/>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El análisis económico proporciona información valiosa para tomar decisiones sobre inversión, empleo, consumo, etc.</w:t>
      </w:r>
    </w:p>
    <w:p w14:paraId="4B486F99" w14:textId="77777777" w:rsidR="00CD5EC0" w:rsidRPr="00CD5EC0" w:rsidRDefault="00CD5EC0" w:rsidP="005A1ADF">
      <w:pPr>
        <w:pStyle w:val="Prrafodelista"/>
        <w:widowControl w:val="0"/>
        <w:numPr>
          <w:ilvl w:val="0"/>
          <w:numId w:val="22"/>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El análisis económico permite evaluar el impacto de las políticas económicas e identificar áreas de mejora.</w:t>
      </w:r>
    </w:p>
    <w:p w14:paraId="2D1C770C" w14:textId="7A14BEC3" w:rsidR="00CD5EC0" w:rsidRPr="00CD5EC0" w:rsidRDefault="00CD5EC0" w:rsidP="005A1ADF">
      <w:pPr>
        <w:pStyle w:val="Prrafodelista"/>
        <w:widowControl w:val="0"/>
        <w:numPr>
          <w:ilvl w:val="0"/>
          <w:numId w:val="22"/>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El análisis económico permite predecir tendencias y patrones en los datos económicos y planificar para el futuro.</w:t>
      </w:r>
    </w:p>
    <w:p w14:paraId="50F21938" w14:textId="2739A438" w:rsidR="00CD5EC0" w:rsidRPr="00CD5EC0" w:rsidRDefault="00CD5EC0" w:rsidP="005A1ADF">
      <w:pPr>
        <w:widowControl w:val="0"/>
        <w:numPr>
          <w:ilvl w:val="0"/>
          <w:numId w:val="21"/>
        </w:numPr>
        <w:autoSpaceDE w:val="0"/>
        <w:autoSpaceDN w:val="0"/>
        <w:spacing w:after="0" w:line="360" w:lineRule="auto"/>
        <w:jc w:val="both"/>
        <w:rPr>
          <w:rFonts w:ascii="Century Gothic" w:hAnsi="Century Gothic"/>
          <w:b/>
          <w:bCs/>
          <w:sz w:val="22"/>
          <w:szCs w:val="22"/>
          <w:lang w:val="es-US"/>
        </w:rPr>
      </w:pPr>
      <w:r w:rsidRPr="00CD5EC0">
        <w:rPr>
          <w:rFonts w:ascii="Century Gothic" w:hAnsi="Century Gothic"/>
          <w:b/>
          <w:bCs/>
          <w:sz w:val="22"/>
          <w:szCs w:val="22"/>
          <w:lang w:val="es-US"/>
        </w:rPr>
        <w:t>Escenario Económico Nacional</w:t>
      </w:r>
    </w:p>
    <w:p w14:paraId="0DD15DFC" w14:textId="695DBABA"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 xml:space="preserve">Los Criterios Generales de Política Económica (CGPE) para 2025 de México incluyen: </w:t>
      </w:r>
    </w:p>
    <w:p w14:paraId="340F5800" w14:textId="77777777"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Una tasa de interés nominal del 8.0% para el final del año</w:t>
      </w:r>
    </w:p>
    <w:p w14:paraId="4BAFCE78" w14:textId="77777777"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Una tasa de interés promedio de 8.9%</w:t>
      </w:r>
    </w:p>
    <w:p w14:paraId="32909C99" w14:textId="77777777"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Un crecimiento real del PIB entre 2.0 y 3.0%</w:t>
      </w:r>
    </w:p>
    <w:p w14:paraId="70D46C9A" w14:textId="77777777"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Una inflación del 3.5%</w:t>
      </w:r>
    </w:p>
    <w:p w14:paraId="205733AD" w14:textId="77777777"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Un tipo de cambio de $18.50 al cierre del año</w:t>
      </w:r>
    </w:p>
    <w:p w14:paraId="4C6644B2" w14:textId="77777777"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 xml:space="preserve">Los CGPE se basan en el desempeño de la </w:t>
      </w:r>
      <w:r w:rsidRPr="00CD5EC0">
        <w:rPr>
          <w:rFonts w:ascii="Century Gothic" w:hAnsi="Century Gothic"/>
          <w:sz w:val="22"/>
          <w:szCs w:val="22"/>
          <w:lang w:val="es-US"/>
        </w:rPr>
        <w:t xml:space="preserve">economía mexicana, que ha crecido por encima de su promedio histórico en los últimos tres años. También se toman en cuenta las políticas públicas, el mercado laboral y el aumento de las ganancias de las empresas privadas. </w:t>
      </w:r>
    </w:p>
    <w:p w14:paraId="0ED0D92F" w14:textId="5ACECE7D" w:rsidR="00CD5EC0" w:rsidRPr="00CD5EC0" w:rsidRDefault="00CD5EC0" w:rsidP="005A1ADF">
      <w:pPr>
        <w:pStyle w:val="Prrafodelista"/>
        <w:widowControl w:val="0"/>
        <w:numPr>
          <w:ilvl w:val="0"/>
          <w:numId w:val="23"/>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En cuanto a los ingresos presupuestarios, se estima que serán mayores en 163 mil millones de pesos en comparación con el monto previsto para 2024. Esto se debe a un aumento de los ingresos tributarios, que se atribuye a la mayor actividad económica.</w:t>
      </w:r>
    </w:p>
    <w:p w14:paraId="1BB6971C" w14:textId="13544A2F" w:rsidR="00CD5EC0" w:rsidRPr="00CD5EC0" w:rsidRDefault="00CD5EC0" w:rsidP="005A1ADF">
      <w:pPr>
        <w:widowControl w:val="0"/>
        <w:numPr>
          <w:ilvl w:val="0"/>
          <w:numId w:val="21"/>
        </w:numPr>
        <w:autoSpaceDE w:val="0"/>
        <w:autoSpaceDN w:val="0"/>
        <w:spacing w:after="0" w:line="360" w:lineRule="auto"/>
        <w:jc w:val="both"/>
        <w:rPr>
          <w:rFonts w:ascii="Century Gothic" w:hAnsi="Century Gothic"/>
          <w:b/>
          <w:bCs/>
          <w:sz w:val="22"/>
          <w:szCs w:val="22"/>
          <w:lang w:val="es-US"/>
        </w:rPr>
      </w:pPr>
      <w:r w:rsidRPr="00CD5EC0">
        <w:rPr>
          <w:rFonts w:ascii="Century Gothic" w:hAnsi="Century Gothic"/>
          <w:b/>
          <w:bCs/>
          <w:sz w:val="22"/>
          <w:szCs w:val="22"/>
          <w:lang w:val="es-US"/>
        </w:rPr>
        <w:t>Escenario Económico Estatal</w:t>
      </w:r>
    </w:p>
    <w:p w14:paraId="2BA86BC5" w14:textId="23AEAAE4"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El Paquete Fiscal para el ejercicio 2025, para el Estado de México, contempla un presupuesto de 388 mil 550 millones de pesos, distribuidos entre los Poderes del Estado, órganos autónomos y municipios.</w:t>
      </w:r>
    </w:p>
    <w:p w14:paraId="773B37F5" w14:textId="77777777"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 xml:space="preserve">En este paquete fiscal destaca </w:t>
      </w:r>
      <w:proofErr w:type="gramStart"/>
      <w:r w:rsidRPr="00CD5EC0">
        <w:rPr>
          <w:rFonts w:ascii="Century Gothic" w:hAnsi="Century Gothic"/>
          <w:sz w:val="22"/>
          <w:szCs w:val="22"/>
          <w:lang w:val="es-US"/>
        </w:rPr>
        <w:t>que</w:t>
      </w:r>
      <w:proofErr w:type="gramEnd"/>
      <w:r w:rsidRPr="00CD5EC0">
        <w:rPr>
          <w:rFonts w:ascii="Century Gothic" w:hAnsi="Century Gothic"/>
          <w:sz w:val="22"/>
          <w:szCs w:val="22"/>
          <w:lang w:val="es-US"/>
        </w:rPr>
        <w:t xml:space="preserve"> por segundo año consecutivo, no se contempla la contratación de deuda pública como fuente de ingresos y se apuesta por mayor recaudación; además, se contempla mayor fortalecimiento a los municipios.</w:t>
      </w:r>
    </w:p>
    <w:p w14:paraId="35DEB893" w14:textId="77777777" w:rsidR="00CD5EC0" w:rsidRPr="00CD5EC0" w:rsidRDefault="00CD5EC0" w:rsidP="00CD5EC0">
      <w:pPr>
        <w:spacing w:line="360" w:lineRule="auto"/>
        <w:jc w:val="both"/>
        <w:rPr>
          <w:rFonts w:ascii="Century Gothic" w:hAnsi="Century Gothic"/>
          <w:sz w:val="22"/>
          <w:szCs w:val="22"/>
          <w:lang w:val="es-US"/>
        </w:rPr>
      </w:pPr>
    </w:p>
    <w:p w14:paraId="272BC232" w14:textId="7EDEC10B" w:rsidR="00CD5EC0" w:rsidRPr="00010650" w:rsidRDefault="00CD5EC0" w:rsidP="00CD5EC0">
      <w:pPr>
        <w:spacing w:line="360" w:lineRule="auto"/>
        <w:jc w:val="both"/>
        <w:rPr>
          <w:rFonts w:ascii="Century Gothic" w:hAnsi="Century Gothic"/>
          <w:b/>
          <w:bCs/>
          <w:color w:val="025850"/>
          <w:sz w:val="22"/>
          <w:szCs w:val="22"/>
          <w:lang w:val="es-US"/>
        </w:rPr>
      </w:pPr>
      <w:r w:rsidRPr="00010650">
        <w:rPr>
          <w:rFonts w:ascii="Century Gothic" w:hAnsi="Century Gothic"/>
          <w:b/>
          <w:bCs/>
          <w:color w:val="025850"/>
          <w:sz w:val="22"/>
          <w:szCs w:val="22"/>
          <w:lang w:val="es-US"/>
        </w:rPr>
        <w:lastRenderedPageBreak/>
        <w:t>Sectores prioritarios</w:t>
      </w:r>
    </w:p>
    <w:p w14:paraId="415EA155" w14:textId="2D5EC26A"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El Paquete Fiscal establece que en 2025 el Poder Ejecutivo recibirá 224 mil 538 millones de pesos, el Legislativo 2 mil 252 millones y el Judicial 6 mil 049 millones, sin recortes pese a la reforma judicial que establece un recorte en el salario de las y los magistrados locales para que no ganen más que la presidenta de la República.</w:t>
      </w:r>
    </w:p>
    <w:p w14:paraId="0ECA4C8E" w14:textId="062A9E86"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De los recursos asignados, las prioridades son Educación, con 123 mil 150 millones de pesos; y Salud, con 70 mil 679 millones de pesos, con una disminución de 7 mil 700 millones respecto a 2024, que serán transferidos al sistema IMSS Bienestar para ampliar la cobertura. Además, se destinaron para seguridad un total de 32 mil 957 millones de pesos y destaca también la asignación para programas sociales de 18 mil 540 millones de pesos.</w:t>
      </w:r>
    </w:p>
    <w:p w14:paraId="2BBADC93" w14:textId="42A0C97E"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En el Fondo Estatal de Fortalecimiento Municipal (FEFOM) recibirá 2 mil 500 millones de pesos, mil millones más que en ejercicios anteriores, como parte del esfuerzo por robustecer las finanzas municipales.</w:t>
      </w:r>
    </w:p>
    <w:p w14:paraId="583875F8" w14:textId="77777777" w:rsidR="00010650" w:rsidRDefault="00010650" w:rsidP="00CD5EC0">
      <w:pPr>
        <w:spacing w:line="360" w:lineRule="auto"/>
        <w:jc w:val="both"/>
        <w:rPr>
          <w:rFonts w:ascii="Century Gothic" w:hAnsi="Century Gothic"/>
          <w:b/>
          <w:bCs/>
          <w:sz w:val="22"/>
          <w:szCs w:val="22"/>
          <w:lang w:val="es-US"/>
        </w:rPr>
      </w:pPr>
    </w:p>
    <w:p w14:paraId="0EA7561A" w14:textId="4C404233" w:rsidR="00CD5EC0" w:rsidRPr="00010650" w:rsidRDefault="00CD5EC0" w:rsidP="00CD5EC0">
      <w:pPr>
        <w:spacing w:line="360" w:lineRule="auto"/>
        <w:jc w:val="both"/>
        <w:rPr>
          <w:rFonts w:ascii="Century Gothic" w:hAnsi="Century Gothic"/>
          <w:b/>
          <w:bCs/>
          <w:color w:val="025850"/>
          <w:sz w:val="22"/>
          <w:szCs w:val="22"/>
          <w:lang w:val="es-US"/>
        </w:rPr>
      </w:pPr>
      <w:r w:rsidRPr="00010650">
        <w:rPr>
          <w:rFonts w:ascii="Century Gothic" w:hAnsi="Century Gothic"/>
          <w:b/>
          <w:bCs/>
          <w:color w:val="025850"/>
          <w:sz w:val="22"/>
          <w:szCs w:val="22"/>
          <w:lang w:val="es-US"/>
        </w:rPr>
        <w:t>Recursos para autónomos</w:t>
      </w:r>
    </w:p>
    <w:p w14:paraId="25A91800" w14:textId="12F4C3E8" w:rsidR="00CD5EC0" w:rsidRPr="00CD5EC0" w:rsidRDefault="00CD5EC0" w:rsidP="00CD5EC0">
      <w:pPr>
        <w:spacing w:line="360" w:lineRule="auto"/>
        <w:ind w:firstLine="708"/>
        <w:jc w:val="both"/>
        <w:rPr>
          <w:rFonts w:ascii="Century Gothic" w:hAnsi="Century Gothic"/>
          <w:b/>
          <w:bCs/>
          <w:sz w:val="22"/>
          <w:szCs w:val="22"/>
          <w:lang w:val="es-US"/>
        </w:rPr>
      </w:pPr>
      <w:r w:rsidRPr="00CD5EC0">
        <w:rPr>
          <w:rFonts w:ascii="Century Gothic" w:hAnsi="Century Gothic"/>
          <w:sz w:val="22"/>
          <w:szCs w:val="22"/>
          <w:lang w:val="es-US"/>
        </w:rPr>
        <w:t>El presupuesto aprobado incluye recursos para los órganos autónomos del Estado de México con la Universidad Autónoma del Estado de México (</w:t>
      </w:r>
      <w:proofErr w:type="spellStart"/>
      <w:r w:rsidRPr="00CD5EC0">
        <w:rPr>
          <w:rFonts w:ascii="Century Gothic" w:hAnsi="Century Gothic"/>
          <w:sz w:val="22"/>
          <w:szCs w:val="22"/>
          <w:lang w:val="es-US"/>
        </w:rPr>
        <w:t>UAEMéx</w:t>
      </w:r>
      <w:proofErr w:type="spellEnd"/>
      <w:r w:rsidRPr="00CD5EC0">
        <w:rPr>
          <w:rFonts w:ascii="Century Gothic" w:hAnsi="Century Gothic"/>
          <w:sz w:val="22"/>
          <w:szCs w:val="22"/>
          <w:lang w:val="es-US"/>
        </w:rPr>
        <w:t>) como el que más recursos recibirá, ya que se presupuestan 6 mil 437 millones de pesos.</w:t>
      </w:r>
      <w:r w:rsidRPr="00CD5EC0">
        <w:rPr>
          <w:rFonts w:ascii="Century Gothic" w:hAnsi="Century Gothic"/>
          <w:b/>
          <w:bCs/>
          <w:sz w:val="22"/>
          <w:szCs w:val="22"/>
          <w:lang w:val="es-US"/>
        </w:rPr>
        <w:t xml:space="preserve"> </w:t>
      </w:r>
      <w:r w:rsidRPr="00CD5EC0">
        <w:rPr>
          <w:rFonts w:ascii="Century Gothic" w:hAnsi="Century Gothic"/>
          <w:sz w:val="22"/>
          <w:szCs w:val="22"/>
          <w:lang w:val="es-US"/>
        </w:rPr>
        <w:t>Le sigue la Fiscalía General de Justicia del Estado de México (FGJEM) con 5 mil 250 millones de pesos y la Comisión de Derechos Humanos (C</w:t>
      </w:r>
      <w:r>
        <w:rPr>
          <w:rFonts w:ascii="Century Gothic" w:hAnsi="Century Gothic"/>
          <w:sz w:val="22"/>
          <w:szCs w:val="22"/>
          <w:lang w:val="es-US"/>
        </w:rPr>
        <w:t>ODHEM</w:t>
      </w:r>
      <w:r w:rsidRPr="00CD5EC0">
        <w:rPr>
          <w:rFonts w:ascii="Century Gothic" w:hAnsi="Century Gothic"/>
          <w:sz w:val="22"/>
          <w:szCs w:val="22"/>
          <w:lang w:val="es-US"/>
        </w:rPr>
        <w:t>) con 314 millones de pesos.</w:t>
      </w:r>
    </w:p>
    <w:p w14:paraId="2CABB150" w14:textId="61FDD53B"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Por su parte, el Instituto Electoral del Estado de México (IEEM) recibirá mil 700 millones de pesos, que no contemplan el recurso para la elección extraordinaria de jueces y magistrados locales en 2025.  El Tribunal Electoral del Estado de México (TEEM) recibirá 235 millones de pesos y el Instituto de Transparencia (I</w:t>
      </w:r>
      <w:r>
        <w:rPr>
          <w:rFonts w:ascii="Century Gothic" w:hAnsi="Century Gothic"/>
          <w:sz w:val="22"/>
          <w:szCs w:val="22"/>
          <w:lang w:val="es-US"/>
        </w:rPr>
        <w:t>NFOEM</w:t>
      </w:r>
      <w:r w:rsidRPr="00CD5EC0">
        <w:rPr>
          <w:rFonts w:ascii="Century Gothic" w:hAnsi="Century Gothic"/>
          <w:sz w:val="22"/>
          <w:szCs w:val="22"/>
          <w:lang w:val="es-US"/>
        </w:rPr>
        <w:t>) 227 millones de pesos.</w:t>
      </w:r>
    </w:p>
    <w:p w14:paraId="32A89772" w14:textId="4D6C9A72"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 xml:space="preserve">Aumentará el recurso para municipios, programas sociales, seguridad y combate a la corrupción; educación y salud entre las prioridades. El eje transversal de igualdad de género contará con un presupuesto mayor a 80 mil millones de pesos, destinado a programas </w:t>
      </w:r>
      <w:r w:rsidRPr="00CD5EC0">
        <w:rPr>
          <w:rFonts w:ascii="Century Gothic" w:hAnsi="Century Gothic"/>
          <w:sz w:val="22"/>
          <w:szCs w:val="22"/>
          <w:lang w:val="es-US"/>
        </w:rPr>
        <w:lastRenderedPageBreak/>
        <w:t>y acciones que fomenten la equidad y el respeto a los derechos humanos y se asignaron 15 mil 344 millones de pesos para acciones específicas de apoyo a la población LGBTTTIQ+, enfocados en la inclusión y el bienestar social.</w:t>
      </w:r>
    </w:p>
    <w:p w14:paraId="4D1353BE" w14:textId="5A6DE3CD" w:rsidR="00CD5EC0" w:rsidRPr="00010650" w:rsidRDefault="00CD5EC0" w:rsidP="00CD5EC0">
      <w:pPr>
        <w:spacing w:line="360" w:lineRule="auto"/>
        <w:jc w:val="both"/>
        <w:rPr>
          <w:rFonts w:ascii="Century Gothic" w:hAnsi="Century Gothic"/>
          <w:b/>
          <w:bCs/>
          <w:color w:val="025850"/>
          <w:sz w:val="22"/>
          <w:szCs w:val="22"/>
          <w:lang w:val="es-US"/>
        </w:rPr>
      </w:pPr>
      <w:r w:rsidRPr="00010650">
        <w:rPr>
          <w:rFonts w:ascii="Century Gothic" w:hAnsi="Century Gothic"/>
          <w:b/>
          <w:bCs/>
          <w:color w:val="025850"/>
          <w:sz w:val="22"/>
          <w:szCs w:val="22"/>
          <w:lang w:val="es-US"/>
        </w:rPr>
        <w:t>Combate a la corrupción</w:t>
      </w:r>
    </w:p>
    <w:p w14:paraId="50FB0304" w14:textId="44C907E3"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Con el propósito de fortalecer la transparencia y la rendición de cuentas, se destinarán mil 277 millones de pesos a los programas “Función Pública y Combate a la Corrupción” y “Sistema Anticorrupción del Estado de México y Municipios”, que buscan detectar, investigar y sancionar irregularidades en la administración pública. El Paquete Fiscal 2025 reafirma el compromiso de atender las necesidades prioritarias de los mexiquenses sin recurrir al endeudamiento, apostando por un uso eficiente y equitativo de los recursos públicos.</w:t>
      </w:r>
    </w:p>
    <w:p w14:paraId="1386D7D5" w14:textId="6F407630" w:rsidR="00CD5EC0" w:rsidRPr="00CD5EC0" w:rsidRDefault="00CD5EC0" w:rsidP="00CD5EC0">
      <w:pPr>
        <w:spacing w:line="360" w:lineRule="auto"/>
        <w:ind w:firstLine="708"/>
        <w:jc w:val="both"/>
        <w:rPr>
          <w:rFonts w:ascii="Century Gothic" w:hAnsi="Century Gothic"/>
          <w:sz w:val="22"/>
          <w:szCs w:val="22"/>
          <w:lang w:val="es-US"/>
        </w:rPr>
      </w:pPr>
      <w:r w:rsidRPr="00CD5EC0">
        <w:rPr>
          <w:rFonts w:ascii="Century Gothic" w:hAnsi="Century Gothic"/>
          <w:sz w:val="22"/>
          <w:szCs w:val="22"/>
          <w:lang w:val="es-US"/>
        </w:rPr>
        <w:t xml:space="preserve">Por otra parte, la radiografía económica del Estado de México en 2024 muestra un crecimiento de la economía, un aumento de la inversión extranjera directa (IED) y un incremento en los consumidores: </w:t>
      </w:r>
    </w:p>
    <w:p w14:paraId="3712BF8D" w14:textId="77777777" w:rsidR="00CD5EC0" w:rsidRPr="00CD5EC0" w:rsidRDefault="00CD5EC0" w:rsidP="005A1ADF">
      <w:pPr>
        <w:pStyle w:val="Prrafodelista"/>
        <w:widowControl w:val="0"/>
        <w:numPr>
          <w:ilvl w:val="0"/>
          <w:numId w:val="24"/>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 xml:space="preserve">En el primer trimestre de 2024, la economía mexiquense creció 3.5% respecto al mismo periodo </w:t>
      </w:r>
      <w:r w:rsidRPr="00CD5EC0">
        <w:rPr>
          <w:rFonts w:ascii="Century Gothic" w:hAnsi="Century Gothic"/>
          <w:sz w:val="22"/>
          <w:szCs w:val="22"/>
          <w:lang w:val="es-US"/>
        </w:rPr>
        <w:t>de 2023.</w:t>
      </w:r>
    </w:p>
    <w:p w14:paraId="654B4E66" w14:textId="77777777" w:rsidR="00CD5EC0" w:rsidRPr="00CD5EC0" w:rsidRDefault="00CD5EC0" w:rsidP="005A1ADF">
      <w:pPr>
        <w:pStyle w:val="Prrafodelista"/>
        <w:widowControl w:val="0"/>
        <w:numPr>
          <w:ilvl w:val="0"/>
          <w:numId w:val="24"/>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Este crecimiento fue el mayor registrado para un primer trimestre en los últimos seis años.</w:t>
      </w:r>
    </w:p>
    <w:p w14:paraId="150B9884" w14:textId="77777777" w:rsidR="00CD5EC0" w:rsidRPr="00CD5EC0" w:rsidRDefault="00CD5EC0" w:rsidP="005A1ADF">
      <w:pPr>
        <w:pStyle w:val="Prrafodelista"/>
        <w:widowControl w:val="0"/>
        <w:numPr>
          <w:ilvl w:val="0"/>
          <w:numId w:val="24"/>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 xml:space="preserve">Inversión extranjera directa (IED) </w:t>
      </w:r>
    </w:p>
    <w:p w14:paraId="78E6C449" w14:textId="77777777" w:rsidR="00CD5EC0" w:rsidRPr="00CD5EC0" w:rsidRDefault="00CD5EC0" w:rsidP="005A1ADF">
      <w:pPr>
        <w:pStyle w:val="Prrafodelista"/>
        <w:widowControl w:val="0"/>
        <w:numPr>
          <w:ilvl w:val="0"/>
          <w:numId w:val="24"/>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En el periodo de enero a septiembre de 2024, la IED en el Estado de México alcanzó los US$2,595 millones.</w:t>
      </w:r>
    </w:p>
    <w:p w14:paraId="48051789" w14:textId="77777777" w:rsidR="00CD5EC0" w:rsidRPr="00CD5EC0" w:rsidRDefault="00CD5EC0" w:rsidP="005A1ADF">
      <w:pPr>
        <w:pStyle w:val="Prrafodelista"/>
        <w:widowControl w:val="0"/>
        <w:numPr>
          <w:ilvl w:val="0"/>
          <w:numId w:val="24"/>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Esta IED se distribuyó en reinversión de utilidades, cuentas entre compañías y nuevas inversiones.</w:t>
      </w:r>
    </w:p>
    <w:p w14:paraId="0664B5B8" w14:textId="77777777" w:rsidR="00CD5EC0" w:rsidRPr="00CD5EC0" w:rsidRDefault="00CD5EC0" w:rsidP="005A1ADF">
      <w:pPr>
        <w:pStyle w:val="Prrafodelista"/>
        <w:widowControl w:val="0"/>
        <w:numPr>
          <w:ilvl w:val="0"/>
          <w:numId w:val="24"/>
        </w:numPr>
        <w:autoSpaceDE w:val="0"/>
        <w:autoSpaceDN w:val="0"/>
        <w:spacing w:after="0" w:line="360" w:lineRule="auto"/>
        <w:jc w:val="both"/>
        <w:rPr>
          <w:rFonts w:ascii="Century Gothic" w:hAnsi="Century Gothic"/>
          <w:sz w:val="22"/>
          <w:szCs w:val="22"/>
          <w:lang w:val="es-US"/>
        </w:rPr>
      </w:pPr>
      <w:r w:rsidRPr="00CD5EC0">
        <w:rPr>
          <w:rFonts w:ascii="Century Gothic" w:hAnsi="Century Gothic"/>
          <w:sz w:val="22"/>
          <w:szCs w:val="22"/>
          <w:lang w:val="es-US"/>
        </w:rPr>
        <w:t>En el tercer trimestre de 2024, en el Estado de México se contabilizaron 17 millones 727 mil 868 consumidores.</w:t>
      </w:r>
    </w:p>
    <w:p w14:paraId="01C2FDF5" w14:textId="77777777" w:rsidR="00255FBA" w:rsidRDefault="00255FBA" w:rsidP="00255FBA">
      <w:pPr>
        <w:widowControl w:val="0"/>
        <w:autoSpaceDE w:val="0"/>
        <w:autoSpaceDN w:val="0"/>
        <w:spacing w:after="0" w:line="360" w:lineRule="auto"/>
        <w:jc w:val="both"/>
        <w:rPr>
          <w:rFonts w:ascii="Century Gothic" w:eastAsia="Verdana" w:hAnsi="Century Gothic" w:cs="Verdana"/>
          <w:b/>
          <w:bCs/>
          <w:lang w:val="es-US"/>
        </w:rPr>
      </w:pPr>
    </w:p>
    <w:p w14:paraId="0FAFF092" w14:textId="3AB9B78A" w:rsidR="00255FBA" w:rsidRPr="00255FBA" w:rsidRDefault="00255FBA" w:rsidP="00255FBA">
      <w:pPr>
        <w:widowControl w:val="0"/>
        <w:autoSpaceDE w:val="0"/>
        <w:autoSpaceDN w:val="0"/>
        <w:spacing w:after="0" w:line="360" w:lineRule="auto"/>
        <w:jc w:val="both"/>
        <w:rPr>
          <w:rFonts w:ascii="Century Gothic" w:eastAsia="Verdana" w:hAnsi="Century Gothic" w:cs="Verdana"/>
          <w:b/>
          <w:bCs/>
          <w:color w:val="025850"/>
          <w:sz w:val="22"/>
          <w:szCs w:val="22"/>
          <w:lang w:val="es-US"/>
        </w:rPr>
      </w:pPr>
      <w:r w:rsidRPr="00255FBA">
        <w:rPr>
          <w:rFonts w:ascii="Century Gothic" w:eastAsia="Verdana" w:hAnsi="Century Gothic" w:cs="Verdana"/>
          <w:b/>
          <w:bCs/>
          <w:color w:val="025850"/>
          <w:sz w:val="22"/>
          <w:szCs w:val="22"/>
          <w:lang w:val="es-US"/>
        </w:rPr>
        <w:t>Escenario Económico Municipal</w:t>
      </w:r>
    </w:p>
    <w:p w14:paraId="5DDF0EEB" w14:textId="77777777"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US"/>
        </w:rPr>
      </w:pPr>
    </w:p>
    <w:p w14:paraId="514C299B" w14:textId="77777777" w:rsidR="00255FBA" w:rsidRP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US"/>
        </w:rPr>
      </w:pPr>
      <w:r w:rsidRPr="00255FBA">
        <w:rPr>
          <w:rFonts w:ascii="Century Gothic" w:eastAsia="Verdana" w:hAnsi="Century Gothic" w:cs="Verdana"/>
          <w:sz w:val="22"/>
          <w:szCs w:val="22"/>
          <w:lang w:val="es-US"/>
        </w:rPr>
        <w:t xml:space="preserve">San Antonio la Isla es un municipio del Estado de México. Su economía se caracteriza por la producción artesanal de madera, hueso y cuerno, especialmente juguetes de madera torneada y tallada. También se destaca por la producción de maíz grano y alhelí. </w:t>
      </w:r>
    </w:p>
    <w:p w14:paraId="71E51026" w14:textId="77777777"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US"/>
        </w:rPr>
      </w:pPr>
    </w:p>
    <w:p w14:paraId="7BA970C5" w14:textId="77777777"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 xml:space="preserve">La actividad de servicios en el municipio es un factor estratégico en el crecimiento económico. En ese sentido, </w:t>
      </w:r>
      <w:r w:rsidRPr="00255FBA">
        <w:rPr>
          <w:rFonts w:ascii="Century Gothic" w:eastAsia="Verdana" w:hAnsi="Century Gothic" w:cs="Verdana"/>
          <w:sz w:val="22"/>
          <w:szCs w:val="22"/>
          <w:lang w:val="es-ES"/>
        </w:rPr>
        <w:lastRenderedPageBreak/>
        <w:t>el Producto Interno Bruto (PIB) es un indicador del crecimiento de la economía porque integra el consumo de las familias, inversiones de las empresas, variación de inventarios, el gasto del Gobierno y el saldo de las relaciones comerciales. El Producto Interno Bruto del Estado de México en 2022 fue de 2,184,962.98 millones de pesos, con lo que fue la segunda economía más importante a nivel nacional.</w:t>
      </w:r>
    </w:p>
    <w:p w14:paraId="2E583638" w14:textId="77777777"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p>
    <w:p w14:paraId="0924D78A" w14:textId="7B90EBE1" w:rsid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San Antonio la Isla registró un PIB de 1,691.04 millones de pesos, su Población Económicamente Activa (PEA) es de 16,508 personas y cuenta con 1,284 Unidades Económicas (228 industriales, 629 comerciales y 427 de servicios).</w:t>
      </w:r>
    </w:p>
    <w:p w14:paraId="01B60590" w14:textId="77777777" w:rsidR="00255FBA" w:rsidRDefault="00255FBA">
      <w:pPr>
        <w:rPr>
          <w:rFonts w:ascii="Century Gothic" w:eastAsia="Verdana" w:hAnsi="Century Gothic" w:cs="Verdana"/>
          <w:sz w:val="22"/>
          <w:szCs w:val="22"/>
          <w:lang w:val="es-ES"/>
        </w:rPr>
      </w:pPr>
      <w:r>
        <w:rPr>
          <w:rFonts w:ascii="Century Gothic" w:eastAsia="Verdana" w:hAnsi="Century Gothic" w:cs="Verdana"/>
          <w:sz w:val="22"/>
          <w:szCs w:val="22"/>
          <w:lang w:val="es-ES"/>
        </w:rPr>
        <w:br w:type="page"/>
      </w:r>
    </w:p>
    <w:p w14:paraId="7FBE6655" w14:textId="77777777" w:rsid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sectPr w:rsidR="00255FBA" w:rsidSect="00CE2E14">
          <w:pgSz w:w="15840" w:h="12240" w:orient="landscape"/>
          <w:pgMar w:top="1440" w:right="1440" w:bottom="1440" w:left="1440" w:header="709" w:footer="709" w:gutter="0"/>
          <w:cols w:num="2" w:space="708"/>
          <w:docGrid w:linePitch="360"/>
        </w:sectPr>
      </w:pPr>
    </w:p>
    <w:tbl>
      <w:tblPr>
        <w:tblStyle w:val="Tablaconcuadrcula5oscura-nfasis22"/>
        <w:tblW w:w="12970" w:type="dxa"/>
        <w:tblLook w:val="04A0" w:firstRow="1" w:lastRow="0" w:firstColumn="1" w:lastColumn="0" w:noHBand="0" w:noVBand="1"/>
      </w:tblPr>
      <w:tblGrid>
        <w:gridCol w:w="2185"/>
        <w:gridCol w:w="1541"/>
        <w:gridCol w:w="1540"/>
        <w:gridCol w:w="1540"/>
        <w:gridCol w:w="1541"/>
        <w:gridCol w:w="1541"/>
        <w:gridCol w:w="1541"/>
        <w:gridCol w:w="1541"/>
      </w:tblGrid>
      <w:tr w:rsidR="00255FBA" w:rsidRPr="00F36B20" w14:paraId="540F333B" w14:textId="77777777" w:rsidTr="00255FBA">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5" w:type="dxa"/>
          </w:tcPr>
          <w:p w14:paraId="0AB95B64" w14:textId="77777777" w:rsidR="00255FBA" w:rsidRPr="00F36B20" w:rsidRDefault="00255FBA" w:rsidP="00255FBA">
            <w:pPr>
              <w:spacing w:after="160" w:line="259" w:lineRule="auto"/>
              <w:jc w:val="both"/>
              <w:rPr>
                <w:rFonts w:ascii="Century Gothic" w:hAnsi="Century Gothic"/>
              </w:rPr>
            </w:pPr>
          </w:p>
        </w:tc>
        <w:tc>
          <w:tcPr>
            <w:tcW w:w="1541" w:type="dxa"/>
          </w:tcPr>
          <w:p w14:paraId="03F3C2C7"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2017</w:t>
            </w:r>
          </w:p>
        </w:tc>
        <w:tc>
          <w:tcPr>
            <w:tcW w:w="1540" w:type="dxa"/>
          </w:tcPr>
          <w:p w14:paraId="39840FA7"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2018</w:t>
            </w:r>
          </w:p>
        </w:tc>
        <w:tc>
          <w:tcPr>
            <w:tcW w:w="1540" w:type="dxa"/>
          </w:tcPr>
          <w:p w14:paraId="1A595ED3"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2019</w:t>
            </w:r>
          </w:p>
        </w:tc>
        <w:tc>
          <w:tcPr>
            <w:tcW w:w="1541" w:type="dxa"/>
          </w:tcPr>
          <w:p w14:paraId="7197805E"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2020</w:t>
            </w:r>
          </w:p>
        </w:tc>
        <w:tc>
          <w:tcPr>
            <w:tcW w:w="1541" w:type="dxa"/>
          </w:tcPr>
          <w:p w14:paraId="5C248D6F"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2021</w:t>
            </w:r>
          </w:p>
        </w:tc>
        <w:tc>
          <w:tcPr>
            <w:tcW w:w="1541" w:type="dxa"/>
          </w:tcPr>
          <w:p w14:paraId="0152BBC3"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2022</w:t>
            </w:r>
          </w:p>
        </w:tc>
        <w:tc>
          <w:tcPr>
            <w:tcW w:w="1541" w:type="dxa"/>
          </w:tcPr>
          <w:p w14:paraId="5DF9D28C" w14:textId="77777777" w:rsidR="00255FBA" w:rsidRPr="00F36B20" w:rsidRDefault="00255FBA" w:rsidP="00255FBA">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rPr>
            </w:pPr>
            <w:r w:rsidRPr="00F36B20">
              <w:t>2023</w:t>
            </w:r>
          </w:p>
        </w:tc>
      </w:tr>
      <w:tr w:rsidR="00255FBA" w:rsidRPr="00F36B20" w14:paraId="2678E5B0" w14:textId="77777777" w:rsidTr="00255FBA">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185" w:type="dxa"/>
          </w:tcPr>
          <w:p w14:paraId="662D32BA" w14:textId="77777777" w:rsidR="00255FBA" w:rsidRPr="00F36B20" w:rsidRDefault="00255FBA" w:rsidP="00255FBA">
            <w:pPr>
              <w:spacing w:after="160" w:line="259" w:lineRule="auto"/>
              <w:jc w:val="both"/>
              <w:rPr>
                <w:rFonts w:ascii="Century Gothic" w:hAnsi="Century Gothic"/>
              </w:rPr>
            </w:pPr>
            <w:r w:rsidRPr="00F36B20">
              <w:t>Zona V Valle de Toluca</w:t>
            </w:r>
          </w:p>
        </w:tc>
        <w:tc>
          <w:tcPr>
            <w:tcW w:w="1541" w:type="dxa"/>
          </w:tcPr>
          <w:p w14:paraId="6EFFF0AB"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96.4%</w:t>
            </w:r>
          </w:p>
        </w:tc>
        <w:tc>
          <w:tcPr>
            <w:tcW w:w="1540" w:type="dxa"/>
          </w:tcPr>
          <w:p w14:paraId="6BC0CDEC"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96.0%</w:t>
            </w:r>
          </w:p>
        </w:tc>
        <w:tc>
          <w:tcPr>
            <w:tcW w:w="1540" w:type="dxa"/>
          </w:tcPr>
          <w:p w14:paraId="5EA8D609"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96.2%</w:t>
            </w:r>
          </w:p>
        </w:tc>
        <w:tc>
          <w:tcPr>
            <w:tcW w:w="1541" w:type="dxa"/>
          </w:tcPr>
          <w:p w14:paraId="0E28087D"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94.9%</w:t>
            </w:r>
          </w:p>
        </w:tc>
        <w:tc>
          <w:tcPr>
            <w:tcW w:w="1541" w:type="dxa"/>
          </w:tcPr>
          <w:p w14:paraId="30DA687F"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94.6%</w:t>
            </w:r>
          </w:p>
        </w:tc>
        <w:tc>
          <w:tcPr>
            <w:tcW w:w="1541" w:type="dxa"/>
          </w:tcPr>
          <w:p w14:paraId="45E795BF"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96.5%</w:t>
            </w:r>
          </w:p>
        </w:tc>
        <w:tc>
          <w:tcPr>
            <w:tcW w:w="1541" w:type="dxa"/>
          </w:tcPr>
          <w:p w14:paraId="60689069"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97.2%</w:t>
            </w:r>
          </w:p>
        </w:tc>
      </w:tr>
      <w:tr w:rsidR="00255FBA" w:rsidRPr="00F36B20" w14:paraId="1FF81945" w14:textId="77777777" w:rsidTr="00255FBA">
        <w:trPr>
          <w:trHeight w:val="767"/>
        </w:trPr>
        <w:tc>
          <w:tcPr>
            <w:cnfStyle w:val="001000000000" w:firstRow="0" w:lastRow="0" w:firstColumn="1" w:lastColumn="0" w:oddVBand="0" w:evenVBand="0" w:oddHBand="0" w:evenHBand="0" w:firstRowFirstColumn="0" w:firstRowLastColumn="0" w:lastRowFirstColumn="0" w:lastRowLastColumn="0"/>
            <w:tcW w:w="2185" w:type="dxa"/>
          </w:tcPr>
          <w:p w14:paraId="071046BD" w14:textId="77777777" w:rsidR="00255FBA" w:rsidRPr="00F36B20" w:rsidRDefault="00255FBA" w:rsidP="00255FBA">
            <w:pPr>
              <w:spacing w:after="160" w:line="259" w:lineRule="auto"/>
              <w:jc w:val="both"/>
              <w:rPr>
                <w:rFonts w:ascii="Century Gothic" w:hAnsi="Century Gothic"/>
              </w:rPr>
            </w:pPr>
            <w:r w:rsidRPr="00F36B20">
              <w:t>Región 16: Lerma</w:t>
            </w:r>
          </w:p>
        </w:tc>
        <w:tc>
          <w:tcPr>
            <w:tcW w:w="1541" w:type="dxa"/>
          </w:tcPr>
          <w:p w14:paraId="1676842C"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96.5%</w:t>
            </w:r>
          </w:p>
        </w:tc>
        <w:tc>
          <w:tcPr>
            <w:tcW w:w="1540" w:type="dxa"/>
          </w:tcPr>
          <w:p w14:paraId="5BB958B6"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95.8%</w:t>
            </w:r>
          </w:p>
        </w:tc>
        <w:tc>
          <w:tcPr>
            <w:tcW w:w="1540" w:type="dxa"/>
          </w:tcPr>
          <w:p w14:paraId="708D17F4"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96.2%</w:t>
            </w:r>
          </w:p>
        </w:tc>
        <w:tc>
          <w:tcPr>
            <w:tcW w:w="1541" w:type="dxa"/>
          </w:tcPr>
          <w:p w14:paraId="6FDCE3AC"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95.2%</w:t>
            </w:r>
          </w:p>
        </w:tc>
        <w:tc>
          <w:tcPr>
            <w:tcW w:w="1541" w:type="dxa"/>
          </w:tcPr>
          <w:p w14:paraId="08173D64"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94.7%</w:t>
            </w:r>
          </w:p>
        </w:tc>
        <w:tc>
          <w:tcPr>
            <w:tcW w:w="1541" w:type="dxa"/>
          </w:tcPr>
          <w:p w14:paraId="7E9ADB33"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97.0%</w:t>
            </w:r>
          </w:p>
        </w:tc>
        <w:tc>
          <w:tcPr>
            <w:tcW w:w="1541" w:type="dxa"/>
          </w:tcPr>
          <w:p w14:paraId="15D8245F"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97.8%</w:t>
            </w:r>
          </w:p>
        </w:tc>
      </w:tr>
      <w:tr w:rsidR="00255FBA" w:rsidRPr="00F36B20" w14:paraId="530C563A" w14:textId="77777777" w:rsidTr="00255FB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5" w:type="dxa"/>
          </w:tcPr>
          <w:p w14:paraId="0BEE2DDB" w14:textId="77777777" w:rsidR="00255FBA" w:rsidRPr="00F36B20" w:rsidRDefault="00255FBA" w:rsidP="00255FBA">
            <w:pPr>
              <w:spacing w:after="160" w:line="259" w:lineRule="auto"/>
              <w:jc w:val="both"/>
              <w:rPr>
                <w:rFonts w:ascii="Century Gothic" w:hAnsi="Century Gothic"/>
              </w:rPr>
            </w:pPr>
            <w:r w:rsidRPr="00F36B20">
              <w:t>Atizapán</w:t>
            </w:r>
          </w:p>
        </w:tc>
        <w:tc>
          <w:tcPr>
            <w:tcW w:w="1541" w:type="dxa"/>
          </w:tcPr>
          <w:p w14:paraId="4B61F077"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96.9%</w:t>
            </w:r>
          </w:p>
        </w:tc>
        <w:tc>
          <w:tcPr>
            <w:tcW w:w="1540" w:type="dxa"/>
          </w:tcPr>
          <w:p w14:paraId="0752F122"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96.8%</w:t>
            </w:r>
          </w:p>
        </w:tc>
        <w:tc>
          <w:tcPr>
            <w:tcW w:w="1540" w:type="dxa"/>
          </w:tcPr>
          <w:p w14:paraId="13F9480C"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96.7%</w:t>
            </w:r>
          </w:p>
        </w:tc>
        <w:tc>
          <w:tcPr>
            <w:tcW w:w="1541" w:type="dxa"/>
          </w:tcPr>
          <w:p w14:paraId="5D4DABA8"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95.0%</w:t>
            </w:r>
          </w:p>
        </w:tc>
        <w:tc>
          <w:tcPr>
            <w:tcW w:w="1541" w:type="dxa"/>
          </w:tcPr>
          <w:p w14:paraId="07BF27D2"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95.4%</w:t>
            </w:r>
          </w:p>
        </w:tc>
        <w:tc>
          <w:tcPr>
            <w:tcW w:w="1541" w:type="dxa"/>
          </w:tcPr>
          <w:p w14:paraId="4B676A52"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96.8%</w:t>
            </w:r>
          </w:p>
        </w:tc>
        <w:tc>
          <w:tcPr>
            <w:tcW w:w="1541" w:type="dxa"/>
          </w:tcPr>
          <w:p w14:paraId="5966AD1F"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98.1%</w:t>
            </w:r>
          </w:p>
        </w:tc>
      </w:tr>
      <w:tr w:rsidR="00255FBA" w:rsidRPr="00F36B20" w14:paraId="359BD17D" w14:textId="77777777" w:rsidTr="00255FBA">
        <w:trPr>
          <w:trHeight w:val="467"/>
        </w:trPr>
        <w:tc>
          <w:tcPr>
            <w:cnfStyle w:val="001000000000" w:firstRow="0" w:lastRow="0" w:firstColumn="1" w:lastColumn="0" w:oddVBand="0" w:evenVBand="0" w:oddHBand="0" w:evenHBand="0" w:firstRowFirstColumn="0" w:firstRowLastColumn="0" w:lastRowFirstColumn="0" w:lastRowLastColumn="0"/>
            <w:tcW w:w="2185" w:type="dxa"/>
          </w:tcPr>
          <w:p w14:paraId="1B54D25A" w14:textId="77777777" w:rsidR="00255FBA" w:rsidRPr="00F36B20" w:rsidRDefault="00255FBA" w:rsidP="00255FBA">
            <w:pPr>
              <w:spacing w:after="160" w:line="259" w:lineRule="auto"/>
              <w:jc w:val="both"/>
              <w:rPr>
                <w:rFonts w:ascii="Century Gothic" w:hAnsi="Century Gothic"/>
              </w:rPr>
            </w:pPr>
            <w:r w:rsidRPr="00F36B20">
              <w:t>Capulhuac</w:t>
            </w:r>
          </w:p>
        </w:tc>
        <w:tc>
          <w:tcPr>
            <w:tcW w:w="1541" w:type="dxa"/>
          </w:tcPr>
          <w:p w14:paraId="20169406"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96.8%</w:t>
            </w:r>
          </w:p>
        </w:tc>
        <w:tc>
          <w:tcPr>
            <w:tcW w:w="1540" w:type="dxa"/>
          </w:tcPr>
          <w:p w14:paraId="1D396F0B"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96.5%</w:t>
            </w:r>
          </w:p>
        </w:tc>
        <w:tc>
          <w:tcPr>
            <w:tcW w:w="1540" w:type="dxa"/>
          </w:tcPr>
          <w:p w14:paraId="3F65A9B3"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96.4%</w:t>
            </w:r>
          </w:p>
        </w:tc>
        <w:tc>
          <w:tcPr>
            <w:tcW w:w="1541" w:type="dxa"/>
          </w:tcPr>
          <w:p w14:paraId="3A2C146A"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95.3%</w:t>
            </w:r>
          </w:p>
        </w:tc>
        <w:tc>
          <w:tcPr>
            <w:tcW w:w="1541" w:type="dxa"/>
          </w:tcPr>
          <w:p w14:paraId="4817FEEC"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95.7%</w:t>
            </w:r>
          </w:p>
        </w:tc>
        <w:tc>
          <w:tcPr>
            <w:tcW w:w="1541" w:type="dxa"/>
          </w:tcPr>
          <w:p w14:paraId="5B9B8A76"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97.6%</w:t>
            </w:r>
          </w:p>
        </w:tc>
        <w:tc>
          <w:tcPr>
            <w:tcW w:w="1541" w:type="dxa"/>
          </w:tcPr>
          <w:p w14:paraId="791BABD4"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97.8%</w:t>
            </w:r>
          </w:p>
        </w:tc>
      </w:tr>
      <w:tr w:rsidR="00255FBA" w:rsidRPr="00F36B20" w14:paraId="6EDD3AF6" w14:textId="77777777" w:rsidTr="00255FBA">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185" w:type="dxa"/>
          </w:tcPr>
          <w:p w14:paraId="35C06A6C" w14:textId="77777777" w:rsidR="00255FBA" w:rsidRPr="00F36B20" w:rsidRDefault="00255FBA" w:rsidP="00255FBA">
            <w:pPr>
              <w:spacing w:after="160" w:line="259" w:lineRule="auto"/>
              <w:jc w:val="both"/>
              <w:rPr>
                <w:rFonts w:ascii="Century Gothic" w:hAnsi="Century Gothic"/>
              </w:rPr>
            </w:pPr>
            <w:r w:rsidRPr="00F36B20">
              <w:t>Almoloya del Río</w:t>
            </w:r>
          </w:p>
        </w:tc>
        <w:tc>
          <w:tcPr>
            <w:tcW w:w="1541" w:type="dxa"/>
          </w:tcPr>
          <w:p w14:paraId="31BF8C0C"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97.3%</w:t>
            </w:r>
          </w:p>
        </w:tc>
        <w:tc>
          <w:tcPr>
            <w:tcW w:w="1540" w:type="dxa"/>
          </w:tcPr>
          <w:p w14:paraId="1C6C87E5"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97.1%</w:t>
            </w:r>
          </w:p>
        </w:tc>
        <w:tc>
          <w:tcPr>
            <w:tcW w:w="1540" w:type="dxa"/>
          </w:tcPr>
          <w:p w14:paraId="0AA62660"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96.9%</w:t>
            </w:r>
          </w:p>
        </w:tc>
        <w:tc>
          <w:tcPr>
            <w:tcW w:w="1541" w:type="dxa"/>
          </w:tcPr>
          <w:p w14:paraId="231ADD9C"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95.0%</w:t>
            </w:r>
          </w:p>
        </w:tc>
        <w:tc>
          <w:tcPr>
            <w:tcW w:w="1541" w:type="dxa"/>
          </w:tcPr>
          <w:p w14:paraId="58B46E01"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95.1%</w:t>
            </w:r>
          </w:p>
        </w:tc>
        <w:tc>
          <w:tcPr>
            <w:tcW w:w="1541" w:type="dxa"/>
          </w:tcPr>
          <w:p w14:paraId="1CED0F61"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96.5%</w:t>
            </w:r>
          </w:p>
        </w:tc>
        <w:tc>
          <w:tcPr>
            <w:tcW w:w="1541" w:type="dxa"/>
          </w:tcPr>
          <w:p w14:paraId="4D73CF1C"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97.8%</w:t>
            </w:r>
          </w:p>
        </w:tc>
      </w:tr>
      <w:tr w:rsidR="00255FBA" w:rsidRPr="00F36B20" w14:paraId="3F997F36" w14:textId="77777777" w:rsidTr="00255FBA">
        <w:trPr>
          <w:trHeight w:val="467"/>
        </w:trPr>
        <w:tc>
          <w:tcPr>
            <w:cnfStyle w:val="001000000000" w:firstRow="0" w:lastRow="0" w:firstColumn="1" w:lastColumn="0" w:oddVBand="0" w:evenVBand="0" w:oddHBand="0" w:evenHBand="0" w:firstRowFirstColumn="0" w:firstRowLastColumn="0" w:lastRowFirstColumn="0" w:lastRowLastColumn="0"/>
            <w:tcW w:w="2185" w:type="dxa"/>
          </w:tcPr>
          <w:p w14:paraId="382BEEBF" w14:textId="77777777" w:rsidR="00255FBA" w:rsidRPr="00F36B20" w:rsidRDefault="00255FBA" w:rsidP="00255FBA">
            <w:pPr>
              <w:spacing w:after="160" w:line="259" w:lineRule="auto"/>
              <w:jc w:val="both"/>
              <w:rPr>
                <w:rFonts w:ascii="Century Gothic" w:hAnsi="Century Gothic"/>
              </w:rPr>
            </w:pPr>
            <w:r w:rsidRPr="00F36B20">
              <w:t>Xalatlaco</w:t>
            </w:r>
          </w:p>
        </w:tc>
        <w:tc>
          <w:tcPr>
            <w:tcW w:w="1541" w:type="dxa"/>
          </w:tcPr>
          <w:p w14:paraId="0872E723"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96.9%</w:t>
            </w:r>
          </w:p>
        </w:tc>
        <w:tc>
          <w:tcPr>
            <w:tcW w:w="1540" w:type="dxa"/>
          </w:tcPr>
          <w:p w14:paraId="3B19E3B6"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95.1%</w:t>
            </w:r>
          </w:p>
        </w:tc>
        <w:tc>
          <w:tcPr>
            <w:tcW w:w="1540" w:type="dxa"/>
          </w:tcPr>
          <w:p w14:paraId="6B418738"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96.8%</w:t>
            </w:r>
          </w:p>
        </w:tc>
        <w:tc>
          <w:tcPr>
            <w:tcW w:w="1541" w:type="dxa"/>
          </w:tcPr>
          <w:p w14:paraId="4BED61D5"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95.4%</w:t>
            </w:r>
          </w:p>
        </w:tc>
        <w:tc>
          <w:tcPr>
            <w:tcW w:w="1541" w:type="dxa"/>
          </w:tcPr>
          <w:p w14:paraId="6CCF1732"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95.4%</w:t>
            </w:r>
          </w:p>
        </w:tc>
        <w:tc>
          <w:tcPr>
            <w:tcW w:w="1541" w:type="dxa"/>
          </w:tcPr>
          <w:p w14:paraId="5FB9CBCE"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97.0%</w:t>
            </w:r>
          </w:p>
        </w:tc>
        <w:tc>
          <w:tcPr>
            <w:tcW w:w="1541" w:type="dxa"/>
          </w:tcPr>
          <w:p w14:paraId="75CC7460"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97.4%</w:t>
            </w:r>
          </w:p>
        </w:tc>
      </w:tr>
      <w:tr w:rsidR="00255FBA" w:rsidRPr="00F36B20" w14:paraId="6A2DE7A1" w14:textId="77777777" w:rsidTr="00255FB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5" w:type="dxa"/>
          </w:tcPr>
          <w:p w14:paraId="7EB209AA" w14:textId="77777777" w:rsidR="00255FBA" w:rsidRPr="00F36B20" w:rsidRDefault="00255FBA" w:rsidP="00255FBA">
            <w:pPr>
              <w:spacing w:after="160" w:line="259" w:lineRule="auto"/>
              <w:jc w:val="both"/>
              <w:rPr>
                <w:rFonts w:ascii="Century Gothic" w:hAnsi="Century Gothic"/>
              </w:rPr>
            </w:pPr>
            <w:r w:rsidRPr="00F36B20">
              <w:t>Lerma</w:t>
            </w:r>
          </w:p>
        </w:tc>
        <w:tc>
          <w:tcPr>
            <w:tcW w:w="1541" w:type="dxa"/>
          </w:tcPr>
          <w:p w14:paraId="0F29B0CD"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95.8%</w:t>
            </w:r>
          </w:p>
        </w:tc>
        <w:tc>
          <w:tcPr>
            <w:tcW w:w="1540" w:type="dxa"/>
          </w:tcPr>
          <w:p w14:paraId="4D706DA2"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94.2%</w:t>
            </w:r>
          </w:p>
        </w:tc>
        <w:tc>
          <w:tcPr>
            <w:tcW w:w="1540" w:type="dxa"/>
          </w:tcPr>
          <w:p w14:paraId="6D2AAC6D"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95.5%</w:t>
            </w:r>
          </w:p>
        </w:tc>
        <w:tc>
          <w:tcPr>
            <w:tcW w:w="1541" w:type="dxa"/>
          </w:tcPr>
          <w:p w14:paraId="1925C3DE"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98.2%</w:t>
            </w:r>
          </w:p>
        </w:tc>
        <w:tc>
          <w:tcPr>
            <w:tcW w:w="1541" w:type="dxa"/>
          </w:tcPr>
          <w:p w14:paraId="58D7CF46"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94.2%</w:t>
            </w:r>
          </w:p>
        </w:tc>
        <w:tc>
          <w:tcPr>
            <w:tcW w:w="1541" w:type="dxa"/>
          </w:tcPr>
          <w:p w14:paraId="6A379009"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97.0%</w:t>
            </w:r>
          </w:p>
        </w:tc>
        <w:tc>
          <w:tcPr>
            <w:tcW w:w="1541" w:type="dxa"/>
          </w:tcPr>
          <w:p w14:paraId="709DA0C7"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97.2%</w:t>
            </w:r>
          </w:p>
        </w:tc>
      </w:tr>
      <w:tr w:rsidR="00255FBA" w:rsidRPr="00F36B20" w14:paraId="37A57F87" w14:textId="77777777" w:rsidTr="00255FBA">
        <w:trPr>
          <w:trHeight w:val="484"/>
        </w:trPr>
        <w:tc>
          <w:tcPr>
            <w:cnfStyle w:val="001000000000" w:firstRow="0" w:lastRow="0" w:firstColumn="1" w:lastColumn="0" w:oddVBand="0" w:evenVBand="0" w:oddHBand="0" w:evenHBand="0" w:firstRowFirstColumn="0" w:firstRowLastColumn="0" w:lastRowFirstColumn="0" w:lastRowLastColumn="0"/>
            <w:tcW w:w="2185" w:type="dxa"/>
          </w:tcPr>
          <w:p w14:paraId="7E1BF6B5" w14:textId="77777777" w:rsidR="00255FBA" w:rsidRPr="00F36B20" w:rsidRDefault="00255FBA" w:rsidP="00255FBA">
            <w:pPr>
              <w:spacing w:after="160" w:line="259" w:lineRule="auto"/>
              <w:jc w:val="both"/>
              <w:rPr>
                <w:rFonts w:ascii="Century Gothic" w:hAnsi="Century Gothic"/>
              </w:rPr>
            </w:pPr>
            <w:r w:rsidRPr="00F36B20">
              <w:t>Ocoyoacac</w:t>
            </w:r>
          </w:p>
        </w:tc>
        <w:tc>
          <w:tcPr>
            <w:tcW w:w="1541" w:type="dxa"/>
          </w:tcPr>
          <w:p w14:paraId="11D47B30"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96.2%</w:t>
            </w:r>
          </w:p>
        </w:tc>
        <w:tc>
          <w:tcPr>
            <w:tcW w:w="1540" w:type="dxa"/>
          </w:tcPr>
          <w:p w14:paraId="1F86969D"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95.9%</w:t>
            </w:r>
          </w:p>
        </w:tc>
        <w:tc>
          <w:tcPr>
            <w:tcW w:w="1540" w:type="dxa"/>
          </w:tcPr>
          <w:p w14:paraId="094CC507"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95.8%</w:t>
            </w:r>
          </w:p>
        </w:tc>
        <w:tc>
          <w:tcPr>
            <w:tcW w:w="1541" w:type="dxa"/>
          </w:tcPr>
          <w:p w14:paraId="612F55AA"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94.3%</w:t>
            </w:r>
          </w:p>
        </w:tc>
        <w:tc>
          <w:tcPr>
            <w:tcW w:w="1541" w:type="dxa"/>
          </w:tcPr>
          <w:p w14:paraId="6FF63678"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92.3%</w:t>
            </w:r>
          </w:p>
        </w:tc>
        <w:tc>
          <w:tcPr>
            <w:tcW w:w="1541" w:type="dxa"/>
          </w:tcPr>
          <w:p w14:paraId="53948005"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97.1%</w:t>
            </w:r>
          </w:p>
        </w:tc>
        <w:tc>
          <w:tcPr>
            <w:tcW w:w="1541" w:type="dxa"/>
          </w:tcPr>
          <w:p w14:paraId="03002559"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98.1%</w:t>
            </w:r>
          </w:p>
        </w:tc>
      </w:tr>
      <w:tr w:rsidR="00255FBA" w:rsidRPr="00F36B20" w14:paraId="6E414B49" w14:textId="77777777" w:rsidTr="00255FBA">
        <w:trPr>
          <w:cnfStyle w:val="000000100000" w:firstRow="0" w:lastRow="0" w:firstColumn="0" w:lastColumn="0" w:oddVBand="0" w:evenVBand="0" w:oddHBand="1" w:evenHBand="0" w:firstRowFirstColumn="0" w:firstRowLastColumn="0" w:lastRowFirstColumn="0" w:lastRowLastColumn="0"/>
          <w:trHeight w:val="767"/>
        </w:trPr>
        <w:tc>
          <w:tcPr>
            <w:cnfStyle w:val="001000000000" w:firstRow="0" w:lastRow="0" w:firstColumn="1" w:lastColumn="0" w:oddVBand="0" w:evenVBand="0" w:oddHBand="0" w:evenHBand="0" w:firstRowFirstColumn="0" w:firstRowLastColumn="0" w:lastRowFirstColumn="0" w:lastRowLastColumn="0"/>
            <w:tcW w:w="2185" w:type="dxa"/>
          </w:tcPr>
          <w:p w14:paraId="631A40B9" w14:textId="77777777" w:rsidR="00255FBA" w:rsidRPr="00F36B20" w:rsidRDefault="00255FBA" w:rsidP="00255FBA">
            <w:pPr>
              <w:spacing w:after="160" w:line="259" w:lineRule="auto"/>
              <w:jc w:val="both"/>
              <w:rPr>
                <w:rFonts w:ascii="Century Gothic" w:hAnsi="Century Gothic"/>
              </w:rPr>
            </w:pPr>
            <w:r w:rsidRPr="00F36B20">
              <w:t>San Antonio la Isla</w:t>
            </w:r>
          </w:p>
        </w:tc>
        <w:tc>
          <w:tcPr>
            <w:tcW w:w="1541" w:type="dxa"/>
          </w:tcPr>
          <w:p w14:paraId="0131F285"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96.5%</w:t>
            </w:r>
          </w:p>
        </w:tc>
        <w:tc>
          <w:tcPr>
            <w:tcW w:w="1540" w:type="dxa"/>
          </w:tcPr>
          <w:p w14:paraId="74318EB6"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96.2%</w:t>
            </w:r>
          </w:p>
        </w:tc>
        <w:tc>
          <w:tcPr>
            <w:tcW w:w="1540" w:type="dxa"/>
          </w:tcPr>
          <w:p w14:paraId="2C3CD760"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96.3%</w:t>
            </w:r>
          </w:p>
        </w:tc>
        <w:tc>
          <w:tcPr>
            <w:tcW w:w="1541" w:type="dxa"/>
          </w:tcPr>
          <w:p w14:paraId="351F5B9C"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94.7%</w:t>
            </w:r>
          </w:p>
        </w:tc>
        <w:tc>
          <w:tcPr>
            <w:tcW w:w="1541" w:type="dxa"/>
          </w:tcPr>
          <w:p w14:paraId="0F0A526E"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94.6%</w:t>
            </w:r>
          </w:p>
        </w:tc>
        <w:tc>
          <w:tcPr>
            <w:tcW w:w="1541" w:type="dxa"/>
          </w:tcPr>
          <w:p w14:paraId="1A0908E0"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96.6%</w:t>
            </w:r>
          </w:p>
        </w:tc>
        <w:tc>
          <w:tcPr>
            <w:tcW w:w="1541" w:type="dxa"/>
          </w:tcPr>
          <w:p w14:paraId="67A634B7"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97.1%</w:t>
            </w:r>
          </w:p>
        </w:tc>
      </w:tr>
      <w:tr w:rsidR="00255FBA" w:rsidRPr="00F36B20" w14:paraId="3DFD79BE" w14:textId="77777777" w:rsidTr="00255FBA">
        <w:trPr>
          <w:trHeight w:val="467"/>
        </w:trPr>
        <w:tc>
          <w:tcPr>
            <w:cnfStyle w:val="001000000000" w:firstRow="0" w:lastRow="0" w:firstColumn="1" w:lastColumn="0" w:oddVBand="0" w:evenVBand="0" w:oddHBand="0" w:evenHBand="0" w:firstRowFirstColumn="0" w:firstRowLastColumn="0" w:lastRowFirstColumn="0" w:lastRowLastColumn="0"/>
            <w:tcW w:w="2185" w:type="dxa"/>
          </w:tcPr>
          <w:p w14:paraId="59F2248E" w14:textId="77777777" w:rsidR="00255FBA" w:rsidRPr="00F36B20" w:rsidRDefault="00255FBA" w:rsidP="00255FBA">
            <w:pPr>
              <w:spacing w:after="160" w:line="259" w:lineRule="auto"/>
              <w:jc w:val="both"/>
              <w:rPr>
                <w:rFonts w:ascii="Century Gothic" w:hAnsi="Century Gothic"/>
              </w:rPr>
            </w:pPr>
            <w:r w:rsidRPr="00F36B20">
              <w:t>Texcalyacac</w:t>
            </w:r>
          </w:p>
        </w:tc>
        <w:tc>
          <w:tcPr>
            <w:tcW w:w="1541" w:type="dxa"/>
          </w:tcPr>
          <w:p w14:paraId="3971514D"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97.0%</w:t>
            </w:r>
          </w:p>
        </w:tc>
        <w:tc>
          <w:tcPr>
            <w:tcW w:w="1540" w:type="dxa"/>
          </w:tcPr>
          <w:p w14:paraId="4B48B829"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96.6%</w:t>
            </w:r>
          </w:p>
        </w:tc>
        <w:tc>
          <w:tcPr>
            <w:tcW w:w="1540" w:type="dxa"/>
          </w:tcPr>
          <w:p w14:paraId="3FCDD7C8"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96.5%</w:t>
            </w:r>
          </w:p>
        </w:tc>
        <w:tc>
          <w:tcPr>
            <w:tcW w:w="1541" w:type="dxa"/>
          </w:tcPr>
          <w:p w14:paraId="56DBFA28"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95.8%</w:t>
            </w:r>
          </w:p>
        </w:tc>
        <w:tc>
          <w:tcPr>
            <w:tcW w:w="1541" w:type="dxa"/>
          </w:tcPr>
          <w:p w14:paraId="5018BCF4"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96.0%</w:t>
            </w:r>
          </w:p>
        </w:tc>
        <w:tc>
          <w:tcPr>
            <w:tcW w:w="1541" w:type="dxa"/>
          </w:tcPr>
          <w:p w14:paraId="6015B01C"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97.4%</w:t>
            </w:r>
          </w:p>
        </w:tc>
        <w:tc>
          <w:tcPr>
            <w:tcW w:w="1541" w:type="dxa"/>
          </w:tcPr>
          <w:p w14:paraId="3B120959" w14:textId="77777777" w:rsidR="00255FBA" w:rsidRPr="00F36B20" w:rsidRDefault="00255FBA" w:rsidP="00255FBA">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sidRPr="00F36B20">
              <w:t>97.9%</w:t>
            </w:r>
          </w:p>
        </w:tc>
      </w:tr>
      <w:tr w:rsidR="00255FBA" w:rsidRPr="00F36B20" w14:paraId="0E4617D1" w14:textId="77777777" w:rsidTr="00255FBA">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2185" w:type="dxa"/>
          </w:tcPr>
          <w:p w14:paraId="403442C5" w14:textId="77777777" w:rsidR="00255FBA" w:rsidRPr="00F36B20" w:rsidRDefault="00255FBA" w:rsidP="00255FBA">
            <w:pPr>
              <w:spacing w:after="160" w:line="259" w:lineRule="auto"/>
              <w:jc w:val="both"/>
              <w:rPr>
                <w:rFonts w:ascii="Century Gothic" w:hAnsi="Century Gothic"/>
              </w:rPr>
            </w:pPr>
            <w:r w:rsidRPr="00F36B20">
              <w:t>Tianguistenco</w:t>
            </w:r>
          </w:p>
        </w:tc>
        <w:tc>
          <w:tcPr>
            <w:tcW w:w="1541" w:type="dxa"/>
          </w:tcPr>
          <w:p w14:paraId="2FF243C1"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96.1%</w:t>
            </w:r>
          </w:p>
        </w:tc>
        <w:tc>
          <w:tcPr>
            <w:tcW w:w="1540" w:type="dxa"/>
          </w:tcPr>
          <w:p w14:paraId="7C1E01D3"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95.1%</w:t>
            </w:r>
          </w:p>
        </w:tc>
        <w:tc>
          <w:tcPr>
            <w:tcW w:w="1540" w:type="dxa"/>
          </w:tcPr>
          <w:p w14:paraId="2638FD21"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96.0%</w:t>
            </w:r>
          </w:p>
        </w:tc>
        <w:tc>
          <w:tcPr>
            <w:tcW w:w="1541" w:type="dxa"/>
          </w:tcPr>
          <w:p w14:paraId="7353B007"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93.1%</w:t>
            </w:r>
          </w:p>
        </w:tc>
        <w:tc>
          <w:tcPr>
            <w:tcW w:w="1541" w:type="dxa"/>
          </w:tcPr>
          <w:p w14:paraId="6C9502F6"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95.3%</w:t>
            </w:r>
          </w:p>
        </w:tc>
        <w:tc>
          <w:tcPr>
            <w:tcW w:w="1541" w:type="dxa"/>
          </w:tcPr>
          <w:p w14:paraId="2B9F927A" w14:textId="77777777" w:rsidR="00255FBA" w:rsidRPr="00F36B20" w:rsidRDefault="00255FBA" w:rsidP="00255FBA">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96.7%</w:t>
            </w:r>
          </w:p>
        </w:tc>
        <w:tc>
          <w:tcPr>
            <w:tcW w:w="1541" w:type="dxa"/>
          </w:tcPr>
          <w:p w14:paraId="23C31695" w14:textId="77777777" w:rsidR="00255FBA" w:rsidRPr="00F36B20" w:rsidRDefault="00255FBA" w:rsidP="00255FBA">
            <w:pPr>
              <w:keepNext/>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r w:rsidRPr="00F36B20">
              <w:t>98.2%</w:t>
            </w:r>
          </w:p>
        </w:tc>
      </w:tr>
    </w:tbl>
    <w:p w14:paraId="442E6CBF" w14:textId="6663E996" w:rsidR="00255FBA" w:rsidRDefault="00255FBA" w:rsidP="000B531E">
      <w:pPr>
        <w:rPr>
          <w:rFonts w:ascii="Century Gothic" w:hAnsi="Century Gothic"/>
          <w:bCs/>
          <w:sz w:val="22"/>
          <w:szCs w:val="22"/>
          <w:lang w:val="es-ES"/>
        </w:rPr>
      </w:pPr>
    </w:p>
    <w:p w14:paraId="2205156F" w14:textId="77777777" w:rsidR="00255FBA" w:rsidRDefault="00255FBA">
      <w:pPr>
        <w:rPr>
          <w:rFonts w:ascii="Century Gothic" w:hAnsi="Century Gothic"/>
          <w:bCs/>
          <w:sz w:val="22"/>
          <w:szCs w:val="22"/>
          <w:lang w:val="es-ES"/>
        </w:rPr>
      </w:pPr>
      <w:r>
        <w:rPr>
          <w:rFonts w:ascii="Century Gothic" w:hAnsi="Century Gothic"/>
          <w:bCs/>
          <w:sz w:val="22"/>
          <w:szCs w:val="22"/>
          <w:lang w:val="es-ES"/>
        </w:rPr>
        <w:br w:type="page"/>
      </w:r>
    </w:p>
    <w:p w14:paraId="73D2A6E8" w14:textId="77777777" w:rsidR="00255FBA" w:rsidRDefault="00255FBA" w:rsidP="000B531E">
      <w:pPr>
        <w:rPr>
          <w:rFonts w:ascii="Century Gothic" w:hAnsi="Century Gothic"/>
          <w:bCs/>
          <w:sz w:val="22"/>
          <w:szCs w:val="22"/>
          <w:lang w:val="es-ES"/>
        </w:rPr>
        <w:sectPr w:rsidR="00255FBA" w:rsidSect="00CE2E14">
          <w:pgSz w:w="15840" w:h="12240" w:orient="landscape"/>
          <w:pgMar w:top="1440" w:right="1440" w:bottom="1440" w:left="1440" w:header="709" w:footer="709" w:gutter="0"/>
          <w:cols w:space="708"/>
          <w:docGrid w:linePitch="360"/>
        </w:sectPr>
      </w:pPr>
    </w:p>
    <w:p w14:paraId="022E982C" w14:textId="77777777" w:rsidR="00255FBA" w:rsidRPr="00255FBA" w:rsidRDefault="00255FBA" w:rsidP="00255FBA">
      <w:pPr>
        <w:spacing w:line="360" w:lineRule="auto"/>
        <w:ind w:firstLine="708"/>
        <w:jc w:val="both"/>
        <w:rPr>
          <w:rFonts w:ascii="Century Gothic" w:hAnsi="Century Gothic"/>
          <w:sz w:val="22"/>
          <w:szCs w:val="22"/>
        </w:rPr>
      </w:pPr>
      <w:r w:rsidRPr="00255FBA">
        <w:rPr>
          <w:rFonts w:ascii="Century Gothic" w:hAnsi="Century Gothic"/>
          <w:sz w:val="22"/>
          <w:szCs w:val="22"/>
        </w:rPr>
        <w:lastRenderedPageBreak/>
        <w:t>San Antonio la Isla ha mantenido un desempeño estable en la economía incluyente y la formalización de actividades económicas entre 2017 y 2023. Durante los primeros años del periodo analizado, los valores se mantuvieron alrededor del 96.5%, reflejando una tendencia positiva y sostenida. En 2020 y 2021, se registró una ligera disminución, situándose en 94.7% y 94.6%, respectivamente, lo que indica un periodo de ajuste o cambios en las condiciones económicas de la región. Sin embargo, a partir de 2022, se observó una recuperación importante, con un aumento al 96.6% y alcanzando en 2023 su mejor registro con 97.1%.</w:t>
      </w:r>
    </w:p>
    <w:p w14:paraId="5090907F" w14:textId="524FE18A" w:rsidR="00255FBA" w:rsidRDefault="00255FBA" w:rsidP="00255FBA">
      <w:pPr>
        <w:spacing w:line="360" w:lineRule="auto"/>
        <w:ind w:firstLine="708"/>
        <w:jc w:val="both"/>
        <w:rPr>
          <w:rFonts w:ascii="Century Gothic" w:hAnsi="Century Gothic"/>
          <w:sz w:val="22"/>
          <w:szCs w:val="22"/>
        </w:rPr>
      </w:pPr>
      <w:r w:rsidRPr="00255FBA">
        <w:rPr>
          <w:rFonts w:ascii="Century Gothic" w:hAnsi="Century Gothic"/>
          <w:sz w:val="22"/>
          <w:szCs w:val="22"/>
        </w:rPr>
        <w:t>Comparado con otras localidades de la Región 16: Lerma, San Antonio la Isla ha mantenido valores similares o superiores en la mayoría de los años. Aunque algunos municipios como Texcalyacac y Tianguistenco han mostrado mejores indicadores en ciertos periodos, la localidad ha demostrado un crecimiento constante y sostenido.</w:t>
      </w:r>
    </w:p>
    <w:p w14:paraId="5D8C401A" w14:textId="6883FE88" w:rsidR="00255FBA" w:rsidRDefault="00255FBA" w:rsidP="00255FBA">
      <w:pPr>
        <w:spacing w:line="360" w:lineRule="auto"/>
        <w:ind w:firstLine="708"/>
        <w:jc w:val="both"/>
        <w:rPr>
          <w:rFonts w:ascii="Century Gothic" w:hAnsi="Century Gothic"/>
          <w:sz w:val="22"/>
          <w:szCs w:val="22"/>
        </w:rPr>
      </w:pPr>
    </w:p>
    <w:p w14:paraId="34621E00" w14:textId="47AE0A43" w:rsidR="00255FBA" w:rsidRPr="00255FBA" w:rsidRDefault="00255FBA" w:rsidP="00255FBA">
      <w:pPr>
        <w:spacing w:line="360" w:lineRule="auto"/>
        <w:jc w:val="both"/>
        <w:rPr>
          <w:rFonts w:ascii="Century Gothic" w:hAnsi="Century Gothic"/>
          <w:sz w:val="22"/>
          <w:szCs w:val="22"/>
        </w:rPr>
      </w:pPr>
    </w:p>
    <w:tbl>
      <w:tblPr>
        <w:tblStyle w:val="Tablaconcuadrcula4-nfasis2"/>
        <w:tblW w:w="6658" w:type="dxa"/>
        <w:tblLayout w:type="fixed"/>
        <w:tblLook w:val="01E0" w:firstRow="1" w:lastRow="1" w:firstColumn="1" w:lastColumn="1" w:noHBand="0" w:noVBand="0"/>
      </w:tblPr>
      <w:tblGrid>
        <w:gridCol w:w="988"/>
        <w:gridCol w:w="1134"/>
        <w:gridCol w:w="1134"/>
        <w:gridCol w:w="992"/>
        <w:gridCol w:w="992"/>
        <w:gridCol w:w="1418"/>
      </w:tblGrid>
      <w:tr w:rsidR="00255FBA" w:rsidRPr="00255FBA" w14:paraId="023438A4" w14:textId="77777777" w:rsidTr="00255FBA">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6658" w:type="dxa"/>
            <w:gridSpan w:val="6"/>
          </w:tcPr>
          <w:p w14:paraId="0D4098D7"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Índice Municipal de Actividad Económica por año según sector de actividad económica. 2010-2020</w:t>
            </w:r>
          </w:p>
        </w:tc>
      </w:tr>
      <w:tr w:rsidR="00255FBA" w:rsidRPr="00255FBA" w14:paraId="0F7EB925" w14:textId="77777777" w:rsidTr="00255FB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6658" w:type="dxa"/>
            <w:gridSpan w:val="6"/>
          </w:tcPr>
          <w:p w14:paraId="286D9876" w14:textId="77777777" w:rsidR="00255FBA" w:rsidRPr="00255FBA" w:rsidRDefault="00255FBA" w:rsidP="008035D9">
            <w:pPr>
              <w:widowControl w:val="0"/>
              <w:autoSpaceDE w:val="0"/>
              <w:autoSpaceDN w:val="0"/>
              <w:jc w:val="center"/>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(Millones de pesos)</w:t>
            </w:r>
          </w:p>
        </w:tc>
      </w:tr>
      <w:tr w:rsidR="00255FBA" w:rsidRPr="00255FBA" w14:paraId="7F477753" w14:textId="77777777" w:rsidTr="00255FBA">
        <w:trPr>
          <w:trHeight w:val="373"/>
        </w:trPr>
        <w:tc>
          <w:tcPr>
            <w:cnfStyle w:val="001000000000" w:firstRow="0" w:lastRow="0" w:firstColumn="1" w:lastColumn="0" w:oddVBand="0" w:evenVBand="0" w:oddHBand="0" w:evenHBand="0" w:firstRowFirstColumn="0" w:firstRowLastColumn="0" w:lastRowFirstColumn="0" w:lastRowLastColumn="0"/>
            <w:tcW w:w="988" w:type="dxa"/>
          </w:tcPr>
          <w:p w14:paraId="0B91757F"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Año</w:t>
            </w:r>
          </w:p>
        </w:tc>
        <w:tc>
          <w:tcPr>
            <w:cnfStyle w:val="000010000000" w:firstRow="0" w:lastRow="0" w:firstColumn="0" w:lastColumn="0" w:oddVBand="1" w:evenVBand="0" w:oddHBand="0" w:evenHBand="0" w:firstRowFirstColumn="0" w:firstRowLastColumn="0" w:lastRowFirstColumn="0" w:lastRowLastColumn="0"/>
            <w:tcW w:w="1134" w:type="dxa"/>
          </w:tcPr>
          <w:p w14:paraId="66552D53" w14:textId="77777777" w:rsidR="00255FBA" w:rsidRPr="00255FBA" w:rsidRDefault="00255FBA" w:rsidP="008035D9">
            <w:pPr>
              <w:widowControl w:val="0"/>
              <w:autoSpaceDE w:val="0"/>
              <w:autoSpaceDN w:val="0"/>
              <w:jc w:val="both"/>
              <w:rPr>
                <w:rFonts w:ascii="Century Gothic" w:eastAsia="Verdana" w:hAnsi="Century Gothic" w:cs="Verdana"/>
                <w:b/>
                <w:sz w:val="22"/>
                <w:szCs w:val="22"/>
                <w:lang w:val="es-ES"/>
              </w:rPr>
            </w:pPr>
            <w:r w:rsidRPr="00255FBA">
              <w:rPr>
                <w:rFonts w:ascii="Century Gothic" w:eastAsia="Verdana" w:hAnsi="Century Gothic" w:cs="Verdana"/>
                <w:b/>
                <w:sz w:val="22"/>
                <w:szCs w:val="22"/>
                <w:lang w:val="es-ES"/>
              </w:rPr>
              <w:t>PIB</w:t>
            </w:r>
          </w:p>
        </w:tc>
        <w:tc>
          <w:tcPr>
            <w:tcW w:w="1134" w:type="dxa"/>
          </w:tcPr>
          <w:p w14:paraId="6CB8BF16" w14:textId="77777777" w:rsidR="00255FBA" w:rsidRPr="00255FBA" w:rsidRDefault="00255FBA" w:rsidP="008035D9">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entury Gothic" w:eastAsia="Verdana" w:hAnsi="Century Gothic" w:cs="Verdana"/>
                <w:b/>
                <w:sz w:val="22"/>
                <w:szCs w:val="22"/>
                <w:lang w:val="es-ES"/>
              </w:rPr>
            </w:pPr>
            <w:r w:rsidRPr="00255FBA">
              <w:rPr>
                <w:rFonts w:ascii="Century Gothic" w:eastAsia="Verdana" w:hAnsi="Century Gothic" w:cs="Verdana"/>
                <w:b/>
                <w:sz w:val="22"/>
                <w:szCs w:val="22"/>
                <w:lang w:val="es-ES"/>
              </w:rPr>
              <w:t>Primario</w:t>
            </w:r>
          </w:p>
        </w:tc>
        <w:tc>
          <w:tcPr>
            <w:cnfStyle w:val="000010000000" w:firstRow="0" w:lastRow="0" w:firstColumn="0" w:lastColumn="0" w:oddVBand="1" w:evenVBand="0" w:oddHBand="0" w:evenHBand="0" w:firstRowFirstColumn="0" w:firstRowLastColumn="0" w:lastRowFirstColumn="0" w:lastRowLastColumn="0"/>
            <w:tcW w:w="992" w:type="dxa"/>
          </w:tcPr>
          <w:p w14:paraId="0687AB74" w14:textId="77777777" w:rsidR="00255FBA" w:rsidRPr="00255FBA" w:rsidRDefault="00255FBA" w:rsidP="008035D9">
            <w:pPr>
              <w:widowControl w:val="0"/>
              <w:autoSpaceDE w:val="0"/>
              <w:autoSpaceDN w:val="0"/>
              <w:jc w:val="both"/>
              <w:rPr>
                <w:rFonts w:ascii="Century Gothic" w:eastAsia="Verdana" w:hAnsi="Century Gothic" w:cs="Verdana"/>
                <w:b/>
                <w:sz w:val="22"/>
                <w:szCs w:val="22"/>
                <w:lang w:val="es-ES"/>
              </w:rPr>
            </w:pPr>
            <w:r w:rsidRPr="00255FBA">
              <w:rPr>
                <w:rFonts w:ascii="Century Gothic" w:eastAsia="Verdana" w:hAnsi="Century Gothic" w:cs="Verdana"/>
                <w:b/>
                <w:sz w:val="22"/>
                <w:szCs w:val="22"/>
                <w:lang w:val="es-ES"/>
              </w:rPr>
              <w:t>Terciario</w:t>
            </w:r>
          </w:p>
        </w:tc>
        <w:tc>
          <w:tcPr>
            <w:tcW w:w="992" w:type="dxa"/>
          </w:tcPr>
          <w:p w14:paraId="1DC92961" w14:textId="77777777" w:rsidR="00255FBA" w:rsidRPr="00255FBA" w:rsidRDefault="00255FBA" w:rsidP="008035D9">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entury Gothic" w:eastAsia="Verdana" w:hAnsi="Century Gothic" w:cs="Verdana"/>
                <w:b/>
                <w:sz w:val="22"/>
                <w:szCs w:val="22"/>
                <w:lang w:val="es-ES"/>
              </w:rPr>
            </w:pPr>
            <w:r w:rsidRPr="00255FBA">
              <w:rPr>
                <w:rFonts w:ascii="Century Gothic" w:eastAsia="Verdana" w:hAnsi="Century Gothic" w:cs="Verdana"/>
                <w:b/>
                <w:sz w:val="22"/>
                <w:szCs w:val="22"/>
                <w:lang w:val="es-ES"/>
              </w:rPr>
              <w:t>Servicios</w:t>
            </w:r>
          </w:p>
        </w:tc>
        <w:tc>
          <w:tcPr>
            <w:cnfStyle w:val="000100000000" w:firstRow="0" w:lastRow="0" w:firstColumn="0" w:lastColumn="1" w:oddVBand="0" w:evenVBand="0" w:oddHBand="0" w:evenHBand="0" w:firstRowFirstColumn="0" w:firstRowLastColumn="0" w:lastRowFirstColumn="0" w:lastRowLastColumn="0"/>
            <w:tcW w:w="1418" w:type="dxa"/>
          </w:tcPr>
          <w:p w14:paraId="49453678"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Impuestos</w:t>
            </w:r>
          </w:p>
        </w:tc>
      </w:tr>
      <w:tr w:rsidR="00255FBA" w:rsidRPr="00255FBA" w14:paraId="2C8863B2" w14:textId="77777777" w:rsidTr="00255FBA">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988" w:type="dxa"/>
          </w:tcPr>
          <w:p w14:paraId="73B9B445"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2010</w:t>
            </w:r>
          </w:p>
        </w:tc>
        <w:tc>
          <w:tcPr>
            <w:cnfStyle w:val="000010000000" w:firstRow="0" w:lastRow="0" w:firstColumn="0" w:lastColumn="0" w:oddVBand="1" w:evenVBand="0" w:oddHBand="0" w:evenHBand="0" w:firstRowFirstColumn="0" w:firstRowLastColumn="0" w:lastRowFirstColumn="0" w:lastRowLastColumn="0"/>
            <w:tcW w:w="1134" w:type="dxa"/>
          </w:tcPr>
          <w:p w14:paraId="3645A47E"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167.69</w:t>
            </w:r>
          </w:p>
        </w:tc>
        <w:tc>
          <w:tcPr>
            <w:tcW w:w="1134" w:type="dxa"/>
          </w:tcPr>
          <w:p w14:paraId="28C43F21" w14:textId="77777777" w:rsidR="00255FBA" w:rsidRPr="00255FBA" w:rsidRDefault="00255FBA" w:rsidP="008035D9">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28.10</w:t>
            </w:r>
          </w:p>
        </w:tc>
        <w:tc>
          <w:tcPr>
            <w:cnfStyle w:val="000010000000" w:firstRow="0" w:lastRow="0" w:firstColumn="0" w:lastColumn="0" w:oddVBand="1" w:evenVBand="0" w:oddHBand="0" w:evenHBand="0" w:firstRowFirstColumn="0" w:firstRowLastColumn="0" w:lastRowFirstColumn="0" w:lastRowLastColumn="0"/>
            <w:tcW w:w="992" w:type="dxa"/>
          </w:tcPr>
          <w:p w14:paraId="0BB6A82A"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390.93</w:t>
            </w:r>
          </w:p>
        </w:tc>
        <w:tc>
          <w:tcPr>
            <w:tcW w:w="992" w:type="dxa"/>
          </w:tcPr>
          <w:p w14:paraId="795DF832" w14:textId="77777777" w:rsidR="00255FBA" w:rsidRPr="00255FBA" w:rsidRDefault="00255FBA" w:rsidP="008035D9">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702.16</w:t>
            </w:r>
          </w:p>
        </w:tc>
        <w:tc>
          <w:tcPr>
            <w:cnfStyle w:val="000100000000" w:firstRow="0" w:lastRow="0" w:firstColumn="0" w:lastColumn="1" w:oddVBand="0" w:evenVBand="0" w:oddHBand="0" w:evenHBand="0" w:firstRowFirstColumn="0" w:firstRowLastColumn="0" w:lastRowFirstColumn="0" w:lastRowLastColumn="0"/>
            <w:tcW w:w="1418" w:type="dxa"/>
          </w:tcPr>
          <w:p w14:paraId="2507850F"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46.51</w:t>
            </w:r>
          </w:p>
        </w:tc>
      </w:tr>
      <w:tr w:rsidR="00255FBA" w:rsidRPr="00255FBA" w14:paraId="4B900A0F" w14:textId="77777777" w:rsidTr="00255FBA">
        <w:trPr>
          <w:trHeight w:val="253"/>
        </w:trPr>
        <w:tc>
          <w:tcPr>
            <w:cnfStyle w:val="001000000000" w:firstRow="0" w:lastRow="0" w:firstColumn="1" w:lastColumn="0" w:oddVBand="0" w:evenVBand="0" w:oddHBand="0" w:evenHBand="0" w:firstRowFirstColumn="0" w:firstRowLastColumn="0" w:lastRowFirstColumn="0" w:lastRowLastColumn="0"/>
            <w:tcW w:w="988" w:type="dxa"/>
          </w:tcPr>
          <w:p w14:paraId="076575F0"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2015</w:t>
            </w:r>
          </w:p>
        </w:tc>
        <w:tc>
          <w:tcPr>
            <w:cnfStyle w:val="000010000000" w:firstRow="0" w:lastRow="0" w:firstColumn="0" w:lastColumn="0" w:oddVBand="1" w:evenVBand="0" w:oddHBand="0" w:evenHBand="0" w:firstRowFirstColumn="0" w:firstRowLastColumn="0" w:lastRowFirstColumn="0" w:lastRowLastColumn="0"/>
            <w:tcW w:w="1134" w:type="dxa"/>
          </w:tcPr>
          <w:p w14:paraId="5A6A3C99"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1 583.95</w:t>
            </w:r>
          </w:p>
        </w:tc>
        <w:tc>
          <w:tcPr>
            <w:tcW w:w="1134" w:type="dxa"/>
          </w:tcPr>
          <w:p w14:paraId="38A38D34" w14:textId="77777777" w:rsidR="00255FBA" w:rsidRPr="00255FBA" w:rsidRDefault="00255FBA" w:rsidP="008035D9">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29.88</w:t>
            </w:r>
          </w:p>
        </w:tc>
        <w:tc>
          <w:tcPr>
            <w:cnfStyle w:val="000010000000" w:firstRow="0" w:lastRow="0" w:firstColumn="0" w:lastColumn="0" w:oddVBand="1" w:evenVBand="0" w:oddHBand="0" w:evenHBand="0" w:firstRowFirstColumn="0" w:firstRowLastColumn="0" w:lastRowFirstColumn="0" w:lastRowLastColumn="0"/>
            <w:tcW w:w="992" w:type="dxa"/>
          </w:tcPr>
          <w:p w14:paraId="756CD2A3"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300.64</w:t>
            </w:r>
          </w:p>
        </w:tc>
        <w:tc>
          <w:tcPr>
            <w:tcW w:w="992" w:type="dxa"/>
          </w:tcPr>
          <w:p w14:paraId="6AD9B3BE" w14:textId="77777777" w:rsidR="00255FBA" w:rsidRPr="00255FBA" w:rsidRDefault="00255FBA" w:rsidP="008035D9">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1 188.12</w:t>
            </w:r>
          </w:p>
        </w:tc>
        <w:tc>
          <w:tcPr>
            <w:cnfStyle w:val="000100000000" w:firstRow="0" w:lastRow="0" w:firstColumn="0" w:lastColumn="1" w:oddVBand="0" w:evenVBand="0" w:oddHBand="0" w:evenHBand="0" w:firstRowFirstColumn="0" w:firstRowLastColumn="0" w:lastRowFirstColumn="0" w:lastRowLastColumn="0"/>
            <w:tcW w:w="1418" w:type="dxa"/>
          </w:tcPr>
          <w:p w14:paraId="3CD17C08"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65.30</w:t>
            </w:r>
          </w:p>
        </w:tc>
      </w:tr>
      <w:tr w:rsidR="00255FBA" w:rsidRPr="00255FBA" w14:paraId="098598AB" w14:textId="77777777" w:rsidTr="00255FBA">
        <w:trPr>
          <w:cnfStyle w:val="010000000000" w:firstRow="0" w:lastRow="1"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988" w:type="dxa"/>
          </w:tcPr>
          <w:p w14:paraId="6FDEC267"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2020</w:t>
            </w:r>
          </w:p>
        </w:tc>
        <w:tc>
          <w:tcPr>
            <w:cnfStyle w:val="000010000000" w:firstRow="0" w:lastRow="0" w:firstColumn="0" w:lastColumn="0" w:oddVBand="1" w:evenVBand="0" w:oddHBand="0" w:evenHBand="0" w:firstRowFirstColumn="0" w:firstRowLastColumn="0" w:lastRowFirstColumn="0" w:lastRowLastColumn="0"/>
            <w:tcW w:w="1134" w:type="dxa"/>
          </w:tcPr>
          <w:p w14:paraId="4FD4EB45"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1 691.04</w:t>
            </w:r>
          </w:p>
        </w:tc>
        <w:tc>
          <w:tcPr>
            <w:tcW w:w="1134" w:type="dxa"/>
          </w:tcPr>
          <w:p w14:paraId="365287AA" w14:textId="77777777" w:rsidR="00255FBA" w:rsidRPr="00255FBA" w:rsidRDefault="00255FBA" w:rsidP="008035D9">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45.83</w:t>
            </w:r>
          </w:p>
        </w:tc>
        <w:tc>
          <w:tcPr>
            <w:cnfStyle w:val="000010000000" w:firstRow="0" w:lastRow="0" w:firstColumn="0" w:lastColumn="0" w:oddVBand="1" w:evenVBand="0" w:oddHBand="0" w:evenHBand="0" w:firstRowFirstColumn="0" w:firstRowLastColumn="0" w:lastRowFirstColumn="0" w:lastRowLastColumn="0"/>
            <w:tcW w:w="992" w:type="dxa"/>
          </w:tcPr>
          <w:p w14:paraId="172B572F" w14:textId="77777777" w:rsidR="00255FBA" w:rsidRPr="00255FBA" w:rsidRDefault="00255FBA" w:rsidP="008035D9">
            <w:pPr>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204.34</w:t>
            </w:r>
          </w:p>
        </w:tc>
        <w:tc>
          <w:tcPr>
            <w:tcW w:w="992" w:type="dxa"/>
          </w:tcPr>
          <w:p w14:paraId="74BC520E" w14:textId="77777777" w:rsidR="00255FBA" w:rsidRPr="00255FBA" w:rsidRDefault="00255FBA" w:rsidP="008035D9">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1 368.97</w:t>
            </w:r>
          </w:p>
        </w:tc>
        <w:tc>
          <w:tcPr>
            <w:cnfStyle w:val="000100000000" w:firstRow="0" w:lastRow="0" w:firstColumn="0" w:lastColumn="1" w:oddVBand="0" w:evenVBand="0" w:oddHBand="0" w:evenHBand="0" w:firstRowFirstColumn="0" w:firstRowLastColumn="0" w:lastRowFirstColumn="0" w:lastRowLastColumn="0"/>
            <w:tcW w:w="1418" w:type="dxa"/>
          </w:tcPr>
          <w:p w14:paraId="77A4D4D3" w14:textId="77777777" w:rsidR="00255FBA" w:rsidRPr="00255FBA" w:rsidRDefault="00255FBA" w:rsidP="008035D9">
            <w:pPr>
              <w:keepNext/>
              <w:widowControl w:val="0"/>
              <w:autoSpaceDE w:val="0"/>
              <w:autoSpaceDN w:val="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71.89</w:t>
            </w:r>
          </w:p>
        </w:tc>
      </w:tr>
    </w:tbl>
    <w:p w14:paraId="703EDC60" w14:textId="77777777" w:rsidR="00255FBA" w:rsidRPr="00202AFA" w:rsidRDefault="00255FBA" w:rsidP="00255FBA">
      <w:pPr>
        <w:pStyle w:val="Descripcin"/>
        <w:rPr>
          <w:rFonts w:ascii="Century Gothic" w:eastAsia="Verdana" w:hAnsi="Century Gothic" w:cs="Verdana"/>
          <w:lang w:val="es-ES"/>
        </w:rPr>
      </w:pPr>
      <w:r>
        <w:rPr>
          <w:rFonts w:ascii="Century Gothic" w:eastAsia="Verdana" w:hAnsi="Century Gothic" w:cs="Verdana"/>
          <w:lang w:val="es-ES"/>
        </w:rPr>
        <w:t>ELABORACIÓN PROPIA</w:t>
      </w:r>
    </w:p>
    <w:p w14:paraId="042E7471" w14:textId="77777777" w:rsidR="00255FBA" w:rsidRP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La Clasificación para Actividades Económicas tiene como objetivo establecer un conjunto jerarquizado de actividades por procesos productivos que pueda ser utilizado para clasificar unidades estadísticas con base en su actividad económica principal. Ofrece la agrupación de categorías de las diversas actividades económicas útil para la recopilación, análisis y presentación de estadísticas.</w:t>
      </w:r>
    </w:p>
    <w:p w14:paraId="0535B2F9" w14:textId="77777777"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p>
    <w:p w14:paraId="781FBC77" w14:textId="1A8BA92F" w:rsid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 xml:space="preserve">El sector primario está conformado por las actividades económicas relacionadas con la transformación de los recursos naturales en productos primarios no elaborados. Las principales actividades del sector primario son la agricultura, la minería, la ganadería y la pesca, entre otras. Son productos no procesados. La </w:t>
      </w:r>
      <w:r w:rsidRPr="00202AFA">
        <w:rPr>
          <w:rFonts w:ascii="Corbel" w:eastAsia="Verdana" w:hAnsi="Corbel" w:cs="Verdana"/>
          <w:b/>
          <w:noProof/>
          <w:lang w:val="es-ES"/>
        </w:rPr>
        <w:lastRenderedPageBreak/>
        <w:drawing>
          <wp:anchor distT="0" distB="0" distL="114300" distR="114300" simplePos="0" relativeHeight="251708416" behindDoc="1" locked="0" layoutInCell="1" allowOverlap="1" wp14:anchorId="5E10C5F2" wp14:editId="4E3B01A0">
            <wp:simplePos x="0" y="0"/>
            <wp:positionH relativeFrom="column">
              <wp:posOffset>4641215</wp:posOffset>
            </wp:positionH>
            <wp:positionV relativeFrom="paragraph">
              <wp:posOffset>0</wp:posOffset>
            </wp:positionV>
            <wp:extent cx="3889375" cy="3282950"/>
            <wp:effectExtent l="0" t="0" r="0" b="0"/>
            <wp:wrapTight wrapText="bothSides">
              <wp:wrapPolygon edited="0">
                <wp:start x="0" y="0"/>
                <wp:lineTo x="0" y="21433"/>
                <wp:lineTo x="21477" y="21433"/>
                <wp:lineTo x="21477"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889375" cy="3282950"/>
                    </a:xfrm>
                    <a:prstGeom prst="rect">
                      <a:avLst/>
                    </a:prstGeom>
                  </pic:spPr>
                </pic:pic>
              </a:graphicData>
            </a:graphic>
            <wp14:sizeRelV relativeFrom="margin">
              <wp14:pctHeight>0</wp14:pctHeight>
            </wp14:sizeRelV>
          </wp:anchor>
        </w:drawing>
      </w:r>
      <w:r w:rsidRPr="00255FBA">
        <w:rPr>
          <w:rFonts w:ascii="Century Gothic" w:eastAsia="Verdana" w:hAnsi="Century Gothic" w:cs="Verdana"/>
          <w:sz w:val="22"/>
          <w:szCs w:val="22"/>
          <w:lang w:val="es-ES"/>
        </w:rPr>
        <w:t xml:space="preserve">superficie sembrada y de producción para 2022 fue de 1,688.80 hectáreas y el valor de la producción fue de 56,923,414. Dentro de los cultivos que se producen según la encuesta intercensal se encuentran la avena forrajera y maíz grano, además de haba, cultivos importantes que sirven para el consumo humano y para la engorda de ganado. El Producto Interno Bruto del sector primario es </w:t>
      </w:r>
      <w:r w:rsidRPr="00202AFA">
        <w:rPr>
          <w:rFonts w:ascii="Corbel" w:eastAsia="Verdana" w:hAnsi="Corbel" w:cs="Verdana"/>
          <w:b/>
          <w:noProof/>
          <w:lang w:val="es-ES"/>
        </w:rPr>
        <w:drawing>
          <wp:anchor distT="0" distB="0" distL="114300" distR="114300" simplePos="0" relativeHeight="251707392" behindDoc="1" locked="0" layoutInCell="1" allowOverlap="1" wp14:anchorId="1C32083C" wp14:editId="110C9632">
            <wp:simplePos x="0" y="0"/>
            <wp:positionH relativeFrom="column">
              <wp:align>right</wp:align>
            </wp:positionH>
            <wp:positionV relativeFrom="paragraph">
              <wp:posOffset>2077455</wp:posOffset>
            </wp:positionV>
            <wp:extent cx="3890010" cy="1791435"/>
            <wp:effectExtent l="0" t="0" r="0" b="0"/>
            <wp:wrapTight wrapText="bothSides">
              <wp:wrapPolygon edited="0">
                <wp:start x="0" y="0"/>
                <wp:lineTo x="0" y="21363"/>
                <wp:lineTo x="21473" y="21363"/>
                <wp:lineTo x="21473"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890010" cy="1791435"/>
                    </a:xfrm>
                    <a:prstGeom prst="rect">
                      <a:avLst/>
                    </a:prstGeom>
                  </pic:spPr>
                </pic:pic>
              </a:graphicData>
            </a:graphic>
          </wp:anchor>
        </w:drawing>
      </w:r>
      <w:r w:rsidRPr="00255FBA">
        <w:rPr>
          <w:rFonts w:ascii="Century Gothic" w:eastAsia="Verdana" w:hAnsi="Century Gothic" w:cs="Verdana"/>
          <w:sz w:val="22"/>
          <w:szCs w:val="22"/>
          <w:lang w:val="es-ES"/>
        </w:rPr>
        <w:t xml:space="preserve">de: </w:t>
      </w:r>
    </w:p>
    <w:p w14:paraId="13EB62EE" w14:textId="436E0406" w:rsidR="00255FBA" w:rsidRPr="00202AFA" w:rsidRDefault="00255FBA" w:rsidP="00255FBA">
      <w:pPr>
        <w:widowControl w:val="0"/>
        <w:autoSpaceDE w:val="0"/>
        <w:autoSpaceDN w:val="0"/>
        <w:spacing w:after="0" w:line="240" w:lineRule="auto"/>
        <w:ind w:left="708" w:firstLine="708"/>
        <w:jc w:val="both"/>
        <w:rPr>
          <w:rFonts w:ascii="Corbel" w:eastAsia="Verdana" w:hAnsi="Corbel" w:cs="Verdana"/>
          <w:b/>
          <w:sz w:val="14"/>
          <w:szCs w:val="14"/>
          <w:lang w:val="es-ES"/>
        </w:rPr>
      </w:pPr>
      <w:r w:rsidRPr="00202AFA">
        <w:rPr>
          <w:rFonts w:ascii="Corbel" w:eastAsia="Verdana" w:hAnsi="Corbel" w:cs="Verdana"/>
          <w:b/>
          <w:sz w:val="14"/>
          <w:szCs w:val="14"/>
          <w:lang w:val="es-ES"/>
        </w:rPr>
        <w:t xml:space="preserve">Fuente: </w:t>
      </w:r>
      <w:r w:rsidRPr="00202AFA">
        <w:rPr>
          <w:rFonts w:ascii="Corbel" w:eastAsia="Verdana" w:hAnsi="Corbel" w:cs="Verdana"/>
          <w:bCs/>
          <w:sz w:val="14"/>
          <w:szCs w:val="14"/>
          <w:lang w:val="es-ES"/>
        </w:rPr>
        <w:t>Secretar</w:t>
      </w:r>
      <w:r>
        <w:rPr>
          <w:rFonts w:ascii="Corbel" w:eastAsia="Verdana" w:hAnsi="Corbel" w:cs="Verdana"/>
          <w:bCs/>
          <w:sz w:val="14"/>
          <w:szCs w:val="14"/>
          <w:lang w:val="es-ES"/>
        </w:rPr>
        <w:t>í</w:t>
      </w:r>
      <w:r w:rsidRPr="00202AFA">
        <w:rPr>
          <w:rFonts w:ascii="Corbel" w:eastAsia="Verdana" w:hAnsi="Corbel" w:cs="Verdana"/>
          <w:bCs/>
          <w:sz w:val="14"/>
          <w:szCs w:val="14"/>
          <w:lang w:val="es-ES"/>
        </w:rPr>
        <w:t>a del Campo del Gobierno del Estado</w:t>
      </w:r>
    </w:p>
    <w:p w14:paraId="1F958AA1" w14:textId="05AFAA65"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p>
    <w:p w14:paraId="146BF91D" w14:textId="7AE64258" w:rsidR="00255FBA" w:rsidRDefault="00255FBA" w:rsidP="00255FBA">
      <w:pPr>
        <w:spacing w:line="360" w:lineRule="auto"/>
        <w:jc w:val="both"/>
        <w:rPr>
          <w:rFonts w:ascii="Century Gothic" w:hAnsi="Century Gothic"/>
        </w:rPr>
      </w:pPr>
    </w:p>
    <w:p w14:paraId="6E8C14BD" w14:textId="4B1C8F2E" w:rsidR="00255FBA" w:rsidRDefault="00255FBA" w:rsidP="00255FBA">
      <w:pPr>
        <w:spacing w:line="360" w:lineRule="auto"/>
        <w:jc w:val="both"/>
        <w:rPr>
          <w:rFonts w:ascii="Century Gothic" w:hAnsi="Century Gothic"/>
        </w:rPr>
      </w:pPr>
    </w:p>
    <w:p w14:paraId="21ADB812" w14:textId="2CF3E867" w:rsidR="00255FBA" w:rsidRDefault="00255FBA" w:rsidP="00255FBA">
      <w:pPr>
        <w:spacing w:line="360" w:lineRule="auto"/>
        <w:jc w:val="both"/>
        <w:rPr>
          <w:rFonts w:ascii="Century Gothic" w:hAnsi="Century Gothic"/>
        </w:rPr>
      </w:pPr>
    </w:p>
    <w:p w14:paraId="3FF9671F" w14:textId="77777777" w:rsidR="00255FBA" w:rsidRDefault="00255FBA" w:rsidP="00255FBA">
      <w:pPr>
        <w:widowControl w:val="0"/>
        <w:autoSpaceDE w:val="0"/>
        <w:autoSpaceDN w:val="0"/>
        <w:spacing w:after="0" w:line="240" w:lineRule="auto"/>
        <w:ind w:left="708" w:firstLine="708"/>
        <w:jc w:val="both"/>
        <w:rPr>
          <w:rFonts w:ascii="Century Gothic" w:hAnsi="Century Gothic"/>
        </w:rPr>
      </w:pPr>
    </w:p>
    <w:p w14:paraId="3C680D09" w14:textId="77777777" w:rsidR="00255FBA" w:rsidRDefault="00255FBA" w:rsidP="00255FBA">
      <w:pPr>
        <w:widowControl w:val="0"/>
        <w:autoSpaceDE w:val="0"/>
        <w:autoSpaceDN w:val="0"/>
        <w:spacing w:after="0" w:line="240" w:lineRule="auto"/>
        <w:ind w:left="708" w:firstLine="708"/>
        <w:jc w:val="both"/>
        <w:rPr>
          <w:rFonts w:ascii="Century Gothic" w:hAnsi="Century Gothic"/>
        </w:rPr>
      </w:pPr>
    </w:p>
    <w:p w14:paraId="7A64DEE1" w14:textId="77777777" w:rsidR="00255FBA" w:rsidRDefault="00255FBA" w:rsidP="00255FBA">
      <w:pPr>
        <w:widowControl w:val="0"/>
        <w:autoSpaceDE w:val="0"/>
        <w:autoSpaceDN w:val="0"/>
        <w:spacing w:after="0" w:line="240" w:lineRule="auto"/>
        <w:ind w:left="708" w:firstLine="708"/>
        <w:jc w:val="both"/>
        <w:rPr>
          <w:rFonts w:ascii="Century Gothic" w:hAnsi="Century Gothic"/>
        </w:rPr>
      </w:pPr>
    </w:p>
    <w:p w14:paraId="319935AF" w14:textId="0D959A2A" w:rsid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El sector secundario reúne la actividad artesanal e industrial, mediante las cuales los bienes provenientes del sector primario son transformados en nuevos productos, tal es el caso de las actividades del Municipio relacionadas directamente con los talleres artesanales de madera principalmente juguetes tradicionales (balero, yoyo, trompo, pirinola, entre otros).</w:t>
      </w:r>
    </w:p>
    <w:p w14:paraId="3F480258" w14:textId="77777777" w:rsidR="00255FBA" w:rsidRP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ES"/>
        </w:rPr>
      </w:pPr>
    </w:p>
    <w:p w14:paraId="5DAD4CEB" w14:textId="091283F6" w:rsidR="00255FBA" w:rsidRDefault="00255FBA" w:rsidP="00255FBA">
      <w:pPr>
        <w:widowControl w:val="0"/>
        <w:autoSpaceDE w:val="0"/>
        <w:autoSpaceDN w:val="0"/>
        <w:spacing w:after="0" w:line="360" w:lineRule="auto"/>
        <w:jc w:val="both"/>
        <w:rPr>
          <w:rFonts w:ascii="Century Gothic" w:eastAsia="Verdana" w:hAnsi="Century Gothic" w:cs="Verdana"/>
          <w:b/>
          <w:sz w:val="22"/>
          <w:szCs w:val="22"/>
          <w:lang w:val="es-ES"/>
        </w:rPr>
      </w:pPr>
    </w:p>
    <w:p w14:paraId="265D382E" w14:textId="77777777" w:rsidR="00010650" w:rsidRPr="00255FBA" w:rsidRDefault="00010650" w:rsidP="00255FBA">
      <w:pPr>
        <w:widowControl w:val="0"/>
        <w:autoSpaceDE w:val="0"/>
        <w:autoSpaceDN w:val="0"/>
        <w:spacing w:after="0" w:line="360" w:lineRule="auto"/>
        <w:jc w:val="both"/>
        <w:rPr>
          <w:rFonts w:ascii="Century Gothic" w:eastAsia="Verdana" w:hAnsi="Century Gothic" w:cs="Verdana"/>
          <w:b/>
          <w:sz w:val="22"/>
          <w:szCs w:val="22"/>
          <w:lang w:val="es-ES"/>
        </w:rPr>
      </w:pPr>
    </w:p>
    <w:p w14:paraId="5C6CC51C" w14:textId="77777777" w:rsidR="00255FBA" w:rsidRP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lastRenderedPageBreak/>
        <w:t>Se denomina sector de servicios debido a que agrupa al comercio, el transporte y los servicios como educación, salud y turismo. Este sector no produce bienes tangibles que se puedan tocar o percibir de manera precisa, sino que realiza actividades que permiten que los bienes lleguen a los consumidores a que satisfagan las necesidades. San Antonio la Isla ha sido generador de industria y comercio, convirtiéndolo en un municipio atractivo para las inversiones. En el Municipio se aprecia la tendencia hacia la tercerización de la economía y la marcada concentración de mano de obra para las actividades del comercio y servicios.</w:t>
      </w:r>
    </w:p>
    <w:p w14:paraId="53D2B908" w14:textId="77777777" w:rsidR="00255FBA" w:rsidRPr="00255FBA" w:rsidRDefault="00255FBA" w:rsidP="00255FBA">
      <w:pPr>
        <w:widowControl w:val="0"/>
        <w:autoSpaceDE w:val="0"/>
        <w:autoSpaceDN w:val="0"/>
        <w:spacing w:after="0" w:line="360" w:lineRule="auto"/>
        <w:ind w:firstLine="708"/>
        <w:jc w:val="both"/>
        <w:rPr>
          <w:rFonts w:ascii="Century Gothic" w:eastAsia="Verdana" w:hAnsi="Century Gothic" w:cs="Verdana"/>
          <w:sz w:val="22"/>
          <w:szCs w:val="22"/>
          <w:lang w:val="es-ES"/>
        </w:rPr>
      </w:pPr>
    </w:p>
    <w:p w14:paraId="56115D65" w14:textId="77777777" w:rsidR="00255FBA" w:rsidRPr="00255FBA" w:rsidRDefault="00255FBA" w:rsidP="00255FBA">
      <w:pPr>
        <w:widowControl w:val="0"/>
        <w:autoSpaceDE w:val="0"/>
        <w:autoSpaceDN w:val="0"/>
        <w:spacing w:after="0" w:line="360" w:lineRule="auto"/>
        <w:ind w:firstLine="360"/>
        <w:jc w:val="both"/>
        <w:rPr>
          <w:rFonts w:ascii="Century Gothic" w:eastAsia="Verdana" w:hAnsi="Century Gothic" w:cs="Verdana"/>
          <w:sz w:val="22"/>
          <w:szCs w:val="22"/>
          <w:lang w:val="es-ES"/>
        </w:rPr>
      </w:pPr>
      <w:r w:rsidRPr="00255FBA">
        <w:rPr>
          <w:rFonts w:ascii="Century Gothic" w:eastAsia="Verdana" w:hAnsi="Century Gothic" w:cs="Verdana"/>
          <w:sz w:val="22"/>
          <w:szCs w:val="22"/>
          <w:lang w:val="es-ES"/>
        </w:rPr>
        <w:t xml:space="preserve">Es así </w:t>
      </w:r>
      <w:proofErr w:type="gramStart"/>
      <w:r w:rsidRPr="00255FBA">
        <w:rPr>
          <w:rFonts w:ascii="Century Gothic" w:eastAsia="Verdana" w:hAnsi="Century Gothic" w:cs="Verdana"/>
          <w:sz w:val="22"/>
          <w:szCs w:val="22"/>
          <w:lang w:val="es-ES"/>
        </w:rPr>
        <w:t>que</w:t>
      </w:r>
      <w:proofErr w:type="gramEnd"/>
      <w:r w:rsidRPr="00255FBA">
        <w:rPr>
          <w:rFonts w:ascii="Century Gothic" w:eastAsia="Verdana" w:hAnsi="Century Gothic" w:cs="Verdana"/>
          <w:sz w:val="22"/>
          <w:szCs w:val="22"/>
          <w:lang w:val="es-ES"/>
        </w:rPr>
        <w:t xml:space="preserve"> en San Antonio la Isla, de acuerdo con el Directorio Estadístico Nacional de Unidades Económicas por Entidad Federativa 2024, el número de establecimientos económicos fue de 1,851 debido a las transformaciones en las actividades económicas y al notorio crecimiento de la población el número de unidades económicas se ha incrementado en menos de una década.</w:t>
      </w:r>
    </w:p>
    <w:p w14:paraId="7338BE56" w14:textId="488EAF94" w:rsid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p>
    <w:p w14:paraId="24F290CB" w14:textId="77777777" w:rsidR="00255FBA" w:rsidRPr="00255FBA" w:rsidRDefault="00255FBA" w:rsidP="00255FBA">
      <w:pPr>
        <w:widowControl w:val="0"/>
        <w:autoSpaceDE w:val="0"/>
        <w:autoSpaceDN w:val="0"/>
        <w:spacing w:after="0" w:line="360" w:lineRule="auto"/>
        <w:jc w:val="both"/>
        <w:rPr>
          <w:rFonts w:ascii="Century Gothic" w:eastAsia="Verdana" w:hAnsi="Century Gothic" w:cs="Verdana"/>
          <w:sz w:val="22"/>
          <w:szCs w:val="22"/>
          <w:lang w:val="es-ES"/>
        </w:rPr>
      </w:pPr>
    </w:p>
    <w:p w14:paraId="62EAD07E" w14:textId="73BBE8ED" w:rsidR="00255FBA" w:rsidRPr="00255FBA" w:rsidRDefault="00255FBA" w:rsidP="00255FBA">
      <w:pPr>
        <w:widowControl w:val="0"/>
        <w:autoSpaceDE w:val="0"/>
        <w:autoSpaceDN w:val="0"/>
        <w:spacing w:after="0" w:line="240" w:lineRule="auto"/>
        <w:jc w:val="both"/>
        <w:rPr>
          <w:rFonts w:ascii="Century Gothic" w:hAnsi="Century Gothic"/>
          <w:b/>
          <w:bCs/>
          <w:color w:val="025850"/>
          <w:sz w:val="22"/>
          <w:szCs w:val="22"/>
        </w:rPr>
      </w:pPr>
      <w:r w:rsidRPr="00255FBA">
        <w:rPr>
          <w:rFonts w:ascii="Century Gothic" w:hAnsi="Century Gothic"/>
          <w:b/>
          <w:bCs/>
          <w:color w:val="025850"/>
          <w:sz w:val="22"/>
          <w:szCs w:val="22"/>
        </w:rPr>
        <w:t xml:space="preserve">Construcción de entornos competitivos y aprovechamiento de la relocalización de las cadenas de valor. </w:t>
      </w:r>
    </w:p>
    <w:p w14:paraId="654D574D" w14:textId="77777777" w:rsidR="00255FBA" w:rsidRPr="00255FBA" w:rsidRDefault="00255FBA" w:rsidP="00255FBA">
      <w:pPr>
        <w:ind w:left="360"/>
        <w:rPr>
          <w:rFonts w:ascii="Century Gothic" w:hAnsi="Century Gothic"/>
          <w:b/>
          <w:bCs/>
          <w:sz w:val="22"/>
          <w:szCs w:val="22"/>
        </w:rPr>
      </w:pPr>
    </w:p>
    <w:p w14:paraId="1E635B17" w14:textId="30AD3C4A" w:rsidR="00255FBA" w:rsidRPr="00255FBA" w:rsidRDefault="00255FBA" w:rsidP="00255FBA">
      <w:pPr>
        <w:spacing w:line="360" w:lineRule="auto"/>
        <w:jc w:val="both"/>
        <w:rPr>
          <w:rFonts w:ascii="Century Gothic" w:hAnsi="Century Gothic"/>
          <w:sz w:val="22"/>
          <w:szCs w:val="22"/>
        </w:rPr>
      </w:pPr>
      <w:r w:rsidRPr="00255FBA">
        <w:rPr>
          <w:rFonts w:ascii="Century Gothic" w:hAnsi="Century Gothic"/>
          <w:sz w:val="22"/>
          <w:szCs w:val="22"/>
        </w:rPr>
        <w:t>La construcción de entornos competitivos en San Antonio la Isla se presenta como una estrategia clave para aprovechar las oportunidades generadas por la relocalización de las cadenas de valor en la región. Este proceso requiere un enfoque integral que impulse el desarrollo económico, mejore la infraestructura y cree un ambiente propicio para la inversión tanto local como externa. Uno de los principales impulsores de estos entornos competitivos es la identificación de sectores estratégicos en los que San Antonio la Isla cuenta con ventajas comparativas. Destacan la agropecuaria, el comercio y en el sector artesanal, sectores esenciales en la dinámica de las cadenas de valor y que pueden beneficiarse ampliamente de una ubicación estratégica, especialmente en un contexto de transformación constante en las cadenas de suministro globales.</w:t>
      </w:r>
    </w:p>
    <w:p w14:paraId="71FE726F" w14:textId="20BECE48" w:rsidR="00255FBA" w:rsidRPr="00255FBA" w:rsidRDefault="00255FBA" w:rsidP="00255FBA">
      <w:pPr>
        <w:spacing w:line="360" w:lineRule="auto"/>
        <w:jc w:val="both"/>
        <w:rPr>
          <w:rFonts w:ascii="Century Gothic" w:hAnsi="Century Gothic"/>
          <w:sz w:val="22"/>
          <w:szCs w:val="22"/>
        </w:rPr>
      </w:pPr>
      <w:r w:rsidRPr="00255FBA">
        <w:rPr>
          <w:rFonts w:ascii="Century Gothic" w:hAnsi="Century Gothic"/>
          <w:sz w:val="22"/>
          <w:szCs w:val="22"/>
        </w:rPr>
        <w:t xml:space="preserve">Los recientes cambios en los mercados internacionales han abierto nuevas oportunidades para que San Antonio la Isla aproveche su posición geográfica y sus recursos. </w:t>
      </w:r>
      <w:r w:rsidRPr="00255FBA">
        <w:rPr>
          <w:rFonts w:ascii="Century Gothic" w:hAnsi="Century Gothic"/>
          <w:sz w:val="22"/>
          <w:szCs w:val="22"/>
        </w:rPr>
        <w:lastRenderedPageBreak/>
        <w:t>Este fenómeno representa una posibilidad para fortalecer la economía local, atraer inversiones, generar empleos de calidad y fomentar la innovación. En particular, las empresas que antes dependían de cadenas de suministro externas pueden encontrar en San Antonio la Isla un lugar idóneo para reubicar sus operaciones, reduciendo costos logísticos y aumentando su competitividad.</w:t>
      </w:r>
    </w:p>
    <w:p w14:paraId="497906C2" w14:textId="77777777" w:rsidR="00255FBA" w:rsidRDefault="00255FBA" w:rsidP="00860F2F">
      <w:pPr>
        <w:spacing w:line="360" w:lineRule="auto"/>
        <w:ind w:firstLine="360"/>
        <w:jc w:val="both"/>
        <w:rPr>
          <w:rFonts w:ascii="Century Gothic" w:hAnsi="Century Gothic"/>
          <w:sz w:val="22"/>
          <w:szCs w:val="22"/>
        </w:rPr>
      </w:pPr>
      <w:r w:rsidRPr="00255FBA">
        <w:rPr>
          <w:rFonts w:ascii="Century Gothic" w:hAnsi="Century Gothic"/>
          <w:sz w:val="22"/>
          <w:szCs w:val="22"/>
        </w:rPr>
        <w:t>Para consolidar este atractivo, es fundamental la implementación de incentivos empresariales, como políticas fiscales favorables, infraestructura moderna y acceso a financiamiento. La colaboración entre el gobierno local, las instituciones educativas y el sector privado será clave para fortalecer el capital humano y desarrollar capacidades locales. A medida que se construyen estos entornos competitivos, San Antonio la Isla debe enfocarse también en la sostenibilidad y la resiliencia económica. El aprovechamiento de las cadenas de valor no debe centrarse únicamente en el crecimiento económico, sino también en la inclusión social y el respeto al medio ambiente, garantizando un desarrollo equitativo y sostenible a largo plazo.</w:t>
      </w:r>
    </w:p>
    <w:p w14:paraId="4BA5EAFA" w14:textId="77777777" w:rsidR="000D3D0E" w:rsidRPr="00255FBA" w:rsidRDefault="000D3D0E" w:rsidP="00860F2F">
      <w:pPr>
        <w:spacing w:line="360" w:lineRule="auto"/>
        <w:ind w:firstLine="360"/>
        <w:jc w:val="both"/>
        <w:rPr>
          <w:rFonts w:ascii="Century Gothic" w:hAnsi="Century Gothic"/>
          <w:sz w:val="22"/>
          <w:szCs w:val="22"/>
        </w:rPr>
      </w:pPr>
    </w:p>
    <w:p w14:paraId="430512D3" w14:textId="77777777" w:rsidR="00255FBA" w:rsidRPr="00860F2F" w:rsidRDefault="00255FBA" w:rsidP="005A1ADF">
      <w:pPr>
        <w:widowControl w:val="0"/>
        <w:numPr>
          <w:ilvl w:val="0"/>
          <w:numId w:val="27"/>
        </w:numPr>
        <w:autoSpaceDE w:val="0"/>
        <w:autoSpaceDN w:val="0"/>
        <w:spacing w:after="0" w:line="360" w:lineRule="auto"/>
        <w:contextualSpacing/>
        <w:jc w:val="both"/>
        <w:rPr>
          <w:rFonts w:ascii="Century Gothic" w:eastAsia="Verdana" w:hAnsi="Century Gothic" w:cs="Verdana"/>
          <w:b/>
          <w:color w:val="025850"/>
          <w:sz w:val="22"/>
          <w:szCs w:val="22"/>
          <w:lang w:val="es-ES"/>
        </w:rPr>
      </w:pPr>
      <w:r w:rsidRPr="00860F2F">
        <w:rPr>
          <w:rFonts w:ascii="Corbel" w:eastAsia="Verdana" w:hAnsi="Corbel" w:cs="Verdana"/>
          <w:b/>
          <w:color w:val="025850"/>
          <w:sz w:val="22"/>
          <w:szCs w:val="22"/>
          <w:lang w:val="es-ES"/>
        </w:rPr>
        <w:t>Fo</w:t>
      </w:r>
      <w:r w:rsidRPr="00860F2F">
        <w:rPr>
          <w:rFonts w:ascii="Century Gothic" w:eastAsia="Verdana" w:hAnsi="Century Gothic" w:cs="Verdana"/>
          <w:b/>
          <w:color w:val="025850"/>
          <w:sz w:val="22"/>
          <w:szCs w:val="22"/>
          <w:lang w:val="es-ES"/>
        </w:rPr>
        <w:t>mento al turismo</w:t>
      </w:r>
    </w:p>
    <w:p w14:paraId="5D31A667" w14:textId="77777777" w:rsidR="00255FBA" w:rsidRPr="00255FBA" w:rsidRDefault="00255FBA" w:rsidP="00860F2F">
      <w:pPr>
        <w:spacing w:line="360" w:lineRule="auto"/>
        <w:ind w:firstLine="360"/>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San Antonio la Isla ha sido generador de industria y comercio, convirtiéndolo en un Municipio atractivo para las inversiones. En el Municipio se aprecia la tendencia hacia la tercerización de la economía y la marcada concentración de mano de obra para las actividades del comercio y servicios.</w:t>
      </w:r>
    </w:p>
    <w:p w14:paraId="54C9B2E8" w14:textId="77777777" w:rsidR="00255FBA" w:rsidRPr="00255FBA" w:rsidRDefault="00255FBA" w:rsidP="00860F2F">
      <w:pPr>
        <w:spacing w:line="360" w:lineRule="auto"/>
        <w:ind w:firstLine="360"/>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De acuerdo con la información del Directorio Estadístico Nacional de Unidades Económicas 2023, en San Antonio la Isla se encuentran registradas 1,497 unidades económicas. Este crecimiento responde a la transformación de las actividades económicas y al incremento sostenido de la población, lo que ha generado un aumento en el número de negocios y empresas en los últimos años.</w:t>
      </w:r>
    </w:p>
    <w:p w14:paraId="58E140ED" w14:textId="77777777" w:rsidR="00255FBA" w:rsidRPr="00255FBA" w:rsidRDefault="00255FBA" w:rsidP="00860F2F">
      <w:pPr>
        <w:spacing w:line="360" w:lineRule="auto"/>
        <w:ind w:firstLine="360"/>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El rezago en el fomento turístico municipal se refiere a la falta de desarrollo y promoción del turismo en los municipios, lo que puede generar problemas económicos y sociales. En México, por ejemplo, el sector turístico es fundamental para la economía nacional, pero enfrenta desafíos como la falta de inversión en promoción turística, la inseguridad y la insuficiencia de infraestructura.</w:t>
      </w:r>
    </w:p>
    <w:p w14:paraId="5484AB59" w14:textId="77777777" w:rsidR="00255FBA" w:rsidRPr="00255FBA" w:rsidRDefault="00255FBA" w:rsidP="00255FBA">
      <w:pPr>
        <w:spacing w:line="360" w:lineRule="auto"/>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lastRenderedPageBreak/>
        <w:t>Los desafíos específicos que enfrenta el municipio para fomentar el turismo son:</w:t>
      </w:r>
    </w:p>
    <w:p w14:paraId="00AE5AB7" w14:textId="77777777" w:rsidR="00255FBA" w:rsidRPr="00255FBA" w:rsidRDefault="00255FBA" w:rsidP="005A1ADF">
      <w:pPr>
        <w:widowControl w:val="0"/>
        <w:numPr>
          <w:ilvl w:val="0"/>
          <w:numId w:val="25"/>
        </w:numPr>
        <w:autoSpaceDE w:val="0"/>
        <w:autoSpaceDN w:val="0"/>
        <w:spacing w:after="0" w:line="360" w:lineRule="auto"/>
        <w:contextualSpacing/>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Falta de recursos: La falta de recursos financieros y humanos puede limitar la capacidad de los municipios para promover y desarrollar el turismo.</w:t>
      </w:r>
    </w:p>
    <w:p w14:paraId="3BDAC8BE" w14:textId="77777777" w:rsidR="00255FBA" w:rsidRPr="00255FBA" w:rsidRDefault="00255FBA" w:rsidP="005A1ADF">
      <w:pPr>
        <w:widowControl w:val="0"/>
        <w:numPr>
          <w:ilvl w:val="0"/>
          <w:numId w:val="25"/>
        </w:numPr>
        <w:autoSpaceDE w:val="0"/>
        <w:autoSpaceDN w:val="0"/>
        <w:spacing w:after="0" w:line="360" w:lineRule="auto"/>
        <w:contextualSpacing/>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Insuficiencia de infraestructura: La falta de infraestructura turística puede disuadir a los turistas de visitar nuestro municipio.</w:t>
      </w:r>
    </w:p>
    <w:p w14:paraId="549B7226" w14:textId="08560B74" w:rsidR="00255FBA" w:rsidRPr="00860F2F" w:rsidRDefault="00255FBA" w:rsidP="005A1ADF">
      <w:pPr>
        <w:widowControl w:val="0"/>
        <w:numPr>
          <w:ilvl w:val="0"/>
          <w:numId w:val="25"/>
        </w:numPr>
        <w:autoSpaceDE w:val="0"/>
        <w:autoSpaceDN w:val="0"/>
        <w:spacing w:after="0" w:line="360" w:lineRule="auto"/>
        <w:contextualSpacing/>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Inseguridad: La inseguridad puede ser un gran obstáculo para el desarrollo del turismo en el municipio.</w:t>
      </w:r>
    </w:p>
    <w:p w14:paraId="72611999" w14:textId="68020601" w:rsidR="00255FBA" w:rsidRPr="00255FBA" w:rsidRDefault="00255FBA" w:rsidP="00860F2F">
      <w:pPr>
        <w:spacing w:line="360" w:lineRule="auto"/>
        <w:ind w:firstLine="708"/>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Sin embargo, también hay oportunidades para que los municipios fomenten el turismo y aprovechen sus recursos naturales y culturales. Algunas de estas oportunidades incluyen:</w:t>
      </w:r>
    </w:p>
    <w:p w14:paraId="12200A5B" w14:textId="77777777" w:rsidR="00255FBA" w:rsidRPr="00255FBA" w:rsidRDefault="00255FBA" w:rsidP="005A1ADF">
      <w:pPr>
        <w:widowControl w:val="0"/>
        <w:numPr>
          <w:ilvl w:val="0"/>
          <w:numId w:val="26"/>
        </w:numPr>
        <w:autoSpaceDE w:val="0"/>
        <w:autoSpaceDN w:val="0"/>
        <w:spacing w:after="0" w:line="360" w:lineRule="auto"/>
        <w:contextualSpacing/>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Promoción del patrimonio cultural: Los municipios pueden promover su patrimonio cultural, como monumentos históricos, festivales y tradiciones, para atraer a turistas interesados en la cultura local.</w:t>
      </w:r>
    </w:p>
    <w:p w14:paraId="7239FDA0" w14:textId="00EEBA41" w:rsidR="00255FBA" w:rsidRDefault="00255FBA" w:rsidP="005A1ADF">
      <w:pPr>
        <w:widowControl w:val="0"/>
        <w:numPr>
          <w:ilvl w:val="0"/>
          <w:numId w:val="26"/>
        </w:numPr>
        <w:autoSpaceDE w:val="0"/>
        <w:autoSpaceDN w:val="0"/>
        <w:spacing w:after="0" w:line="360" w:lineRule="auto"/>
        <w:contextualSpacing/>
        <w:jc w:val="both"/>
        <w:rPr>
          <w:rFonts w:ascii="Century Gothic" w:eastAsia="Verdana" w:hAnsi="Century Gothic" w:cs="Verdana"/>
          <w:bCs/>
          <w:sz w:val="22"/>
          <w:szCs w:val="22"/>
          <w:lang w:val="es-ES"/>
        </w:rPr>
      </w:pPr>
      <w:r w:rsidRPr="00255FBA">
        <w:rPr>
          <w:rFonts w:ascii="Century Gothic" w:eastAsia="Verdana" w:hAnsi="Century Gothic" w:cs="Verdana"/>
          <w:bCs/>
          <w:sz w:val="22"/>
          <w:szCs w:val="22"/>
          <w:lang w:val="es-ES"/>
        </w:rPr>
        <w:t xml:space="preserve">Fomento del turismo sostenible: Los municipios pueden fomentar el turismo sostenible, que se </w:t>
      </w:r>
      <w:r w:rsidRPr="00255FBA">
        <w:rPr>
          <w:rFonts w:ascii="Century Gothic" w:eastAsia="Verdana" w:hAnsi="Century Gothic" w:cs="Verdana"/>
          <w:bCs/>
          <w:sz w:val="22"/>
          <w:szCs w:val="22"/>
          <w:lang w:val="es-ES"/>
        </w:rPr>
        <w:t>enfoca en minimizar el impacto ambiental y social del turismo, para atraer a turistas que buscan experiencias más auténticas y responsables.</w:t>
      </w:r>
    </w:p>
    <w:p w14:paraId="616BFB25" w14:textId="068EA8BE" w:rsidR="00860F2F" w:rsidRDefault="00860F2F" w:rsidP="00860F2F">
      <w:pPr>
        <w:widowControl w:val="0"/>
        <w:autoSpaceDE w:val="0"/>
        <w:autoSpaceDN w:val="0"/>
        <w:spacing w:after="0" w:line="360" w:lineRule="auto"/>
        <w:ind w:left="360"/>
        <w:contextualSpacing/>
        <w:jc w:val="both"/>
        <w:rPr>
          <w:rFonts w:ascii="Century Gothic" w:eastAsia="Verdana" w:hAnsi="Century Gothic" w:cs="Verdana"/>
          <w:bCs/>
          <w:sz w:val="22"/>
          <w:szCs w:val="22"/>
          <w:lang w:val="es-ES"/>
        </w:rPr>
      </w:pPr>
    </w:p>
    <w:p w14:paraId="17E0EA22" w14:textId="77777777" w:rsidR="00860F2F" w:rsidRPr="00860F2F" w:rsidRDefault="00860F2F" w:rsidP="005A1ADF">
      <w:pPr>
        <w:widowControl w:val="0"/>
        <w:numPr>
          <w:ilvl w:val="0"/>
          <w:numId w:val="27"/>
        </w:numPr>
        <w:autoSpaceDE w:val="0"/>
        <w:autoSpaceDN w:val="0"/>
        <w:spacing w:after="0" w:line="360" w:lineRule="auto"/>
        <w:contextualSpacing/>
        <w:jc w:val="both"/>
        <w:rPr>
          <w:rFonts w:ascii="Century Gothic" w:eastAsia="Verdana" w:hAnsi="Century Gothic" w:cs="Verdana"/>
          <w:b/>
          <w:color w:val="025850"/>
          <w:lang w:val="es-ES"/>
        </w:rPr>
      </w:pPr>
      <w:r w:rsidRPr="00860F2F">
        <w:rPr>
          <w:rFonts w:ascii="Century Gothic" w:eastAsia="Verdana" w:hAnsi="Century Gothic" w:cs="Verdana"/>
          <w:b/>
          <w:color w:val="025850"/>
          <w:lang w:val="es-ES"/>
        </w:rPr>
        <w:t>Desarrollo agrario y dignificación del campo</w:t>
      </w:r>
    </w:p>
    <w:p w14:paraId="2A82CEF4" w14:textId="77777777" w:rsidR="00860F2F" w:rsidRPr="00202AFA" w:rsidRDefault="00860F2F" w:rsidP="00860F2F">
      <w:pPr>
        <w:widowControl w:val="0"/>
        <w:autoSpaceDE w:val="0"/>
        <w:autoSpaceDN w:val="0"/>
        <w:spacing w:after="0" w:line="360" w:lineRule="auto"/>
        <w:jc w:val="both"/>
        <w:rPr>
          <w:rFonts w:ascii="Corbel" w:eastAsia="Verdana" w:hAnsi="Corbel" w:cs="Verdana"/>
          <w:b/>
          <w:lang w:val="es-ES"/>
        </w:rPr>
      </w:pPr>
    </w:p>
    <w:p w14:paraId="774A2DBF" w14:textId="77777777" w:rsidR="00860F2F" w:rsidRPr="00860F2F" w:rsidRDefault="00860F2F" w:rsidP="00860F2F">
      <w:pPr>
        <w:spacing w:line="360" w:lineRule="auto"/>
        <w:jc w:val="both"/>
        <w:rPr>
          <w:rFonts w:ascii="Century Gothic" w:hAnsi="Century Gothic"/>
          <w:sz w:val="22"/>
          <w:szCs w:val="22"/>
        </w:rPr>
      </w:pPr>
      <w:r w:rsidRPr="00860F2F">
        <w:rPr>
          <w:rFonts w:ascii="Century Gothic" w:hAnsi="Century Gothic"/>
          <w:sz w:val="22"/>
          <w:szCs w:val="22"/>
        </w:rPr>
        <w:t>El fortalecimiento del sector agrario y la mejora de las condiciones en el campo son aspectos clave para elevar la calidad de vida de los productores rurales y garantizar el abastecimiento de alimentos. En México, una de las prioridades del Gobierno es reducir la deuda histórica con los sectores más vulnerables, poniendo énfasis en la revalorización del campo y el reconocimiento de quienes lo trabajan.</w:t>
      </w:r>
    </w:p>
    <w:p w14:paraId="73C9E0AF" w14:textId="6B6A715D" w:rsidR="00860F2F" w:rsidRDefault="00860F2F" w:rsidP="00860F2F">
      <w:pPr>
        <w:spacing w:line="360" w:lineRule="auto"/>
        <w:jc w:val="both"/>
        <w:rPr>
          <w:rFonts w:ascii="Century Gothic" w:hAnsi="Century Gothic"/>
          <w:sz w:val="22"/>
          <w:szCs w:val="22"/>
        </w:rPr>
      </w:pPr>
      <w:r w:rsidRPr="00860F2F">
        <w:rPr>
          <w:rFonts w:ascii="Century Gothic" w:hAnsi="Century Gothic"/>
          <w:sz w:val="22"/>
          <w:szCs w:val="22"/>
        </w:rPr>
        <w:t>El desarrollo rural integral tiene como propósito diversificar las actividades económicas en las zonas rurales de manera sostenible e inclusiva, con especial atención a la participación de mujeres y jóvenes. Para ello, se implementan acciones dirigidas a fortalecer la productividad agroalimentaria, fomentar la inversión en infraestructura, educación y tecnología, y promover la intervención activa de las comunidades en la toma de decisiones que impacten su desarrollo.</w:t>
      </w:r>
    </w:p>
    <w:p w14:paraId="6D8BF14C" w14:textId="6940530D" w:rsidR="00860F2F" w:rsidRPr="00860F2F" w:rsidRDefault="00860F2F" w:rsidP="00860F2F">
      <w:pPr>
        <w:spacing w:after="0" w:line="240" w:lineRule="auto"/>
        <w:jc w:val="center"/>
        <w:rPr>
          <w:rFonts w:ascii="Century Gothic" w:hAnsi="Century Gothic"/>
          <w:b/>
          <w:bCs/>
          <w:sz w:val="22"/>
          <w:szCs w:val="22"/>
        </w:rPr>
      </w:pPr>
      <w:r w:rsidRPr="00860F2F">
        <w:rPr>
          <w:rFonts w:ascii="Century Gothic" w:hAnsi="Century Gothic"/>
          <w:b/>
          <w:bCs/>
          <w:sz w:val="22"/>
          <w:szCs w:val="22"/>
        </w:rPr>
        <w:lastRenderedPageBreak/>
        <w:t>Superficie Sembrada y Cosechada, 2022</w:t>
      </w:r>
    </w:p>
    <w:tbl>
      <w:tblPr>
        <w:tblStyle w:val="Tablaconcuadrcula4-nfasis2"/>
        <w:tblW w:w="0" w:type="auto"/>
        <w:tblLook w:val="04A0" w:firstRow="1" w:lastRow="0" w:firstColumn="1" w:lastColumn="0" w:noHBand="0" w:noVBand="1"/>
      </w:tblPr>
      <w:tblGrid>
        <w:gridCol w:w="1477"/>
        <w:gridCol w:w="856"/>
        <w:gridCol w:w="1182"/>
        <w:gridCol w:w="1312"/>
        <w:gridCol w:w="1289"/>
      </w:tblGrid>
      <w:tr w:rsidR="00860F2F" w14:paraId="67FF6DB0" w14:textId="77777777" w:rsidTr="008B2A01">
        <w:trPr>
          <w:cnfStyle w:val="100000000000" w:firstRow="1" w:lastRow="0" w:firstColumn="0" w:lastColumn="0" w:oddVBand="0" w:evenVBand="0" w:oddHBand="0"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476" w:type="dxa"/>
          </w:tcPr>
          <w:p w14:paraId="4C33CDB2" w14:textId="77777777" w:rsidR="00860F2F" w:rsidRDefault="00860F2F" w:rsidP="008035D9">
            <w:pPr>
              <w:jc w:val="center"/>
              <w:rPr>
                <w:rFonts w:ascii="Century Gothic" w:hAnsi="Century Gothic"/>
                <w:b w:val="0"/>
                <w:bCs w:val="0"/>
              </w:rPr>
            </w:pPr>
            <w:r>
              <w:rPr>
                <w:rFonts w:ascii="Century Gothic" w:hAnsi="Century Gothic"/>
                <w:b w:val="0"/>
                <w:bCs w:val="0"/>
              </w:rPr>
              <w:t>Municipio</w:t>
            </w:r>
          </w:p>
        </w:tc>
        <w:tc>
          <w:tcPr>
            <w:tcW w:w="856" w:type="dxa"/>
          </w:tcPr>
          <w:p w14:paraId="7A670D49"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Región</w:t>
            </w:r>
          </w:p>
        </w:tc>
        <w:tc>
          <w:tcPr>
            <w:tcW w:w="1182" w:type="dxa"/>
          </w:tcPr>
          <w:p w14:paraId="5E75B1BD"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Sembrada (Ha)</w:t>
            </w:r>
          </w:p>
        </w:tc>
        <w:tc>
          <w:tcPr>
            <w:tcW w:w="1313" w:type="dxa"/>
          </w:tcPr>
          <w:p w14:paraId="64308230"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Cosechada (Ha)</w:t>
            </w:r>
          </w:p>
        </w:tc>
        <w:tc>
          <w:tcPr>
            <w:tcW w:w="1289" w:type="dxa"/>
          </w:tcPr>
          <w:p w14:paraId="33FF662C"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Valor de producción (Millones de pesos)</w:t>
            </w:r>
          </w:p>
        </w:tc>
      </w:tr>
      <w:tr w:rsidR="008B2A01" w14:paraId="4A82FFFC"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2" w:type="dxa"/>
            <w:gridSpan w:val="2"/>
          </w:tcPr>
          <w:p w14:paraId="4D1FF29F" w14:textId="77777777" w:rsidR="00860F2F" w:rsidRDefault="00860F2F" w:rsidP="008035D9">
            <w:pPr>
              <w:jc w:val="center"/>
              <w:rPr>
                <w:rFonts w:ascii="Century Gothic" w:hAnsi="Century Gothic"/>
                <w:b w:val="0"/>
                <w:bCs w:val="0"/>
              </w:rPr>
            </w:pPr>
            <w:r>
              <w:rPr>
                <w:rFonts w:ascii="Century Gothic" w:hAnsi="Century Gothic"/>
                <w:b w:val="0"/>
                <w:bCs w:val="0"/>
              </w:rPr>
              <w:t>Estado de México</w:t>
            </w:r>
          </w:p>
        </w:tc>
        <w:tc>
          <w:tcPr>
            <w:tcW w:w="1182" w:type="dxa"/>
          </w:tcPr>
          <w:p w14:paraId="5DAB9700"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752,448.36</w:t>
            </w:r>
          </w:p>
        </w:tc>
        <w:tc>
          <w:tcPr>
            <w:tcW w:w="1313" w:type="dxa"/>
          </w:tcPr>
          <w:p w14:paraId="1ACCC1A8"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738,069.06</w:t>
            </w:r>
          </w:p>
        </w:tc>
        <w:tc>
          <w:tcPr>
            <w:tcW w:w="1289" w:type="dxa"/>
          </w:tcPr>
          <w:p w14:paraId="3C2DF7AA"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33,699.37</w:t>
            </w:r>
          </w:p>
        </w:tc>
      </w:tr>
      <w:tr w:rsidR="00DD1E72" w14:paraId="7C0F768B" w14:textId="77777777" w:rsidTr="008B2A01">
        <w:tc>
          <w:tcPr>
            <w:cnfStyle w:val="001000000000" w:firstRow="0" w:lastRow="0" w:firstColumn="1" w:lastColumn="0" w:oddVBand="0" w:evenVBand="0" w:oddHBand="0" w:evenHBand="0" w:firstRowFirstColumn="0" w:firstRowLastColumn="0" w:lastRowFirstColumn="0" w:lastRowLastColumn="0"/>
            <w:tcW w:w="1476" w:type="dxa"/>
          </w:tcPr>
          <w:p w14:paraId="1EA34E7A"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Atizapán</w:t>
            </w:r>
          </w:p>
        </w:tc>
        <w:tc>
          <w:tcPr>
            <w:tcW w:w="856" w:type="dxa"/>
            <w:vMerge w:val="restart"/>
          </w:tcPr>
          <w:p w14:paraId="7A064F52"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5F1DF50C"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1B4EBBBB"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3684BDC4"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1D70D0F6"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Región 16: Lerma</w:t>
            </w:r>
          </w:p>
        </w:tc>
        <w:tc>
          <w:tcPr>
            <w:tcW w:w="1182" w:type="dxa"/>
          </w:tcPr>
          <w:p w14:paraId="0C0D2F28"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3165E">
              <w:rPr>
                <w:rFonts w:ascii="Century Gothic" w:hAnsi="Century Gothic"/>
                <w:sz w:val="20"/>
                <w:szCs w:val="20"/>
              </w:rPr>
              <w:t xml:space="preserve">505.75 </w:t>
            </w:r>
          </w:p>
        </w:tc>
        <w:tc>
          <w:tcPr>
            <w:tcW w:w="1313" w:type="dxa"/>
          </w:tcPr>
          <w:p w14:paraId="70D6D770"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3165E">
              <w:rPr>
                <w:rFonts w:ascii="Century Gothic" w:hAnsi="Century Gothic"/>
                <w:sz w:val="20"/>
                <w:szCs w:val="20"/>
              </w:rPr>
              <w:t>505.75</w:t>
            </w:r>
          </w:p>
        </w:tc>
        <w:tc>
          <w:tcPr>
            <w:tcW w:w="1289" w:type="dxa"/>
          </w:tcPr>
          <w:p w14:paraId="7D13CF95"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43165E">
              <w:rPr>
                <w:rFonts w:ascii="Century Gothic" w:hAnsi="Century Gothic"/>
                <w:sz w:val="20"/>
                <w:szCs w:val="20"/>
              </w:rPr>
              <w:t>14.71</w:t>
            </w:r>
          </w:p>
        </w:tc>
      </w:tr>
      <w:tr w:rsidR="00860F2F" w14:paraId="12A6572C"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7843B697"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Capulhuac</w:t>
            </w:r>
          </w:p>
        </w:tc>
        <w:tc>
          <w:tcPr>
            <w:tcW w:w="856" w:type="dxa"/>
            <w:vMerge/>
          </w:tcPr>
          <w:p w14:paraId="58C0C80C"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1182" w:type="dxa"/>
          </w:tcPr>
          <w:p w14:paraId="76C764AD"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931.41 </w:t>
            </w:r>
          </w:p>
        </w:tc>
        <w:tc>
          <w:tcPr>
            <w:tcW w:w="1313" w:type="dxa"/>
          </w:tcPr>
          <w:p w14:paraId="5A6E2566"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931.41 </w:t>
            </w:r>
          </w:p>
        </w:tc>
        <w:tc>
          <w:tcPr>
            <w:tcW w:w="1289" w:type="dxa"/>
          </w:tcPr>
          <w:p w14:paraId="4E9DB144"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44.06 </w:t>
            </w:r>
          </w:p>
        </w:tc>
      </w:tr>
      <w:tr w:rsidR="00DD1E72" w14:paraId="7D01C40B" w14:textId="77777777" w:rsidTr="008B2A01">
        <w:tc>
          <w:tcPr>
            <w:cnfStyle w:val="001000000000" w:firstRow="0" w:lastRow="0" w:firstColumn="1" w:lastColumn="0" w:oddVBand="0" w:evenVBand="0" w:oddHBand="0" w:evenHBand="0" w:firstRowFirstColumn="0" w:firstRowLastColumn="0" w:lastRowFirstColumn="0" w:lastRowLastColumn="0"/>
            <w:tcW w:w="1476" w:type="dxa"/>
          </w:tcPr>
          <w:p w14:paraId="126AE1D1"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Chapultepec</w:t>
            </w:r>
          </w:p>
        </w:tc>
        <w:tc>
          <w:tcPr>
            <w:tcW w:w="856" w:type="dxa"/>
            <w:vMerge/>
          </w:tcPr>
          <w:p w14:paraId="2965D68F"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1182" w:type="dxa"/>
          </w:tcPr>
          <w:p w14:paraId="42E4F84D"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744.08 </w:t>
            </w:r>
          </w:p>
        </w:tc>
        <w:tc>
          <w:tcPr>
            <w:tcW w:w="1313" w:type="dxa"/>
          </w:tcPr>
          <w:p w14:paraId="65167F55"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744.08 </w:t>
            </w:r>
          </w:p>
        </w:tc>
        <w:tc>
          <w:tcPr>
            <w:tcW w:w="1289" w:type="dxa"/>
          </w:tcPr>
          <w:p w14:paraId="2B1FC628"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28.20 </w:t>
            </w:r>
          </w:p>
        </w:tc>
      </w:tr>
      <w:tr w:rsidR="00860F2F" w14:paraId="34A52A1B"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47CAE031"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Xalatlaco</w:t>
            </w:r>
          </w:p>
        </w:tc>
        <w:tc>
          <w:tcPr>
            <w:tcW w:w="856" w:type="dxa"/>
            <w:vMerge/>
          </w:tcPr>
          <w:p w14:paraId="4D079DED"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1182" w:type="dxa"/>
          </w:tcPr>
          <w:p w14:paraId="38427D0B"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2,290.15  </w:t>
            </w:r>
          </w:p>
        </w:tc>
        <w:tc>
          <w:tcPr>
            <w:tcW w:w="1313" w:type="dxa"/>
          </w:tcPr>
          <w:p w14:paraId="69C3D0B5"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2,290.15 </w:t>
            </w:r>
          </w:p>
        </w:tc>
        <w:tc>
          <w:tcPr>
            <w:tcW w:w="1289" w:type="dxa"/>
          </w:tcPr>
          <w:p w14:paraId="182A950F"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72.74 </w:t>
            </w:r>
          </w:p>
        </w:tc>
      </w:tr>
      <w:tr w:rsidR="00DD1E72" w14:paraId="7641B81B" w14:textId="77777777" w:rsidTr="008B2A01">
        <w:tc>
          <w:tcPr>
            <w:cnfStyle w:val="001000000000" w:firstRow="0" w:lastRow="0" w:firstColumn="1" w:lastColumn="0" w:oddVBand="0" w:evenVBand="0" w:oddHBand="0" w:evenHBand="0" w:firstRowFirstColumn="0" w:firstRowLastColumn="0" w:lastRowFirstColumn="0" w:lastRowLastColumn="0"/>
            <w:tcW w:w="1476" w:type="dxa"/>
          </w:tcPr>
          <w:p w14:paraId="3F4D167D"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Lerma</w:t>
            </w:r>
          </w:p>
        </w:tc>
        <w:tc>
          <w:tcPr>
            <w:tcW w:w="856" w:type="dxa"/>
            <w:vMerge/>
          </w:tcPr>
          <w:p w14:paraId="0B649A98"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1182" w:type="dxa"/>
          </w:tcPr>
          <w:p w14:paraId="2D8B8340"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8,237.11 </w:t>
            </w:r>
          </w:p>
        </w:tc>
        <w:tc>
          <w:tcPr>
            <w:tcW w:w="1313" w:type="dxa"/>
          </w:tcPr>
          <w:p w14:paraId="5C36F368"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8,237.11  </w:t>
            </w:r>
          </w:p>
        </w:tc>
        <w:tc>
          <w:tcPr>
            <w:tcW w:w="1289" w:type="dxa"/>
          </w:tcPr>
          <w:p w14:paraId="4324CFB9"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276.15 </w:t>
            </w:r>
          </w:p>
        </w:tc>
      </w:tr>
      <w:tr w:rsidR="00860F2F" w14:paraId="3054628F"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5240E416"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 xml:space="preserve">Ocoyoacac </w:t>
            </w:r>
          </w:p>
        </w:tc>
        <w:tc>
          <w:tcPr>
            <w:tcW w:w="856" w:type="dxa"/>
            <w:vMerge/>
          </w:tcPr>
          <w:p w14:paraId="1E7AF8A2"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1182" w:type="dxa"/>
          </w:tcPr>
          <w:p w14:paraId="6EA1341E"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2,898.35 </w:t>
            </w:r>
          </w:p>
        </w:tc>
        <w:tc>
          <w:tcPr>
            <w:tcW w:w="1313" w:type="dxa"/>
          </w:tcPr>
          <w:p w14:paraId="395957DD"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2,898.35 </w:t>
            </w:r>
          </w:p>
        </w:tc>
        <w:tc>
          <w:tcPr>
            <w:tcW w:w="1289" w:type="dxa"/>
          </w:tcPr>
          <w:p w14:paraId="338C8198"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86.15 </w:t>
            </w:r>
          </w:p>
        </w:tc>
      </w:tr>
      <w:tr w:rsidR="00DD1E72" w14:paraId="098B0F07" w14:textId="77777777" w:rsidTr="008B2A01">
        <w:tc>
          <w:tcPr>
            <w:cnfStyle w:val="001000000000" w:firstRow="0" w:lastRow="0" w:firstColumn="1" w:lastColumn="0" w:oddVBand="0" w:evenVBand="0" w:oddHBand="0" w:evenHBand="0" w:firstRowFirstColumn="0" w:firstRowLastColumn="0" w:lastRowFirstColumn="0" w:lastRowLastColumn="0"/>
            <w:tcW w:w="1476" w:type="dxa"/>
          </w:tcPr>
          <w:p w14:paraId="3055E696"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 xml:space="preserve">San Antonio la Isla </w:t>
            </w:r>
          </w:p>
        </w:tc>
        <w:tc>
          <w:tcPr>
            <w:tcW w:w="856" w:type="dxa"/>
            <w:vMerge/>
          </w:tcPr>
          <w:p w14:paraId="6A7BCBC7"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1182" w:type="dxa"/>
          </w:tcPr>
          <w:p w14:paraId="2A456F7B"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1,688.80  </w:t>
            </w:r>
          </w:p>
        </w:tc>
        <w:tc>
          <w:tcPr>
            <w:tcW w:w="1313" w:type="dxa"/>
          </w:tcPr>
          <w:p w14:paraId="44D28186"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1,688.80 </w:t>
            </w:r>
          </w:p>
        </w:tc>
        <w:tc>
          <w:tcPr>
            <w:tcW w:w="1289" w:type="dxa"/>
          </w:tcPr>
          <w:p w14:paraId="5ABFC23A"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56.92 </w:t>
            </w:r>
          </w:p>
        </w:tc>
      </w:tr>
      <w:tr w:rsidR="00860F2F" w14:paraId="2F6227DA"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dxa"/>
          </w:tcPr>
          <w:p w14:paraId="36CC3EDC"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Texcalyacac</w:t>
            </w:r>
          </w:p>
        </w:tc>
        <w:tc>
          <w:tcPr>
            <w:tcW w:w="856" w:type="dxa"/>
            <w:vMerge/>
          </w:tcPr>
          <w:p w14:paraId="5494440E"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1182" w:type="dxa"/>
          </w:tcPr>
          <w:p w14:paraId="5703A786"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929.88 </w:t>
            </w:r>
          </w:p>
        </w:tc>
        <w:tc>
          <w:tcPr>
            <w:tcW w:w="1313" w:type="dxa"/>
          </w:tcPr>
          <w:p w14:paraId="423EA2BC"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929.88 </w:t>
            </w:r>
          </w:p>
        </w:tc>
        <w:tc>
          <w:tcPr>
            <w:tcW w:w="1289" w:type="dxa"/>
          </w:tcPr>
          <w:p w14:paraId="77F5E514"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33.06 </w:t>
            </w:r>
          </w:p>
        </w:tc>
      </w:tr>
      <w:tr w:rsidR="00DD1E72" w14:paraId="06175C19" w14:textId="77777777" w:rsidTr="008B2A01">
        <w:tc>
          <w:tcPr>
            <w:cnfStyle w:val="001000000000" w:firstRow="0" w:lastRow="0" w:firstColumn="1" w:lastColumn="0" w:oddVBand="0" w:evenVBand="0" w:oddHBand="0" w:evenHBand="0" w:firstRowFirstColumn="0" w:firstRowLastColumn="0" w:lastRowFirstColumn="0" w:lastRowLastColumn="0"/>
            <w:tcW w:w="1476" w:type="dxa"/>
          </w:tcPr>
          <w:p w14:paraId="639FAC23"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Tianguistenco</w:t>
            </w:r>
          </w:p>
        </w:tc>
        <w:tc>
          <w:tcPr>
            <w:tcW w:w="856" w:type="dxa"/>
            <w:vMerge/>
          </w:tcPr>
          <w:p w14:paraId="7F9BA1AA"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1182" w:type="dxa"/>
          </w:tcPr>
          <w:p w14:paraId="1095E6A1"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5,638.90 </w:t>
            </w:r>
          </w:p>
        </w:tc>
        <w:tc>
          <w:tcPr>
            <w:tcW w:w="1313" w:type="dxa"/>
          </w:tcPr>
          <w:p w14:paraId="61BD694E"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5,638.90 </w:t>
            </w:r>
          </w:p>
        </w:tc>
        <w:tc>
          <w:tcPr>
            <w:tcW w:w="1289" w:type="dxa"/>
          </w:tcPr>
          <w:p w14:paraId="3A7DC5BB" w14:textId="77777777" w:rsidR="00860F2F" w:rsidRPr="0043165E" w:rsidRDefault="00860F2F" w:rsidP="008035D9">
            <w:pPr>
              <w:keepNext/>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43165E">
              <w:rPr>
                <w:rFonts w:ascii="Century Gothic" w:hAnsi="Century Gothic"/>
                <w:sz w:val="20"/>
                <w:szCs w:val="20"/>
              </w:rPr>
              <w:t xml:space="preserve">202.58 </w:t>
            </w:r>
          </w:p>
        </w:tc>
      </w:tr>
    </w:tbl>
    <w:p w14:paraId="29EC27FD" w14:textId="4D19F5C5" w:rsidR="00860F2F" w:rsidRDefault="00860F2F" w:rsidP="00860F2F">
      <w:pPr>
        <w:widowControl w:val="0"/>
        <w:autoSpaceDE w:val="0"/>
        <w:autoSpaceDN w:val="0"/>
        <w:spacing w:after="0" w:line="360" w:lineRule="auto"/>
        <w:contextualSpacing/>
        <w:jc w:val="both"/>
      </w:pPr>
      <w:r>
        <w:t>COPLADEM (2024).</w:t>
      </w:r>
    </w:p>
    <w:p w14:paraId="77F65FF4" w14:textId="41CC083B" w:rsidR="00860F2F" w:rsidRDefault="00860F2F" w:rsidP="00860F2F">
      <w:pPr>
        <w:widowControl w:val="0"/>
        <w:autoSpaceDE w:val="0"/>
        <w:autoSpaceDN w:val="0"/>
        <w:spacing w:after="0" w:line="360" w:lineRule="auto"/>
        <w:contextualSpacing/>
        <w:jc w:val="both"/>
      </w:pPr>
    </w:p>
    <w:p w14:paraId="549B33F9" w14:textId="2BFB2D23" w:rsidR="00860F2F" w:rsidRPr="00860F2F" w:rsidRDefault="00860F2F" w:rsidP="00860F2F">
      <w:pPr>
        <w:spacing w:line="360" w:lineRule="auto"/>
        <w:ind w:firstLine="708"/>
        <w:jc w:val="both"/>
        <w:rPr>
          <w:rFonts w:ascii="Century Gothic" w:hAnsi="Century Gothic"/>
          <w:sz w:val="22"/>
          <w:szCs w:val="22"/>
        </w:rPr>
      </w:pPr>
      <w:r w:rsidRPr="00860F2F">
        <w:rPr>
          <w:rFonts w:ascii="Century Gothic" w:hAnsi="Century Gothic"/>
          <w:sz w:val="22"/>
          <w:szCs w:val="22"/>
        </w:rPr>
        <w:t>En el municipio de San Antonio la Isla, durante el año 2022, se registró una superficie sembrada y cosechada de 1,688.80 hectáreas, lo que indica un aprovechamiento total de la tierra cultivada sin pérdidas significativas en la producción agrícola.</w:t>
      </w:r>
    </w:p>
    <w:p w14:paraId="6125BA5C" w14:textId="77777777" w:rsidR="00860F2F" w:rsidRPr="00860F2F" w:rsidRDefault="00860F2F" w:rsidP="00860F2F">
      <w:pPr>
        <w:spacing w:line="360" w:lineRule="auto"/>
        <w:ind w:firstLine="708"/>
        <w:jc w:val="both"/>
        <w:rPr>
          <w:rFonts w:ascii="Century Gothic" w:hAnsi="Century Gothic"/>
          <w:sz w:val="22"/>
          <w:szCs w:val="22"/>
        </w:rPr>
      </w:pPr>
      <w:r w:rsidRPr="00860F2F">
        <w:rPr>
          <w:rFonts w:ascii="Century Gothic" w:hAnsi="Century Gothic"/>
          <w:sz w:val="22"/>
          <w:szCs w:val="22"/>
        </w:rPr>
        <w:t xml:space="preserve">El valor de la producción alcanzó 56.92 millones de pesos, lo que demuestra la importancia del sector </w:t>
      </w:r>
      <w:r w:rsidRPr="00860F2F">
        <w:rPr>
          <w:rFonts w:ascii="Century Gothic" w:hAnsi="Century Gothic"/>
          <w:sz w:val="22"/>
          <w:szCs w:val="22"/>
        </w:rPr>
        <w:t>agrícola en la economía local. Si bien esta cifra es inferior a la de municipios como Lerma (276.15 millones de pesos) o Tianguistenco (202.58 millones de pesos), sigue representando una contribución relevante dentro de la región.</w:t>
      </w:r>
    </w:p>
    <w:p w14:paraId="49B48C69" w14:textId="0B082FFA" w:rsidR="00860F2F" w:rsidRDefault="00860F2F" w:rsidP="00860F2F">
      <w:pPr>
        <w:spacing w:line="360" w:lineRule="auto"/>
        <w:ind w:firstLine="708"/>
        <w:jc w:val="both"/>
        <w:rPr>
          <w:rFonts w:ascii="Century Gothic" w:hAnsi="Century Gothic"/>
          <w:sz w:val="22"/>
          <w:szCs w:val="22"/>
        </w:rPr>
      </w:pPr>
      <w:r w:rsidRPr="00860F2F">
        <w:rPr>
          <w:rFonts w:ascii="Century Gothic" w:hAnsi="Century Gothic"/>
          <w:sz w:val="22"/>
          <w:szCs w:val="22"/>
        </w:rPr>
        <w:t>Este nivel de producción sugiere que San Antonio la Isla mantiene un sector agrícola estable, con potencial de crecimiento si se implementan estrategias para mejorar la productividad, diversificar los cultivos y fortalecer el acceso a mercados más competitivos. Además, al no registrar una diferencia entre la superficie sembrada y cosechada, se puede inferir que las condiciones climáticas y técnicas de cultivo han favorecido un rendimiento eficiente.</w:t>
      </w:r>
    </w:p>
    <w:p w14:paraId="542538A6" w14:textId="77777777" w:rsidR="00860F2F" w:rsidRDefault="00860F2F">
      <w:pPr>
        <w:rPr>
          <w:rFonts w:ascii="Century Gothic" w:hAnsi="Century Gothic"/>
          <w:sz w:val="22"/>
          <w:szCs w:val="22"/>
        </w:rPr>
      </w:pPr>
      <w:r>
        <w:rPr>
          <w:rFonts w:ascii="Century Gothic" w:hAnsi="Century Gothic"/>
          <w:sz w:val="22"/>
          <w:szCs w:val="22"/>
        </w:rPr>
        <w:br w:type="page"/>
      </w:r>
    </w:p>
    <w:p w14:paraId="67F92453" w14:textId="77777777" w:rsidR="00860F2F" w:rsidRDefault="00860F2F" w:rsidP="00860F2F">
      <w:pPr>
        <w:spacing w:line="360" w:lineRule="auto"/>
        <w:ind w:firstLine="708"/>
        <w:jc w:val="both"/>
        <w:rPr>
          <w:rFonts w:ascii="Century Gothic" w:hAnsi="Century Gothic"/>
          <w:sz w:val="22"/>
          <w:szCs w:val="22"/>
        </w:rPr>
        <w:sectPr w:rsidR="00860F2F" w:rsidSect="00CE2E14">
          <w:pgSz w:w="15840" w:h="12240" w:orient="landscape"/>
          <w:pgMar w:top="1440" w:right="1440" w:bottom="1440" w:left="1440" w:header="709" w:footer="709" w:gutter="0"/>
          <w:cols w:num="2" w:space="708"/>
          <w:docGrid w:linePitch="360"/>
        </w:sectPr>
      </w:pPr>
    </w:p>
    <w:p w14:paraId="22F0C4DE" w14:textId="21BCB8D2" w:rsidR="00860F2F" w:rsidRDefault="00860F2F" w:rsidP="00860F2F">
      <w:pPr>
        <w:jc w:val="center"/>
        <w:rPr>
          <w:rFonts w:ascii="Century Gothic" w:hAnsi="Century Gothic"/>
          <w:b/>
          <w:bCs/>
        </w:rPr>
      </w:pPr>
      <w:r w:rsidRPr="000F5957">
        <w:rPr>
          <w:rFonts w:ascii="Century Gothic" w:hAnsi="Century Gothic"/>
          <w:b/>
          <w:bCs/>
        </w:rPr>
        <w:lastRenderedPageBreak/>
        <w:t xml:space="preserve">Producción de </w:t>
      </w:r>
      <w:r>
        <w:rPr>
          <w:rFonts w:ascii="Century Gothic" w:hAnsi="Century Gothic"/>
          <w:b/>
          <w:bCs/>
        </w:rPr>
        <w:t>M</w:t>
      </w:r>
      <w:r w:rsidRPr="000F5957">
        <w:rPr>
          <w:rFonts w:ascii="Century Gothic" w:hAnsi="Century Gothic"/>
          <w:b/>
          <w:bCs/>
        </w:rPr>
        <w:t>aíz, 2022</w:t>
      </w:r>
    </w:p>
    <w:tbl>
      <w:tblPr>
        <w:tblStyle w:val="Tablaconcuadrcula4-nfasis2"/>
        <w:tblW w:w="13203" w:type="dxa"/>
        <w:tblLook w:val="04A0" w:firstRow="1" w:lastRow="0" w:firstColumn="1" w:lastColumn="0" w:noHBand="0" w:noVBand="1"/>
      </w:tblPr>
      <w:tblGrid>
        <w:gridCol w:w="2649"/>
        <w:gridCol w:w="1499"/>
        <w:gridCol w:w="2101"/>
        <w:gridCol w:w="2344"/>
        <w:gridCol w:w="2310"/>
        <w:gridCol w:w="2300"/>
      </w:tblGrid>
      <w:tr w:rsidR="00DD1E72" w14:paraId="35CFCA42" w14:textId="77777777" w:rsidTr="00860F2F">
        <w:trPr>
          <w:cnfStyle w:val="100000000000" w:firstRow="1" w:lastRow="0" w:firstColumn="0" w:lastColumn="0" w:oddVBand="0" w:evenVBand="0" w:oddHBand="0" w:evenHBand="0" w:firstRowFirstColumn="0" w:firstRowLastColumn="0" w:lastRowFirstColumn="0" w:lastRowLastColumn="0"/>
          <w:trHeight w:val="1254"/>
        </w:trPr>
        <w:tc>
          <w:tcPr>
            <w:cnfStyle w:val="001000000000" w:firstRow="0" w:lastRow="0" w:firstColumn="1" w:lastColumn="0" w:oddVBand="0" w:evenVBand="0" w:oddHBand="0" w:evenHBand="0" w:firstRowFirstColumn="0" w:firstRowLastColumn="0" w:lastRowFirstColumn="0" w:lastRowLastColumn="0"/>
            <w:tcW w:w="2649" w:type="dxa"/>
          </w:tcPr>
          <w:p w14:paraId="24912582" w14:textId="77777777" w:rsidR="00860F2F" w:rsidRDefault="00860F2F" w:rsidP="008035D9">
            <w:pPr>
              <w:jc w:val="center"/>
              <w:rPr>
                <w:rFonts w:ascii="Century Gothic" w:hAnsi="Century Gothic"/>
                <w:b w:val="0"/>
                <w:bCs w:val="0"/>
              </w:rPr>
            </w:pPr>
            <w:r>
              <w:rPr>
                <w:rFonts w:ascii="Century Gothic" w:hAnsi="Century Gothic"/>
                <w:b w:val="0"/>
                <w:bCs w:val="0"/>
              </w:rPr>
              <w:t>Municipio</w:t>
            </w:r>
          </w:p>
        </w:tc>
        <w:tc>
          <w:tcPr>
            <w:tcW w:w="1499" w:type="dxa"/>
          </w:tcPr>
          <w:p w14:paraId="6F58BC2C"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Región</w:t>
            </w:r>
          </w:p>
        </w:tc>
        <w:tc>
          <w:tcPr>
            <w:tcW w:w="2101" w:type="dxa"/>
          </w:tcPr>
          <w:p w14:paraId="3A37DCEB"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Sembrada (Ha)</w:t>
            </w:r>
          </w:p>
        </w:tc>
        <w:tc>
          <w:tcPr>
            <w:tcW w:w="2344" w:type="dxa"/>
          </w:tcPr>
          <w:p w14:paraId="0C2303CF"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Cosechada (Ha)</w:t>
            </w:r>
          </w:p>
        </w:tc>
        <w:tc>
          <w:tcPr>
            <w:tcW w:w="2310" w:type="dxa"/>
          </w:tcPr>
          <w:p w14:paraId="3655C6E9"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b w:val="0"/>
                <w:bCs w:val="0"/>
              </w:rPr>
              <w:t>Producción</w:t>
            </w:r>
          </w:p>
          <w:p w14:paraId="13BCA0A7"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Pr>
                <w:rFonts w:ascii="Century Gothic" w:hAnsi="Century Gothic"/>
                <w:b w:val="0"/>
                <w:bCs w:val="0"/>
              </w:rPr>
              <w:t>(Toneladas)</w:t>
            </w:r>
          </w:p>
        </w:tc>
        <w:tc>
          <w:tcPr>
            <w:tcW w:w="2300" w:type="dxa"/>
          </w:tcPr>
          <w:p w14:paraId="466BEF80" w14:textId="77777777" w:rsidR="00860F2F" w:rsidRDefault="00860F2F" w:rsidP="008035D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rPr>
            </w:pPr>
            <w:r w:rsidRPr="000F5957">
              <w:rPr>
                <w:rFonts w:ascii="Century Gothic" w:hAnsi="Century Gothic"/>
                <w:b w:val="0"/>
                <w:bCs w:val="0"/>
              </w:rPr>
              <w:t>Valor de producción (Millones de pesos)</w:t>
            </w:r>
          </w:p>
        </w:tc>
      </w:tr>
      <w:tr w:rsidR="00860F2F" w14:paraId="7C5A50BA" w14:textId="77777777" w:rsidTr="00860F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148" w:type="dxa"/>
            <w:gridSpan w:val="2"/>
          </w:tcPr>
          <w:p w14:paraId="7F8F07C3" w14:textId="77777777" w:rsidR="00860F2F" w:rsidRDefault="00860F2F" w:rsidP="008035D9">
            <w:pPr>
              <w:jc w:val="center"/>
              <w:rPr>
                <w:rFonts w:ascii="Century Gothic" w:hAnsi="Century Gothic"/>
                <w:b w:val="0"/>
                <w:bCs w:val="0"/>
              </w:rPr>
            </w:pPr>
            <w:r>
              <w:rPr>
                <w:rFonts w:ascii="Century Gothic" w:hAnsi="Century Gothic"/>
                <w:b w:val="0"/>
                <w:bCs w:val="0"/>
              </w:rPr>
              <w:t>Estado de México</w:t>
            </w:r>
          </w:p>
        </w:tc>
        <w:tc>
          <w:tcPr>
            <w:tcW w:w="2101" w:type="dxa"/>
          </w:tcPr>
          <w:p w14:paraId="2D29B01D"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0F5957">
              <w:rPr>
                <w:rFonts w:ascii="Century Gothic" w:hAnsi="Century Gothic"/>
                <w:b/>
                <w:bCs/>
                <w:sz w:val="20"/>
                <w:szCs w:val="20"/>
              </w:rPr>
              <w:t>467,285.7</w:t>
            </w:r>
          </w:p>
        </w:tc>
        <w:tc>
          <w:tcPr>
            <w:tcW w:w="2344" w:type="dxa"/>
          </w:tcPr>
          <w:p w14:paraId="33560E25"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0F5957">
              <w:rPr>
                <w:rFonts w:ascii="Century Gothic" w:hAnsi="Century Gothic"/>
                <w:b/>
                <w:bCs/>
                <w:sz w:val="20"/>
                <w:szCs w:val="20"/>
              </w:rPr>
              <w:t>461,635.7</w:t>
            </w:r>
          </w:p>
        </w:tc>
        <w:tc>
          <w:tcPr>
            <w:tcW w:w="2310" w:type="dxa"/>
          </w:tcPr>
          <w:p w14:paraId="07697178"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0F5957">
              <w:rPr>
                <w:rFonts w:ascii="Century Gothic" w:hAnsi="Century Gothic"/>
                <w:b/>
                <w:bCs/>
                <w:sz w:val="20"/>
                <w:szCs w:val="20"/>
              </w:rPr>
              <w:t>1,779,468.4</w:t>
            </w:r>
          </w:p>
        </w:tc>
        <w:tc>
          <w:tcPr>
            <w:tcW w:w="2300" w:type="dxa"/>
          </w:tcPr>
          <w:p w14:paraId="7332BBC4"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0F5957">
              <w:rPr>
                <w:rFonts w:ascii="Century Gothic" w:hAnsi="Century Gothic"/>
                <w:b/>
                <w:bCs/>
                <w:sz w:val="20"/>
                <w:szCs w:val="20"/>
              </w:rPr>
              <w:t>13,753.2</w:t>
            </w:r>
          </w:p>
        </w:tc>
      </w:tr>
      <w:tr w:rsidR="00860F2F" w14:paraId="2CDA77B5" w14:textId="77777777" w:rsidTr="00860F2F">
        <w:trPr>
          <w:trHeight w:val="290"/>
        </w:trPr>
        <w:tc>
          <w:tcPr>
            <w:cnfStyle w:val="001000000000" w:firstRow="0" w:lastRow="0" w:firstColumn="1" w:lastColumn="0" w:oddVBand="0" w:evenVBand="0" w:oddHBand="0" w:evenHBand="0" w:firstRowFirstColumn="0" w:firstRowLastColumn="0" w:lastRowFirstColumn="0" w:lastRowLastColumn="0"/>
            <w:tcW w:w="2649" w:type="dxa"/>
          </w:tcPr>
          <w:p w14:paraId="2FD7D998"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Atizapán</w:t>
            </w:r>
          </w:p>
        </w:tc>
        <w:tc>
          <w:tcPr>
            <w:tcW w:w="1499" w:type="dxa"/>
            <w:vMerge w:val="restart"/>
          </w:tcPr>
          <w:p w14:paraId="06C376F6"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13B76D92"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7EF34856"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562B0453"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p w14:paraId="4B51D25F" w14:textId="77777777" w:rsid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r>
              <w:rPr>
                <w:rFonts w:ascii="Century Gothic" w:hAnsi="Century Gothic"/>
                <w:b/>
                <w:bCs/>
              </w:rPr>
              <w:t>Región 16: Lerma</w:t>
            </w:r>
          </w:p>
        </w:tc>
        <w:tc>
          <w:tcPr>
            <w:tcW w:w="2101" w:type="dxa"/>
          </w:tcPr>
          <w:p w14:paraId="1D0067C5"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A72B9">
              <w:t xml:space="preserve">420.8 </w:t>
            </w:r>
          </w:p>
        </w:tc>
        <w:tc>
          <w:tcPr>
            <w:tcW w:w="2344" w:type="dxa"/>
          </w:tcPr>
          <w:p w14:paraId="3399C191"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A72B9">
              <w:t xml:space="preserve">420.8 </w:t>
            </w:r>
          </w:p>
        </w:tc>
        <w:tc>
          <w:tcPr>
            <w:tcW w:w="2310" w:type="dxa"/>
          </w:tcPr>
          <w:p w14:paraId="2CA398B7"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A72B9">
              <w:t xml:space="preserve">1,514.88 </w:t>
            </w:r>
          </w:p>
        </w:tc>
        <w:tc>
          <w:tcPr>
            <w:tcW w:w="2300" w:type="dxa"/>
          </w:tcPr>
          <w:p w14:paraId="1B26716F"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A72B9">
              <w:t xml:space="preserve">11.93 </w:t>
            </w:r>
          </w:p>
        </w:tc>
      </w:tr>
      <w:tr w:rsidR="00DD1E72" w14:paraId="5279D48C" w14:textId="77777777" w:rsidTr="00860F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9" w:type="dxa"/>
          </w:tcPr>
          <w:p w14:paraId="542F2010"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Capulhuac</w:t>
            </w:r>
          </w:p>
        </w:tc>
        <w:tc>
          <w:tcPr>
            <w:tcW w:w="1499" w:type="dxa"/>
            <w:vMerge/>
          </w:tcPr>
          <w:p w14:paraId="2EEDE054"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2101" w:type="dxa"/>
          </w:tcPr>
          <w:p w14:paraId="76C3BA2C"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8D2947">
              <w:t xml:space="preserve">653.35 </w:t>
            </w:r>
          </w:p>
        </w:tc>
        <w:tc>
          <w:tcPr>
            <w:tcW w:w="2344" w:type="dxa"/>
          </w:tcPr>
          <w:p w14:paraId="4DCA2B03"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8D2947">
              <w:t xml:space="preserve">653.35 </w:t>
            </w:r>
          </w:p>
        </w:tc>
        <w:tc>
          <w:tcPr>
            <w:tcW w:w="2310" w:type="dxa"/>
          </w:tcPr>
          <w:p w14:paraId="5FE0E3D6"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8D2947">
              <w:t xml:space="preserve">2,842.00 </w:t>
            </w:r>
          </w:p>
        </w:tc>
        <w:tc>
          <w:tcPr>
            <w:tcW w:w="2300" w:type="dxa"/>
          </w:tcPr>
          <w:p w14:paraId="51916919"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8D2947">
              <w:t xml:space="preserve">22.20 </w:t>
            </w:r>
          </w:p>
        </w:tc>
      </w:tr>
      <w:tr w:rsidR="00860F2F" w14:paraId="7E06948A" w14:textId="77777777" w:rsidTr="00860F2F">
        <w:trPr>
          <w:trHeight w:val="583"/>
        </w:trPr>
        <w:tc>
          <w:tcPr>
            <w:cnfStyle w:val="001000000000" w:firstRow="0" w:lastRow="0" w:firstColumn="1" w:lastColumn="0" w:oddVBand="0" w:evenVBand="0" w:oddHBand="0" w:evenHBand="0" w:firstRowFirstColumn="0" w:firstRowLastColumn="0" w:lastRowFirstColumn="0" w:lastRowLastColumn="0"/>
            <w:tcW w:w="2649" w:type="dxa"/>
          </w:tcPr>
          <w:p w14:paraId="26DBF15A" w14:textId="77777777" w:rsidR="00860F2F" w:rsidRPr="0043165E" w:rsidRDefault="00860F2F" w:rsidP="008035D9">
            <w:pPr>
              <w:jc w:val="both"/>
              <w:rPr>
                <w:rFonts w:ascii="Century Gothic" w:hAnsi="Century Gothic"/>
                <w:b w:val="0"/>
                <w:bCs w:val="0"/>
              </w:rPr>
            </w:pPr>
            <w:r>
              <w:rPr>
                <w:rFonts w:ascii="Century Gothic" w:hAnsi="Century Gothic"/>
                <w:b w:val="0"/>
                <w:bCs w:val="0"/>
              </w:rPr>
              <w:t>Almoloya del Río</w:t>
            </w:r>
          </w:p>
        </w:tc>
        <w:tc>
          <w:tcPr>
            <w:tcW w:w="1499" w:type="dxa"/>
            <w:vMerge/>
          </w:tcPr>
          <w:p w14:paraId="5EC6D226"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2101" w:type="dxa"/>
          </w:tcPr>
          <w:p w14:paraId="0C78EE73"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894767">
              <w:t xml:space="preserve">202 </w:t>
            </w:r>
          </w:p>
        </w:tc>
        <w:tc>
          <w:tcPr>
            <w:tcW w:w="2344" w:type="dxa"/>
          </w:tcPr>
          <w:p w14:paraId="166061CF"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894767">
              <w:t xml:space="preserve">202 </w:t>
            </w:r>
          </w:p>
        </w:tc>
        <w:tc>
          <w:tcPr>
            <w:tcW w:w="2310" w:type="dxa"/>
          </w:tcPr>
          <w:p w14:paraId="0A95063D"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894767">
              <w:t xml:space="preserve">775.68 </w:t>
            </w:r>
          </w:p>
        </w:tc>
        <w:tc>
          <w:tcPr>
            <w:tcW w:w="2300" w:type="dxa"/>
          </w:tcPr>
          <w:p w14:paraId="121D02F1"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894767">
              <w:t xml:space="preserve">6.11 </w:t>
            </w:r>
          </w:p>
        </w:tc>
      </w:tr>
      <w:tr w:rsidR="00DD1E72" w14:paraId="4B543403" w14:textId="77777777" w:rsidTr="00860F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9" w:type="dxa"/>
          </w:tcPr>
          <w:p w14:paraId="5D7D6CCA"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Xalatlaco</w:t>
            </w:r>
          </w:p>
        </w:tc>
        <w:tc>
          <w:tcPr>
            <w:tcW w:w="1499" w:type="dxa"/>
            <w:vMerge/>
          </w:tcPr>
          <w:p w14:paraId="2FC3688F"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2101" w:type="dxa"/>
          </w:tcPr>
          <w:p w14:paraId="768F145B"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17244">
              <w:t xml:space="preserve">838 </w:t>
            </w:r>
          </w:p>
        </w:tc>
        <w:tc>
          <w:tcPr>
            <w:tcW w:w="2344" w:type="dxa"/>
          </w:tcPr>
          <w:p w14:paraId="6A0CE22A"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17244">
              <w:t xml:space="preserve">838 </w:t>
            </w:r>
          </w:p>
        </w:tc>
        <w:tc>
          <w:tcPr>
            <w:tcW w:w="2310" w:type="dxa"/>
          </w:tcPr>
          <w:p w14:paraId="0B4D4FE2"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17244">
              <w:t xml:space="preserve">2,933.00 </w:t>
            </w:r>
          </w:p>
        </w:tc>
        <w:tc>
          <w:tcPr>
            <w:tcW w:w="2300" w:type="dxa"/>
          </w:tcPr>
          <w:p w14:paraId="2FFE56C9"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317244">
              <w:t xml:space="preserve">23.22 </w:t>
            </w:r>
          </w:p>
        </w:tc>
      </w:tr>
      <w:tr w:rsidR="00860F2F" w14:paraId="4F84BA2D" w14:textId="77777777" w:rsidTr="00860F2F">
        <w:trPr>
          <w:trHeight w:val="290"/>
        </w:trPr>
        <w:tc>
          <w:tcPr>
            <w:cnfStyle w:val="001000000000" w:firstRow="0" w:lastRow="0" w:firstColumn="1" w:lastColumn="0" w:oddVBand="0" w:evenVBand="0" w:oddHBand="0" w:evenHBand="0" w:firstRowFirstColumn="0" w:firstRowLastColumn="0" w:lastRowFirstColumn="0" w:lastRowLastColumn="0"/>
            <w:tcW w:w="2649" w:type="dxa"/>
          </w:tcPr>
          <w:p w14:paraId="785C2C81"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Lerma</w:t>
            </w:r>
          </w:p>
        </w:tc>
        <w:tc>
          <w:tcPr>
            <w:tcW w:w="1499" w:type="dxa"/>
            <w:vMerge/>
          </w:tcPr>
          <w:p w14:paraId="032453C4"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2101" w:type="dxa"/>
          </w:tcPr>
          <w:p w14:paraId="23AE4645"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A71EE">
              <w:t xml:space="preserve">7,915.45 </w:t>
            </w:r>
          </w:p>
        </w:tc>
        <w:tc>
          <w:tcPr>
            <w:tcW w:w="2344" w:type="dxa"/>
          </w:tcPr>
          <w:p w14:paraId="6FCA8428"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A71EE">
              <w:t xml:space="preserve">7,915.45 </w:t>
            </w:r>
          </w:p>
        </w:tc>
        <w:tc>
          <w:tcPr>
            <w:tcW w:w="2310" w:type="dxa"/>
          </w:tcPr>
          <w:p w14:paraId="473CE120"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A71EE">
              <w:t xml:space="preserve">32,650.04 </w:t>
            </w:r>
          </w:p>
        </w:tc>
        <w:tc>
          <w:tcPr>
            <w:tcW w:w="2300" w:type="dxa"/>
          </w:tcPr>
          <w:p w14:paraId="0595665D"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2A71EE">
              <w:t xml:space="preserve">256.23 </w:t>
            </w:r>
          </w:p>
        </w:tc>
      </w:tr>
      <w:tr w:rsidR="00DD1E72" w14:paraId="134FC6C1" w14:textId="77777777" w:rsidTr="00860F2F">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649" w:type="dxa"/>
          </w:tcPr>
          <w:p w14:paraId="31E739A0"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 xml:space="preserve">Ocoyoacac </w:t>
            </w:r>
          </w:p>
        </w:tc>
        <w:tc>
          <w:tcPr>
            <w:tcW w:w="1499" w:type="dxa"/>
            <w:vMerge/>
          </w:tcPr>
          <w:p w14:paraId="0E9A6A79"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2101" w:type="dxa"/>
          </w:tcPr>
          <w:p w14:paraId="54F35209"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9A2E5B">
              <w:t xml:space="preserve">2,705.17 </w:t>
            </w:r>
          </w:p>
        </w:tc>
        <w:tc>
          <w:tcPr>
            <w:tcW w:w="2344" w:type="dxa"/>
          </w:tcPr>
          <w:p w14:paraId="159F184F"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9A2E5B">
              <w:t xml:space="preserve">2,705.17 </w:t>
            </w:r>
          </w:p>
        </w:tc>
        <w:tc>
          <w:tcPr>
            <w:tcW w:w="2310" w:type="dxa"/>
          </w:tcPr>
          <w:p w14:paraId="13745DE7"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9A2E5B">
              <w:t xml:space="preserve">10,225.54 81.36 </w:t>
            </w:r>
          </w:p>
        </w:tc>
        <w:tc>
          <w:tcPr>
            <w:tcW w:w="2300" w:type="dxa"/>
          </w:tcPr>
          <w:p w14:paraId="72431A2B"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9A2E5B">
              <w:t xml:space="preserve">81.36 </w:t>
            </w:r>
          </w:p>
        </w:tc>
      </w:tr>
      <w:tr w:rsidR="00860F2F" w14:paraId="132CA3B9" w14:textId="77777777" w:rsidTr="00860F2F">
        <w:trPr>
          <w:trHeight w:val="583"/>
        </w:trPr>
        <w:tc>
          <w:tcPr>
            <w:cnfStyle w:val="001000000000" w:firstRow="0" w:lastRow="0" w:firstColumn="1" w:lastColumn="0" w:oddVBand="0" w:evenVBand="0" w:oddHBand="0" w:evenHBand="0" w:firstRowFirstColumn="0" w:firstRowLastColumn="0" w:lastRowFirstColumn="0" w:lastRowLastColumn="0"/>
            <w:tcW w:w="2649" w:type="dxa"/>
          </w:tcPr>
          <w:p w14:paraId="76889993"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 xml:space="preserve">San Antonio la Isla </w:t>
            </w:r>
          </w:p>
        </w:tc>
        <w:tc>
          <w:tcPr>
            <w:tcW w:w="1499" w:type="dxa"/>
            <w:vMerge/>
          </w:tcPr>
          <w:p w14:paraId="717896D5"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2101" w:type="dxa"/>
          </w:tcPr>
          <w:p w14:paraId="3A3F6217"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66567E">
              <w:t xml:space="preserve">1,520.00 </w:t>
            </w:r>
          </w:p>
        </w:tc>
        <w:tc>
          <w:tcPr>
            <w:tcW w:w="2344" w:type="dxa"/>
          </w:tcPr>
          <w:p w14:paraId="2CA2D7CF"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66567E">
              <w:t xml:space="preserve">1,520.00 </w:t>
            </w:r>
          </w:p>
        </w:tc>
        <w:tc>
          <w:tcPr>
            <w:tcW w:w="2310" w:type="dxa"/>
          </w:tcPr>
          <w:p w14:paraId="7E3DF6AA"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66567E">
              <w:t xml:space="preserve">6,399.20 </w:t>
            </w:r>
          </w:p>
        </w:tc>
        <w:tc>
          <w:tcPr>
            <w:tcW w:w="2300" w:type="dxa"/>
          </w:tcPr>
          <w:p w14:paraId="2A2CC920"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66567E">
              <w:t xml:space="preserve">50.29 </w:t>
            </w:r>
          </w:p>
        </w:tc>
      </w:tr>
      <w:tr w:rsidR="00DD1E72" w14:paraId="1C321717" w14:textId="77777777" w:rsidTr="00860F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649" w:type="dxa"/>
          </w:tcPr>
          <w:p w14:paraId="3291B48B"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Texcalyacac</w:t>
            </w:r>
          </w:p>
        </w:tc>
        <w:tc>
          <w:tcPr>
            <w:tcW w:w="1499" w:type="dxa"/>
            <w:vMerge/>
          </w:tcPr>
          <w:p w14:paraId="1AC80526" w14:textId="77777777" w:rsidR="00860F2F"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rPr>
            </w:pPr>
          </w:p>
        </w:tc>
        <w:tc>
          <w:tcPr>
            <w:tcW w:w="2101" w:type="dxa"/>
          </w:tcPr>
          <w:p w14:paraId="067A55AE"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650F2">
              <w:t xml:space="preserve">787 </w:t>
            </w:r>
          </w:p>
        </w:tc>
        <w:tc>
          <w:tcPr>
            <w:tcW w:w="2344" w:type="dxa"/>
          </w:tcPr>
          <w:p w14:paraId="1E35A3A5"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650F2">
              <w:t xml:space="preserve">787 </w:t>
            </w:r>
          </w:p>
        </w:tc>
        <w:tc>
          <w:tcPr>
            <w:tcW w:w="2310" w:type="dxa"/>
          </w:tcPr>
          <w:p w14:paraId="0AD3A399"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650F2">
              <w:t xml:space="preserve">3,344.75 </w:t>
            </w:r>
          </w:p>
        </w:tc>
        <w:tc>
          <w:tcPr>
            <w:tcW w:w="2300" w:type="dxa"/>
          </w:tcPr>
          <w:p w14:paraId="7437CFF6" w14:textId="77777777" w:rsidR="00860F2F" w:rsidRPr="0043165E" w:rsidRDefault="00860F2F" w:rsidP="008035D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sz w:val="20"/>
                <w:szCs w:val="20"/>
              </w:rPr>
            </w:pPr>
            <w:r w:rsidRPr="004650F2">
              <w:t xml:space="preserve">26.22 </w:t>
            </w:r>
          </w:p>
        </w:tc>
      </w:tr>
      <w:tr w:rsidR="00860F2F" w14:paraId="40A5DC00" w14:textId="77777777" w:rsidTr="00860F2F">
        <w:trPr>
          <w:trHeight w:val="290"/>
        </w:trPr>
        <w:tc>
          <w:tcPr>
            <w:cnfStyle w:val="001000000000" w:firstRow="0" w:lastRow="0" w:firstColumn="1" w:lastColumn="0" w:oddVBand="0" w:evenVBand="0" w:oddHBand="0" w:evenHBand="0" w:firstRowFirstColumn="0" w:firstRowLastColumn="0" w:lastRowFirstColumn="0" w:lastRowLastColumn="0"/>
            <w:tcW w:w="2649" w:type="dxa"/>
          </w:tcPr>
          <w:p w14:paraId="48AC979C" w14:textId="77777777" w:rsidR="00860F2F" w:rsidRPr="0043165E" w:rsidRDefault="00860F2F" w:rsidP="008035D9">
            <w:pPr>
              <w:jc w:val="both"/>
              <w:rPr>
                <w:rFonts w:ascii="Century Gothic" w:hAnsi="Century Gothic"/>
                <w:b w:val="0"/>
                <w:bCs w:val="0"/>
              </w:rPr>
            </w:pPr>
            <w:r w:rsidRPr="0043165E">
              <w:rPr>
                <w:rFonts w:ascii="Century Gothic" w:hAnsi="Century Gothic"/>
                <w:b w:val="0"/>
                <w:bCs w:val="0"/>
              </w:rPr>
              <w:t>Tianguistenco</w:t>
            </w:r>
          </w:p>
        </w:tc>
        <w:tc>
          <w:tcPr>
            <w:tcW w:w="1499" w:type="dxa"/>
            <w:vMerge/>
          </w:tcPr>
          <w:p w14:paraId="204115BD" w14:textId="77777777" w:rsidR="00860F2F"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rPr>
            </w:pPr>
          </w:p>
        </w:tc>
        <w:tc>
          <w:tcPr>
            <w:tcW w:w="2101" w:type="dxa"/>
          </w:tcPr>
          <w:p w14:paraId="7BEBB3DF"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346C8D">
              <w:t xml:space="preserve">4,299.05 </w:t>
            </w:r>
          </w:p>
        </w:tc>
        <w:tc>
          <w:tcPr>
            <w:tcW w:w="2344" w:type="dxa"/>
          </w:tcPr>
          <w:p w14:paraId="1C606567" w14:textId="77777777" w:rsidR="00860F2F" w:rsidRPr="0043165E" w:rsidRDefault="00860F2F" w:rsidP="008035D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346C8D">
              <w:t xml:space="preserve">4,299.05 </w:t>
            </w:r>
          </w:p>
        </w:tc>
        <w:tc>
          <w:tcPr>
            <w:tcW w:w="2310" w:type="dxa"/>
          </w:tcPr>
          <w:p w14:paraId="391EEFC5" w14:textId="77777777" w:rsidR="00860F2F" w:rsidRPr="0043165E" w:rsidRDefault="00860F2F" w:rsidP="008035D9">
            <w:pPr>
              <w:keepNext/>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346C8D">
              <w:t xml:space="preserve">18,270.96 </w:t>
            </w:r>
          </w:p>
        </w:tc>
        <w:tc>
          <w:tcPr>
            <w:tcW w:w="2300" w:type="dxa"/>
          </w:tcPr>
          <w:p w14:paraId="72E119C0" w14:textId="77777777" w:rsidR="00860F2F" w:rsidRPr="0043165E" w:rsidRDefault="00860F2F" w:rsidP="008035D9">
            <w:pPr>
              <w:keepNext/>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346C8D">
              <w:t xml:space="preserve">141.97 </w:t>
            </w:r>
          </w:p>
        </w:tc>
      </w:tr>
    </w:tbl>
    <w:p w14:paraId="537A046A" w14:textId="2D6DBF01" w:rsidR="00860F2F" w:rsidRDefault="00860F2F" w:rsidP="00860F2F">
      <w:pPr>
        <w:spacing w:line="360" w:lineRule="auto"/>
        <w:ind w:firstLine="708"/>
        <w:jc w:val="both"/>
        <w:rPr>
          <w:rFonts w:ascii="Century Gothic" w:hAnsi="Century Gothic"/>
          <w:sz w:val="22"/>
          <w:szCs w:val="22"/>
        </w:rPr>
      </w:pPr>
      <w:r>
        <w:rPr>
          <w:rFonts w:ascii="Century Gothic" w:hAnsi="Century Gothic"/>
          <w:sz w:val="22"/>
          <w:szCs w:val="22"/>
        </w:rPr>
        <w:t>Fuente: COPLADEM 2024</w:t>
      </w:r>
    </w:p>
    <w:p w14:paraId="6645556A" w14:textId="600B264E" w:rsidR="00860F2F" w:rsidRDefault="00860F2F">
      <w:pPr>
        <w:rPr>
          <w:rFonts w:ascii="Century Gothic" w:hAnsi="Century Gothic"/>
          <w:sz w:val="22"/>
          <w:szCs w:val="22"/>
        </w:rPr>
      </w:pPr>
      <w:r>
        <w:rPr>
          <w:rFonts w:ascii="Century Gothic" w:hAnsi="Century Gothic"/>
          <w:sz w:val="22"/>
          <w:szCs w:val="22"/>
        </w:rPr>
        <w:br w:type="page"/>
      </w:r>
    </w:p>
    <w:p w14:paraId="0C4DDBE8" w14:textId="77777777" w:rsidR="00860F2F" w:rsidRDefault="00860F2F" w:rsidP="00860F2F">
      <w:pPr>
        <w:spacing w:line="360" w:lineRule="auto"/>
        <w:ind w:firstLine="708"/>
        <w:jc w:val="both"/>
        <w:rPr>
          <w:rFonts w:ascii="Century Gothic" w:hAnsi="Century Gothic"/>
          <w:sz w:val="22"/>
          <w:szCs w:val="22"/>
        </w:rPr>
        <w:sectPr w:rsidR="00860F2F" w:rsidSect="00CE2E14">
          <w:pgSz w:w="15840" w:h="12240" w:orient="landscape"/>
          <w:pgMar w:top="1440" w:right="1440" w:bottom="1440" w:left="1440" w:header="709" w:footer="709" w:gutter="0"/>
          <w:cols w:space="708"/>
          <w:docGrid w:linePitch="360"/>
        </w:sectPr>
      </w:pPr>
    </w:p>
    <w:p w14:paraId="4927AD97" w14:textId="77777777" w:rsidR="00860F2F" w:rsidRPr="00860F2F" w:rsidRDefault="00860F2F" w:rsidP="00860F2F">
      <w:pPr>
        <w:spacing w:line="360" w:lineRule="auto"/>
        <w:jc w:val="both"/>
        <w:rPr>
          <w:rFonts w:ascii="Century Gothic" w:hAnsi="Century Gothic"/>
          <w:sz w:val="22"/>
          <w:szCs w:val="22"/>
        </w:rPr>
      </w:pPr>
      <w:r w:rsidRPr="00860F2F">
        <w:rPr>
          <w:rFonts w:ascii="Century Gothic" w:hAnsi="Century Gothic"/>
          <w:sz w:val="22"/>
          <w:szCs w:val="22"/>
        </w:rPr>
        <w:lastRenderedPageBreak/>
        <w:t>El sector primario en San Antonio la Isla está conformado por las actividades económicas relacionadas con la transformación de los recursos naturales en productos primarios no elaborados. Las principales actividades del sector primario son la agricultura, la minería, la ganadería y la pesca, entre otros. Son productos no procesados.</w:t>
      </w:r>
    </w:p>
    <w:p w14:paraId="123B5E0A" w14:textId="79153078" w:rsidR="00860F2F" w:rsidRDefault="00860F2F" w:rsidP="00860F2F">
      <w:pPr>
        <w:spacing w:line="360" w:lineRule="auto"/>
        <w:jc w:val="both"/>
        <w:rPr>
          <w:rFonts w:ascii="Century Gothic" w:hAnsi="Century Gothic"/>
          <w:sz w:val="22"/>
          <w:szCs w:val="22"/>
        </w:rPr>
      </w:pPr>
      <w:r w:rsidRPr="00860F2F">
        <w:rPr>
          <w:rFonts w:ascii="Century Gothic" w:hAnsi="Century Gothic"/>
          <w:sz w:val="22"/>
          <w:szCs w:val="22"/>
        </w:rPr>
        <w:t>Los desafíos de San Antonio la Isla agraria y del campo se refieren a la pobreza y la desigualdad persistentes en las áreas rurales, donde muchos campesinos y agricultores enfrentan dificultades para acceder a recursos, servicios y mercados; un problema crítico para muchos campesinos enfrenta la pérdida de sus tierras y recursos debido a la expansión de la agricultura industrial y la urbanización y la agricultura intensiva y la deforestación han llevado a la degradación ambiental y la pérdida de biodiversidad en muchas áreas rurales.</w:t>
      </w:r>
    </w:p>
    <w:p w14:paraId="2A967C64" w14:textId="77777777" w:rsidR="00860F2F" w:rsidRPr="00860F2F" w:rsidRDefault="00860F2F" w:rsidP="005A1ADF">
      <w:pPr>
        <w:widowControl w:val="0"/>
        <w:numPr>
          <w:ilvl w:val="0"/>
          <w:numId w:val="27"/>
        </w:numPr>
        <w:autoSpaceDE w:val="0"/>
        <w:autoSpaceDN w:val="0"/>
        <w:spacing w:after="0" w:line="360" w:lineRule="auto"/>
        <w:contextualSpacing/>
        <w:jc w:val="both"/>
        <w:rPr>
          <w:rFonts w:ascii="Century Gothic" w:eastAsia="Verdana" w:hAnsi="Century Gothic" w:cs="Verdana"/>
          <w:b/>
          <w:bCs/>
          <w:color w:val="025850"/>
          <w:sz w:val="22"/>
          <w:szCs w:val="22"/>
          <w:lang w:val="es-ES"/>
        </w:rPr>
      </w:pPr>
      <w:r w:rsidRPr="00860F2F">
        <w:rPr>
          <w:rFonts w:ascii="Century Gothic" w:eastAsia="Verdana" w:hAnsi="Century Gothic" w:cs="Verdana"/>
          <w:b/>
          <w:bCs/>
          <w:color w:val="025850"/>
          <w:sz w:val="22"/>
          <w:szCs w:val="22"/>
          <w:lang w:val="es-ES"/>
        </w:rPr>
        <w:t>Movilidad segura y de calidad</w:t>
      </w:r>
    </w:p>
    <w:p w14:paraId="6A2ED547"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r w:rsidRPr="00860F2F">
        <w:rPr>
          <w:rFonts w:ascii="Century Gothic" w:eastAsia="Verdana" w:hAnsi="Century Gothic" w:cs="Verdana"/>
          <w:color w:val="000000" w:themeColor="text1"/>
          <w:sz w:val="22"/>
          <w:szCs w:val="22"/>
          <w:lang w:val="es-ES"/>
        </w:rPr>
        <w:t xml:space="preserve">Los problemas de movilidad en San Antonio la Isla constituyen un desafío considerable y requieren soluciones que aborden de manera integral las necesidades específicas del municipio. Si bien no se disponen de datos estadísticos actualizados sobre la </w:t>
      </w:r>
      <w:r w:rsidRPr="00860F2F">
        <w:rPr>
          <w:rFonts w:ascii="Century Gothic" w:eastAsia="Verdana" w:hAnsi="Century Gothic" w:cs="Verdana"/>
          <w:color w:val="000000" w:themeColor="text1"/>
          <w:sz w:val="22"/>
          <w:szCs w:val="22"/>
          <w:lang w:val="es-ES"/>
        </w:rPr>
        <w:t>movilidad y el transporte en el municipio, es pertinente señalar que las autoridades locales han venido implementando una serie de acciones y estrategias, con el objetivo de mejorar la infraestructura vial y promover una movilidad más eficiente, segura y accesible para todos los habitantes.</w:t>
      </w:r>
    </w:p>
    <w:p w14:paraId="21B8F38A"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p>
    <w:p w14:paraId="4F63BA71"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r w:rsidRPr="00860F2F">
        <w:rPr>
          <w:rFonts w:ascii="Century Gothic" w:eastAsia="Verdana" w:hAnsi="Century Gothic" w:cs="Verdana"/>
          <w:color w:val="000000" w:themeColor="text1"/>
          <w:sz w:val="22"/>
          <w:szCs w:val="22"/>
          <w:lang w:val="es-ES"/>
        </w:rPr>
        <w:t>La movilidad segura y de calidad es un derecho fundamental reconocido constitucionalmente, que garantiza el acceso equitativo y seguro a servicios y oportunidades para todos los ciudadanos. En este contexto, en San Antonio la Isla se reconoce la importancia de desarrollar políticas públicas orientadas a fomentar una movilidad accesible, eficiente, segura y equitativa, adaptándose a las condiciones y necesidades de la población. En dicho sentido, las acciones emprendidas por el gobierno municipal buscan dar cumplimiento a este derecho fundamental, estableciendo medidas que promuevan una movilidad más sostenible y respetuosa con el entorno.</w:t>
      </w:r>
    </w:p>
    <w:p w14:paraId="3FF45B91"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p>
    <w:p w14:paraId="1C698D57"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r w:rsidRPr="00860F2F">
        <w:rPr>
          <w:rFonts w:ascii="Century Gothic" w:eastAsia="Verdana" w:hAnsi="Century Gothic" w:cs="Verdana"/>
          <w:color w:val="000000" w:themeColor="text1"/>
          <w:sz w:val="22"/>
          <w:szCs w:val="22"/>
          <w:lang w:val="es-ES"/>
        </w:rPr>
        <w:t xml:space="preserve">La infraestructura vial y carretera en el municipio es un elemento crucial para el desarrollo económico y social, </w:t>
      </w:r>
      <w:r w:rsidRPr="00860F2F">
        <w:rPr>
          <w:rFonts w:ascii="Century Gothic" w:eastAsia="Verdana" w:hAnsi="Century Gothic" w:cs="Verdana"/>
          <w:color w:val="000000" w:themeColor="text1"/>
          <w:sz w:val="22"/>
          <w:szCs w:val="22"/>
          <w:lang w:val="es-ES"/>
        </w:rPr>
        <w:lastRenderedPageBreak/>
        <w:t xml:space="preserve">ya que facilita el intercambio de personas, bienes y servicios dentro y fuera del municipio. Las principales vías de circulación, tales como las calles Benito Juárez y Vicente Villada en la cabecera municipal, así como Álvaro Obregón en la localidad de San Lucas </w:t>
      </w:r>
      <w:proofErr w:type="spellStart"/>
      <w:r w:rsidRPr="00860F2F">
        <w:rPr>
          <w:rFonts w:ascii="Century Gothic" w:eastAsia="Verdana" w:hAnsi="Century Gothic" w:cs="Verdana"/>
          <w:color w:val="000000" w:themeColor="text1"/>
          <w:sz w:val="22"/>
          <w:szCs w:val="22"/>
          <w:lang w:val="es-ES"/>
        </w:rPr>
        <w:t>Tepemajalco</w:t>
      </w:r>
      <w:proofErr w:type="spellEnd"/>
      <w:r w:rsidRPr="00860F2F">
        <w:rPr>
          <w:rFonts w:ascii="Century Gothic" w:eastAsia="Verdana" w:hAnsi="Century Gothic" w:cs="Verdana"/>
          <w:color w:val="000000" w:themeColor="text1"/>
          <w:sz w:val="22"/>
          <w:szCs w:val="22"/>
          <w:lang w:val="es-ES"/>
        </w:rPr>
        <w:t>, forman parte del sistema vial que asegura la conectividad interna del municipio. Estas vías permiten mejorar el flujo vehicular, favoreciendo la movilidad tanto de los habitantes locales como de aquellos que se trasladan desde municipios aledaños.</w:t>
      </w:r>
    </w:p>
    <w:p w14:paraId="185FF6E8"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p>
    <w:p w14:paraId="348FF3E1"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r w:rsidRPr="00860F2F">
        <w:rPr>
          <w:rFonts w:ascii="Century Gothic" w:eastAsia="Verdana" w:hAnsi="Century Gothic" w:cs="Verdana"/>
          <w:color w:val="000000" w:themeColor="text1"/>
          <w:sz w:val="22"/>
          <w:szCs w:val="22"/>
          <w:lang w:val="es-ES"/>
        </w:rPr>
        <w:t>En términos de conectividad externa, el municipio de San Antonio la Isla se beneficia de su ubicación estratégica, atravesado por la carretera federal Toluca-Tenango, que conecta a los habitantes del municipio con la Ciudad de Toluca y otras localidades cercanas. Además, la autopista Tres Marías, que pasa por varios municipios cercanos, refuerza la conectividad intermunicipal y regional, permitiendo una mayor integración del municipio en el contexto de la red de comunicaciones del Estado de México.</w:t>
      </w:r>
    </w:p>
    <w:p w14:paraId="118BD12A"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p>
    <w:p w14:paraId="3BE3E43E"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color w:val="000000" w:themeColor="text1"/>
          <w:sz w:val="22"/>
          <w:szCs w:val="22"/>
          <w:lang w:val="es-ES"/>
        </w:rPr>
      </w:pPr>
      <w:r w:rsidRPr="00860F2F">
        <w:rPr>
          <w:rFonts w:ascii="Century Gothic" w:eastAsia="Verdana" w:hAnsi="Century Gothic" w:cs="Verdana"/>
          <w:color w:val="000000" w:themeColor="text1"/>
          <w:sz w:val="22"/>
          <w:szCs w:val="22"/>
          <w:lang w:val="es-ES"/>
        </w:rPr>
        <w:t xml:space="preserve">A pesar de los avances alcanzados en la infraestructura </w:t>
      </w:r>
      <w:r w:rsidRPr="00860F2F">
        <w:rPr>
          <w:rFonts w:ascii="Century Gothic" w:eastAsia="Verdana" w:hAnsi="Century Gothic" w:cs="Verdana"/>
          <w:color w:val="000000" w:themeColor="text1"/>
          <w:sz w:val="22"/>
          <w:szCs w:val="22"/>
          <w:lang w:val="es-ES"/>
        </w:rPr>
        <w:t xml:space="preserve">vial, la movilidad dentro del municipio sigue enfrentando desafíos, especialmente en la delegación de San Lucas </w:t>
      </w:r>
      <w:proofErr w:type="spellStart"/>
      <w:r w:rsidRPr="00860F2F">
        <w:rPr>
          <w:rFonts w:ascii="Century Gothic" w:eastAsia="Verdana" w:hAnsi="Century Gothic" w:cs="Verdana"/>
          <w:color w:val="000000" w:themeColor="text1"/>
          <w:sz w:val="22"/>
          <w:szCs w:val="22"/>
          <w:lang w:val="es-ES"/>
        </w:rPr>
        <w:t>Tepemajalco</w:t>
      </w:r>
      <w:proofErr w:type="spellEnd"/>
      <w:r w:rsidRPr="00860F2F">
        <w:rPr>
          <w:rFonts w:ascii="Century Gothic" w:eastAsia="Verdana" w:hAnsi="Century Gothic" w:cs="Verdana"/>
          <w:color w:val="000000" w:themeColor="text1"/>
          <w:sz w:val="22"/>
          <w:szCs w:val="22"/>
          <w:lang w:val="es-ES"/>
        </w:rPr>
        <w:t>, donde los habitantes dependen principalmente de los servicios de mototaxis y taxis para su traslado. Esta limitación en los medios de transporte disponibles pone de manifiesto la necesidad de continuar con la inversión en infraestructura vial y en la mejora de los servicios de transporte público, con el fin de asegurar que todos los habitantes del municipio puedan acceder a una movilidad segura, eficiente y accesible.</w:t>
      </w:r>
    </w:p>
    <w:p w14:paraId="1A95126B"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b/>
          <w:bCs/>
          <w:color w:val="FF0000"/>
          <w:sz w:val="22"/>
          <w:szCs w:val="22"/>
          <w:lang w:val="es-ES"/>
        </w:rPr>
      </w:pPr>
    </w:p>
    <w:p w14:paraId="17EC4649" w14:textId="508A463F" w:rsidR="00860F2F" w:rsidRPr="00860F2F" w:rsidRDefault="00860F2F" w:rsidP="005A1ADF">
      <w:pPr>
        <w:widowControl w:val="0"/>
        <w:numPr>
          <w:ilvl w:val="0"/>
          <w:numId w:val="27"/>
        </w:numPr>
        <w:autoSpaceDE w:val="0"/>
        <w:autoSpaceDN w:val="0"/>
        <w:spacing w:after="0" w:line="360" w:lineRule="auto"/>
        <w:contextualSpacing/>
        <w:jc w:val="both"/>
        <w:rPr>
          <w:rFonts w:ascii="Century Gothic" w:eastAsia="Verdana" w:hAnsi="Century Gothic" w:cs="Verdana"/>
          <w:b/>
          <w:color w:val="025850"/>
          <w:sz w:val="22"/>
          <w:szCs w:val="22"/>
          <w:lang w:val="es-ES"/>
        </w:rPr>
      </w:pPr>
      <w:r w:rsidRPr="00860F2F">
        <w:rPr>
          <w:rFonts w:ascii="Century Gothic" w:eastAsia="Verdana" w:hAnsi="Century Gothic" w:cs="Verdana"/>
          <w:b/>
          <w:color w:val="025850"/>
          <w:sz w:val="22"/>
          <w:szCs w:val="22"/>
          <w:lang w:val="es-ES"/>
        </w:rPr>
        <w:t>Infraestructura urbana y rural</w:t>
      </w:r>
    </w:p>
    <w:p w14:paraId="692EBE28" w14:textId="737528CE" w:rsidR="00860F2F" w:rsidRPr="00860F2F" w:rsidRDefault="00860F2F" w:rsidP="00860F2F">
      <w:pPr>
        <w:spacing w:line="360" w:lineRule="auto"/>
        <w:jc w:val="both"/>
        <w:rPr>
          <w:rFonts w:ascii="Century Gothic" w:eastAsia="Verdana" w:hAnsi="Century Gothic" w:cs="Verdana"/>
          <w:bCs/>
          <w:sz w:val="22"/>
          <w:szCs w:val="22"/>
          <w:lang w:val="es-ES"/>
        </w:rPr>
      </w:pPr>
      <w:r w:rsidRPr="00860F2F">
        <w:rPr>
          <w:rFonts w:ascii="Century Gothic" w:eastAsia="Verdana" w:hAnsi="Century Gothic" w:cs="Verdana"/>
          <w:bCs/>
          <w:sz w:val="22"/>
          <w:szCs w:val="22"/>
          <w:lang w:val="es-ES"/>
        </w:rPr>
        <w:t>Tanto la zona rural como la zona urbana tienen sus propias características y dinámicas distintas que afectan la forma en que las personas viven y se relacionan entre sí. Comprender estas diferencias nos ayudará a apreciar y valorar la diversidad y complejidad de la sociedad en la que vivimos.</w:t>
      </w:r>
    </w:p>
    <w:p w14:paraId="4141FB85" w14:textId="77777777" w:rsidR="00860F2F" w:rsidRPr="00860F2F" w:rsidRDefault="00860F2F" w:rsidP="00860F2F">
      <w:pPr>
        <w:spacing w:line="360" w:lineRule="auto"/>
        <w:ind w:firstLine="360"/>
        <w:jc w:val="both"/>
        <w:rPr>
          <w:rFonts w:ascii="Century Gothic" w:eastAsia="Verdana" w:hAnsi="Century Gothic" w:cs="Verdana"/>
          <w:b/>
          <w:bCs/>
          <w:sz w:val="22"/>
          <w:szCs w:val="22"/>
        </w:rPr>
      </w:pPr>
      <w:r w:rsidRPr="00860F2F">
        <w:rPr>
          <w:rFonts w:ascii="Century Gothic" w:eastAsia="Verdana" w:hAnsi="Century Gothic" w:cs="Verdana"/>
          <w:b/>
          <w:bCs/>
          <w:sz w:val="22"/>
          <w:szCs w:val="22"/>
        </w:rPr>
        <w:t>Ambiente</w:t>
      </w:r>
    </w:p>
    <w:p w14:paraId="1B5AE1E1" w14:textId="77777777" w:rsidR="00860F2F" w:rsidRPr="00860F2F" w:rsidRDefault="00860F2F" w:rsidP="005A1ADF">
      <w:pPr>
        <w:widowControl w:val="0"/>
        <w:numPr>
          <w:ilvl w:val="0"/>
          <w:numId w:val="28"/>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Diferencias en el entorno natural y el paisaje:</w:t>
      </w:r>
      <w:r w:rsidRPr="00860F2F">
        <w:rPr>
          <w:rFonts w:ascii="Century Gothic" w:eastAsia="Verdana" w:hAnsi="Century Gothic" w:cs="Verdana"/>
          <w:bCs/>
          <w:sz w:val="22"/>
          <w:szCs w:val="22"/>
        </w:rPr>
        <w:t xml:space="preserve"> La zona rural se caracteriza por amplias extensiones de tierra, campos abiertos y áreas verdes, mientras </w:t>
      </w:r>
      <w:r w:rsidRPr="00860F2F">
        <w:rPr>
          <w:rFonts w:ascii="Century Gothic" w:eastAsia="Verdana" w:hAnsi="Century Gothic" w:cs="Verdana"/>
          <w:bCs/>
          <w:sz w:val="22"/>
          <w:szCs w:val="22"/>
        </w:rPr>
        <w:lastRenderedPageBreak/>
        <w:t>que la zona urbana tiene una mayor concentración de edificios, calles y espacios urbanizados.</w:t>
      </w:r>
    </w:p>
    <w:p w14:paraId="08982FEF" w14:textId="77777777" w:rsidR="00860F2F" w:rsidRPr="00860F2F" w:rsidRDefault="00860F2F" w:rsidP="005A1ADF">
      <w:pPr>
        <w:widowControl w:val="0"/>
        <w:numPr>
          <w:ilvl w:val="0"/>
          <w:numId w:val="28"/>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Impacto en la salud y bienestar:</w:t>
      </w:r>
      <w:r w:rsidRPr="00860F2F">
        <w:rPr>
          <w:rFonts w:ascii="Century Gothic" w:eastAsia="Verdana" w:hAnsi="Century Gothic" w:cs="Verdana"/>
          <w:bCs/>
          <w:sz w:val="22"/>
          <w:szCs w:val="22"/>
        </w:rPr>
        <w:t> La vida en la zona rural puede ofrecer un ambiente más tranquilo y menos contaminado, lo que puede ser beneficioso para la salud mental y física de las personas. En contraste, la zona urbana a menudo enfrenta problemas como el smog y la contaminación acústica.</w:t>
      </w:r>
    </w:p>
    <w:p w14:paraId="5173AA55" w14:textId="77777777" w:rsidR="00860F2F" w:rsidRPr="00860F2F" w:rsidRDefault="00860F2F" w:rsidP="005A1ADF">
      <w:pPr>
        <w:widowControl w:val="0"/>
        <w:numPr>
          <w:ilvl w:val="0"/>
          <w:numId w:val="28"/>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Acceso a la naturaleza y actividades al aire libre:</w:t>
      </w:r>
      <w:r w:rsidRPr="00860F2F">
        <w:rPr>
          <w:rFonts w:ascii="Century Gothic" w:eastAsia="Verdana" w:hAnsi="Century Gothic" w:cs="Verdana"/>
          <w:bCs/>
          <w:sz w:val="22"/>
          <w:szCs w:val="22"/>
        </w:rPr>
        <w:t> Las personas en la zona rural tienen acceso más directo a la naturaleza, lo que facilita practicar actividades al aire libre como senderismo, pesca y camping. En la zona urbana, aunque pueden existir parques y áreas verdes, el acceso a la naturaleza puede ser más limitado.</w:t>
      </w:r>
    </w:p>
    <w:p w14:paraId="5D5A55CB" w14:textId="77777777" w:rsidR="00860F2F" w:rsidRPr="00860F2F" w:rsidRDefault="00860F2F" w:rsidP="005A1ADF">
      <w:pPr>
        <w:widowControl w:val="0"/>
        <w:numPr>
          <w:ilvl w:val="0"/>
          <w:numId w:val="28"/>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Alimentos en zona rural y urbana:</w:t>
      </w:r>
      <w:r w:rsidRPr="00860F2F">
        <w:rPr>
          <w:rFonts w:ascii="Century Gothic" w:eastAsia="Verdana" w:hAnsi="Century Gothic" w:cs="Verdana"/>
          <w:bCs/>
          <w:sz w:val="22"/>
          <w:szCs w:val="22"/>
        </w:rPr>
        <w:t> La disponibilidad y variedad de alimentos también difiere, ya que en la zona rural es común encontrar productos frescos y de temporada, mientras que en la zona urbana puede haber una mayor diversidad de opciones internacionales y procesadas.</w:t>
      </w:r>
    </w:p>
    <w:p w14:paraId="6D9A418F" w14:textId="77777777" w:rsidR="00860F2F" w:rsidRPr="00860F2F" w:rsidRDefault="00860F2F" w:rsidP="00860F2F">
      <w:pPr>
        <w:spacing w:line="360" w:lineRule="auto"/>
        <w:ind w:firstLine="360"/>
        <w:jc w:val="both"/>
        <w:rPr>
          <w:rFonts w:ascii="Century Gothic" w:eastAsia="Verdana" w:hAnsi="Century Gothic" w:cs="Verdana"/>
          <w:b/>
          <w:bCs/>
          <w:sz w:val="22"/>
          <w:szCs w:val="22"/>
        </w:rPr>
      </w:pPr>
      <w:r w:rsidRPr="00860F2F">
        <w:rPr>
          <w:rFonts w:ascii="Century Gothic" w:eastAsia="Verdana" w:hAnsi="Century Gothic" w:cs="Verdana"/>
          <w:b/>
          <w:bCs/>
          <w:sz w:val="22"/>
          <w:szCs w:val="22"/>
        </w:rPr>
        <w:t>Infraestructura</w:t>
      </w:r>
    </w:p>
    <w:p w14:paraId="51D1EB9B" w14:textId="77777777" w:rsidR="00860F2F" w:rsidRPr="00860F2F" w:rsidRDefault="00860F2F" w:rsidP="005A1ADF">
      <w:pPr>
        <w:widowControl w:val="0"/>
        <w:numPr>
          <w:ilvl w:val="0"/>
          <w:numId w:val="29"/>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Transporte:</w:t>
      </w:r>
      <w:r w:rsidRPr="00860F2F">
        <w:rPr>
          <w:rFonts w:ascii="Century Gothic" w:eastAsia="Verdana" w:hAnsi="Century Gothic" w:cs="Verdana"/>
          <w:bCs/>
          <w:sz w:val="22"/>
          <w:szCs w:val="22"/>
        </w:rPr>
        <w:t> La zona urbana cuenta con sistemas de transporte público más desarrollados y accesibles, mientras que, en la zona rural, los medios de transporte suelen ser menos frecuentes y dependientes del coche propio.</w:t>
      </w:r>
    </w:p>
    <w:p w14:paraId="7D487F6F" w14:textId="77777777" w:rsidR="00860F2F" w:rsidRPr="00860F2F" w:rsidRDefault="00860F2F" w:rsidP="005A1ADF">
      <w:pPr>
        <w:widowControl w:val="0"/>
        <w:numPr>
          <w:ilvl w:val="0"/>
          <w:numId w:val="29"/>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Conectividad:</w:t>
      </w:r>
      <w:r w:rsidRPr="00860F2F">
        <w:rPr>
          <w:rFonts w:ascii="Century Gothic" w:eastAsia="Verdana" w:hAnsi="Century Gothic" w:cs="Verdana"/>
          <w:bCs/>
          <w:sz w:val="22"/>
          <w:szCs w:val="22"/>
        </w:rPr>
        <w:t xml:space="preserve"> En la zona urbana, el acceso a internet y la cobertura telefónica suelen ser </w:t>
      </w:r>
      <w:proofErr w:type="gramStart"/>
      <w:r w:rsidRPr="00860F2F">
        <w:rPr>
          <w:rFonts w:ascii="Century Gothic" w:eastAsia="Verdana" w:hAnsi="Century Gothic" w:cs="Verdana"/>
          <w:bCs/>
          <w:sz w:val="22"/>
          <w:szCs w:val="22"/>
        </w:rPr>
        <w:t>más confiables y más rápidos</w:t>
      </w:r>
      <w:proofErr w:type="gramEnd"/>
      <w:r w:rsidRPr="00860F2F">
        <w:rPr>
          <w:rFonts w:ascii="Century Gothic" w:eastAsia="Verdana" w:hAnsi="Century Gothic" w:cs="Verdana"/>
          <w:bCs/>
          <w:sz w:val="22"/>
          <w:szCs w:val="22"/>
        </w:rPr>
        <w:t>, mientras que en la zona rural puede haber limitaciones y zonas sin señal.</w:t>
      </w:r>
    </w:p>
    <w:p w14:paraId="614DB544" w14:textId="77777777" w:rsidR="00860F2F" w:rsidRPr="00860F2F" w:rsidRDefault="00860F2F" w:rsidP="005A1ADF">
      <w:pPr>
        <w:widowControl w:val="0"/>
        <w:numPr>
          <w:ilvl w:val="0"/>
          <w:numId w:val="29"/>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Servicios básicos:</w:t>
      </w:r>
      <w:r w:rsidRPr="00860F2F">
        <w:rPr>
          <w:rFonts w:ascii="Century Gothic" w:eastAsia="Verdana" w:hAnsi="Century Gothic" w:cs="Verdana"/>
          <w:bCs/>
          <w:sz w:val="22"/>
          <w:szCs w:val="22"/>
        </w:rPr>
        <w:t> La zona urbana generalmente cuenta con una mayor cantidad y variedad de servicios públicos, como hospitales, escuelas, supermercados y centros de entretenimiento, en comparación con la zona rural, donde estos servicios pueden estar menos disponibles o más distantes.</w:t>
      </w:r>
    </w:p>
    <w:p w14:paraId="7D2FD9ED" w14:textId="77777777" w:rsidR="00860F2F" w:rsidRPr="00860F2F" w:rsidRDefault="00860F2F" w:rsidP="00860F2F">
      <w:pPr>
        <w:spacing w:line="360" w:lineRule="auto"/>
        <w:ind w:firstLine="360"/>
        <w:jc w:val="both"/>
        <w:rPr>
          <w:rFonts w:ascii="Century Gothic" w:eastAsia="Verdana" w:hAnsi="Century Gothic" w:cs="Verdana"/>
          <w:b/>
          <w:bCs/>
          <w:sz w:val="22"/>
          <w:szCs w:val="22"/>
        </w:rPr>
      </w:pPr>
      <w:r w:rsidRPr="00860F2F">
        <w:rPr>
          <w:rFonts w:ascii="Century Gothic" w:eastAsia="Verdana" w:hAnsi="Century Gothic" w:cs="Verdana"/>
          <w:b/>
          <w:bCs/>
          <w:sz w:val="22"/>
          <w:szCs w:val="22"/>
        </w:rPr>
        <w:t>Comunidad</w:t>
      </w:r>
    </w:p>
    <w:p w14:paraId="2FC84C57" w14:textId="77777777" w:rsidR="00860F2F" w:rsidRPr="00860F2F" w:rsidRDefault="00860F2F" w:rsidP="005A1ADF">
      <w:pPr>
        <w:widowControl w:val="0"/>
        <w:numPr>
          <w:ilvl w:val="0"/>
          <w:numId w:val="30"/>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Tamaño y densidad de población:</w:t>
      </w:r>
      <w:r w:rsidRPr="00860F2F">
        <w:rPr>
          <w:rFonts w:ascii="Century Gothic" w:eastAsia="Verdana" w:hAnsi="Century Gothic" w:cs="Verdana"/>
          <w:bCs/>
          <w:sz w:val="22"/>
          <w:szCs w:val="22"/>
        </w:rPr>
        <w:t xml:space="preserve"> La zona urbana tiende a ser más densamente poblada, con una mayor concentración de personas y una mayor diversidad cultural. La zona rural, en cambio, </w:t>
      </w:r>
      <w:r w:rsidRPr="00860F2F">
        <w:rPr>
          <w:rFonts w:ascii="Century Gothic" w:eastAsia="Verdana" w:hAnsi="Century Gothic" w:cs="Verdana"/>
          <w:bCs/>
          <w:sz w:val="22"/>
          <w:szCs w:val="22"/>
        </w:rPr>
        <w:lastRenderedPageBreak/>
        <w:t>puede ser más pequeña y tener una población más homogénea.</w:t>
      </w:r>
    </w:p>
    <w:p w14:paraId="3225672B" w14:textId="77777777" w:rsidR="00860F2F" w:rsidRPr="00860F2F" w:rsidRDefault="00860F2F" w:rsidP="005A1ADF">
      <w:pPr>
        <w:widowControl w:val="0"/>
        <w:numPr>
          <w:ilvl w:val="0"/>
          <w:numId w:val="30"/>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Relaciones sociales:</w:t>
      </w:r>
      <w:r w:rsidRPr="00860F2F">
        <w:rPr>
          <w:rFonts w:ascii="Century Gothic" w:eastAsia="Verdana" w:hAnsi="Century Gothic" w:cs="Verdana"/>
          <w:bCs/>
          <w:sz w:val="22"/>
          <w:szCs w:val="22"/>
        </w:rPr>
        <w:t> En la zona rural, es más común que las personas se conozcan y tengan relaciones cercanas, mientras que, en la zona urbana, las interacciones sociales pueden ser menos frecuentes y más anónimas.</w:t>
      </w:r>
    </w:p>
    <w:p w14:paraId="5FF3B3FC" w14:textId="77777777" w:rsidR="00860F2F" w:rsidRPr="00860F2F" w:rsidRDefault="00860F2F" w:rsidP="005A1ADF">
      <w:pPr>
        <w:widowControl w:val="0"/>
        <w:numPr>
          <w:ilvl w:val="0"/>
          <w:numId w:val="30"/>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Sentimiento de comunidad:</w:t>
      </w:r>
      <w:r w:rsidRPr="00860F2F">
        <w:rPr>
          <w:rFonts w:ascii="Century Gothic" w:eastAsia="Verdana" w:hAnsi="Century Gothic" w:cs="Verdana"/>
          <w:bCs/>
          <w:sz w:val="22"/>
          <w:szCs w:val="22"/>
        </w:rPr>
        <w:t xml:space="preserve"> La comunidad en la zona rural a menudo se basa en una mayor colaboración y apoyo mutuo, mientras </w:t>
      </w:r>
      <w:proofErr w:type="gramStart"/>
      <w:r w:rsidRPr="00860F2F">
        <w:rPr>
          <w:rFonts w:ascii="Century Gothic" w:eastAsia="Verdana" w:hAnsi="Century Gothic" w:cs="Verdana"/>
          <w:bCs/>
          <w:sz w:val="22"/>
          <w:szCs w:val="22"/>
        </w:rPr>
        <w:t>que</w:t>
      </w:r>
      <w:proofErr w:type="gramEnd"/>
      <w:r w:rsidRPr="00860F2F">
        <w:rPr>
          <w:rFonts w:ascii="Century Gothic" w:eastAsia="Verdana" w:hAnsi="Century Gothic" w:cs="Verdana"/>
          <w:bCs/>
          <w:sz w:val="22"/>
          <w:szCs w:val="22"/>
        </w:rPr>
        <w:t xml:space="preserve"> en la zona urbana, el sentimiento de comunidad puede ser menos pronunciado debido a la falta de interacciones diarias entre vecinos.</w:t>
      </w:r>
    </w:p>
    <w:p w14:paraId="234CC2CF" w14:textId="77777777" w:rsidR="00860F2F" w:rsidRPr="00860F2F" w:rsidRDefault="00860F2F" w:rsidP="005A1ADF">
      <w:pPr>
        <w:widowControl w:val="0"/>
        <w:numPr>
          <w:ilvl w:val="0"/>
          <w:numId w:val="30"/>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Semejanzas entre zona rural y urbana:</w:t>
      </w:r>
      <w:r w:rsidRPr="00860F2F">
        <w:rPr>
          <w:rFonts w:ascii="Century Gothic" w:eastAsia="Verdana" w:hAnsi="Century Gothic" w:cs="Verdana"/>
          <w:bCs/>
          <w:sz w:val="22"/>
          <w:szCs w:val="22"/>
        </w:rPr>
        <w:t> A pesar de sus diferencias, ambas zonas comparten ciertas características, como la búsqueda de calidad de vida, el deseo de sentirse seguros, la importancia de la educación, la necesidad de empleo y la valoración de las relaciones humanas.</w:t>
      </w:r>
    </w:p>
    <w:p w14:paraId="52DA4721" w14:textId="77777777" w:rsidR="00860F2F" w:rsidRPr="00860F2F" w:rsidRDefault="00860F2F" w:rsidP="00860F2F">
      <w:pPr>
        <w:spacing w:line="360" w:lineRule="auto"/>
        <w:ind w:firstLine="360"/>
        <w:jc w:val="both"/>
        <w:rPr>
          <w:rFonts w:ascii="Century Gothic" w:eastAsia="Verdana" w:hAnsi="Century Gothic" w:cs="Verdana"/>
          <w:b/>
          <w:bCs/>
          <w:sz w:val="22"/>
          <w:szCs w:val="22"/>
        </w:rPr>
      </w:pPr>
      <w:r w:rsidRPr="00860F2F">
        <w:rPr>
          <w:rFonts w:ascii="Century Gothic" w:eastAsia="Verdana" w:hAnsi="Century Gothic" w:cs="Verdana"/>
          <w:b/>
          <w:bCs/>
          <w:sz w:val="22"/>
          <w:szCs w:val="22"/>
        </w:rPr>
        <w:t>Oportunidades de empleo</w:t>
      </w:r>
    </w:p>
    <w:p w14:paraId="1AE7A537" w14:textId="77777777" w:rsidR="00860F2F" w:rsidRPr="00860F2F" w:rsidRDefault="00860F2F" w:rsidP="005A1ADF">
      <w:pPr>
        <w:widowControl w:val="0"/>
        <w:numPr>
          <w:ilvl w:val="0"/>
          <w:numId w:val="31"/>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Diversidad de industrias y sectores:</w:t>
      </w:r>
      <w:r w:rsidRPr="00860F2F">
        <w:rPr>
          <w:rFonts w:ascii="Century Gothic" w:eastAsia="Verdana" w:hAnsi="Century Gothic" w:cs="Verdana"/>
          <w:bCs/>
          <w:sz w:val="22"/>
          <w:szCs w:val="22"/>
        </w:rPr>
        <w:t xml:space="preserve"> La zona urbana suele ofrecer una mayor variedad de </w:t>
      </w:r>
      <w:r w:rsidRPr="00860F2F">
        <w:rPr>
          <w:rFonts w:ascii="Century Gothic" w:eastAsia="Verdana" w:hAnsi="Century Gothic" w:cs="Verdana"/>
          <w:bCs/>
          <w:sz w:val="22"/>
          <w:szCs w:val="22"/>
        </w:rPr>
        <w:t xml:space="preserve">oportunidades de empleo en sectores como tecnología, finanzas, moda y arte, mientras que la zona rural puede depender más de industrias como la agricultura, la ganadería y el </w:t>
      </w:r>
      <w:r w:rsidRPr="00860F2F">
        <w:rPr>
          <w:rFonts w:ascii="Century Gothic" w:eastAsia="Verdana" w:hAnsi="Century Gothic" w:cs="Verdana"/>
          <w:bCs/>
          <w:color w:val="000000" w:themeColor="text1"/>
          <w:sz w:val="22"/>
          <w:szCs w:val="22"/>
        </w:rPr>
        <w:t>turismo rural.</w:t>
      </w:r>
    </w:p>
    <w:p w14:paraId="43B9FBDB" w14:textId="77777777" w:rsidR="00860F2F" w:rsidRPr="00860F2F" w:rsidRDefault="00860F2F" w:rsidP="005A1ADF">
      <w:pPr>
        <w:widowControl w:val="0"/>
        <w:numPr>
          <w:ilvl w:val="0"/>
          <w:numId w:val="31"/>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Niveles de empleo y salarios:</w:t>
      </w:r>
      <w:r w:rsidRPr="00860F2F">
        <w:rPr>
          <w:rFonts w:ascii="Century Gothic" w:eastAsia="Verdana" w:hAnsi="Century Gothic" w:cs="Verdana"/>
          <w:bCs/>
          <w:sz w:val="22"/>
          <w:szCs w:val="22"/>
        </w:rPr>
        <w:t> los trabajos en la zona urbana suelen pagar salarios más altos debido a la mayor demanda y competencia, mientras que, en la zona rural, los sueldos pueden ser más bajos.</w:t>
      </w:r>
    </w:p>
    <w:p w14:paraId="50FFE855" w14:textId="77777777" w:rsidR="00860F2F" w:rsidRPr="00860F2F" w:rsidRDefault="00860F2F" w:rsidP="005A1ADF">
      <w:pPr>
        <w:widowControl w:val="0"/>
        <w:numPr>
          <w:ilvl w:val="0"/>
          <w:numId w:val="31"/>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Desplazamiento laboral:</w:t>
      </w:r>
      <w:r w:rsidRPr="00860F2F">
        <w:rPr>
          <w:rFonts w:ascii="Century Gothic" w:eastAsia="Verdana" w:hAnsi="Century Gothic" w:cs="Verdana"/>
          <w:bCs/>
          <w:sz w:val="22"/>
          <w:szCs w:val="22"/>
        </w:rPr>
        <w:t> en la zona rural, puede haber una mayor migración a la zona urbana en busca de oportunidades de empleo, lo que puede tener un impacto en la demografía y economía de ambas áreas.</w:t>
      </w:r>
    </w:p>
    <w:p w14:paraId="0480F4AD" w14:textId="77777777" w:rsidR="00860F2F" w:rsidRPr="00860F2F" w:rsidRDefault="00860F2F" w:rsidP="00860F2F">
      <w:pPr>
        <w:spacing w:line="360" w:lineRule="auto"/>
        <w:ind w:firstLine="360"/>
        <w:jc w:val="both"/>
        <w:rPr>
          <w:rFonts w:ascii="Century Gothic" w:eastAsia="Verdana" w:hAnsi="Century Gothic" w:cs="Verdana"/>
          <w:b/>
          <w:bCs/>
          <w:sz w:val="22"/>
          <w:szCs w:val="22"/>
        </w:rPr>
      </w:pPr>
      <w:r w:rsidRPr="00860F2F">
        <w:rPr>
          <w:rFonts w:ascii="Century Gothic" w:eastAsia="Verdana" w:hAnsi="Century Gothic" w:cs="Verdana"/>
          <w:b/>
          <w:bCs/>
          <w:sz w:val="22"/>
          <w:szCs w:val="22"/>
        </w:rPr>
        <w:t>Calidad de vida</w:t>
      </w:r>
    </w:p>
    <w:p w14:paraId="6237449F" w14:textId="77777777" w:rsidR="00860F2F" w:rsidRDefault="00860F2F" w:rsidP="005A1ADF">
      <w:pPr>
        <w:widowControl w:val="0"/>
        <w:numPr>
          <w:ilvl w:val="0"/>
          <w:numId w:val="32"/>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Costo de vida:</w:t>
      </w:r>
      <w:r w:rsidRPr="00860F2F">
        <w:rPr>
          <w:rFonts w:ascii="Century Gothic" w:eastAsia="Verdana" w:hAnsi="Century Gothic" w:cs="Verdana"/>
          <w:bCs/>
          <w:sz w:val="22"/>
          <w:szCs w:val="22"/>
        </w:rPr>
        <w:t> generalmente, la vida en la zona rural es más económica, con costos de vivienda, alimentos y servicios más bajos en comparación con la zona urbana, donde los precios pueden ser más altos debido a la demanda y la disponibilidad limitada.</w:t>
      </w:r>
    </w:p>
    <w:p w14:paraId="6FFA508B" w14:textId="77777777" w:rsidR="000D3D0E" w:rsidRPr="00860F2F" w:rsidRDefault="000D3D0E" w:rsidP="000D3D0E">
      <w:pPr>
        <w:widowControl w:val="0"/>
        <w:autoSpaceDE w:val="0"/>
        <w:autoSpaceDN w:val="0"/>
        <w:spacing w:after="0" w:line="360" w:lineRule="auto"/>
        <w:ind w:left="720"/>
        <w:jc w:val="both"/>
        <w:rPr>
          <w:rFonts w:ascii="Century Gothic" w:eastAsia="Verdana" w:hAnsi="Century Gothic" w:cs="Verdana"/>
          <w:bCs/>
          <w:sz w:val="22"/>
          <w:szCs w:val="22"/>
        </w:rPr>
      </w:pPr>
    </w:p>
    <w:p w14:paraId="7D50754E" w14:textId="77777777" w:rsidR="00860F2F" w:rsidRPr="00860F2F" w:rsidRDefault="00860F2F" w:rsidP="005A1ADF">
      <w:pPr>
        <w:widowControl w:val="0"/>
        <w:numPr>
          <w:ilvl w:val="0"/>
          <w:numId w:val="32"/>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lastRenderedPageBreak/>
        <w:t>Acceso a servicios y comodidades:</w:t>
      </w:r>
      <w:r w:rsidRPr="00860F2F">
        <w:rPr>
          <w:rFonts w:ascii="Century Gothic" w:eastAsia="Verdana" w:hAnsi="Century Gothic" w:cs="Verdana"/>
          <w:bCs/>
          <w:sz w:val="22"/>
          <w:szCs w:val="22"/>
        </w:rPr>
        <w:t> si bien la zona rural puede tener menos servicios disponibles, también puede proporcionar una mayor sensación de paz y tranquilidad. En la zona urbana, aunque hay más opciones y comodidades, también existe la posibilidad de enfrentar problemas como el ruido y la congestión.</w:t>
      </w:r>
    </w:p>
    <w:p w14:paraId="12B1209C" w14:textId="77777777" w:rsidR="00860F2F" w:rsidRPr="00860F2F" w:rsidRDefault="00860F2F" w:rsidP="005A1ADF">
      <w:pPr>
        <w:widowControl w:val="0"/>
        <w:numPr>
          <w:ilvl w:val="0"/>
          <w:numId w:val="32"/>
        </w:numPr>
        <w:autoSpaceDE w:val="0"/>
        <w:autoSpaceDN w:val="0"/>
        <w:spacing w:after="0" w:line="360" w:lineRule="auto"/>
        <w:jc w:val="both"/>
        <w:rPr>
          <w:rFonts w:ascii="Century Gothic" w:eastAsia="Verdana" w:hAnsi="Century Gothic" w:cs="Verdana"/>
          <w:bCs/>
          <w:sz w:val="22"/>
          <w:szCs w:val="22"/>
        </w:rPr>
      </w:pPr>
      <w:r w:rsidRPr="00860F2F">
        <w:rPr>
          <w:rFonts w:ascii="Century Gothic" w:eastAsia="Verdana" w:hAnsi="Century Gothic" w:cs="Verdana"/>
          <w:b/>
          <w:bCs/>
          <w:sz w:val="22"/>
          <w:szCs w:val="22"/>
        </w:rPr>
        <w:t>Oportunidades de educación:</w:t>
      </w:r>
      <w:r w:rsidRPr="00860F2F">
        <w:rPr>
          <w:rFonts w:ascii="Century Gothic" w:eastAsia="Verdana" w:hAnsi="Century Gothic" w:cs="Verdana"/>
          <w:bCs/>
          <w:sz w:val="22"/>
          <w:szCs w:val="22"/>
        </w:rPr>
        <w:t> la zona urbana generalmente tiene una mayor variedad de instituciones educativas y programas, lo que brinda a las personas más opciones y oportunidades de aprendizaje. En la zona rural, las opciones educativas pueden ser más limitadas.</w:t>
      </w:r>
    </w:p>
    <w:p w14:paraId="303CAA1C"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bCs/>
          <w:sz w:val="22"/>
          <w:szCs w:val="22"/>
          <w:lang w:val="es-ES"/>
        </w:rPr>
      </w:pPr>
      <w:r w:rsidRPr="00860F2F">
        <w:rPr>
          <w:rFonts w:ascii="Century Gothic" w:eastAsia="Verdana" w:hAnsi="Century Gothic" w:cs="Verdana"/>
          <w:bCs/>
          <w:sz w:val="22"/>
          <w:szCs w:val="22"/>
          <w:lang w:val="es-ES"/>
        </w:rPr>
        <w:t>Es importante buscar dotar a los estudiantes de un espacio seguro, funcional y confortable que cubra las necesidades de la comunidad educativa, por lo que es necesario atender problemas relacionados con la construcción, rehabilitación, adaptación, mantenimiento, planeación y seguridad de aulas, pasillos, escaleras, patios de recreo, canchas deportivas, sanitarios, bibliotecas o bardas perimetrales, lo que hace indispensable llevar a cabo acciones de remodelación y mantenimiento preventivo y correctivo.</w:t>
      </w:r>
    </w:p>
    <w:p w14:paraId="2256B8CF" w14:textId="77777777" w:rsidR="00860F2F" w:rsidRPr="00860F2F" w:rsidRDefault="00860F2F" w:rsidP="00860F2F">
      <w:pPr>
        <w:widowControl w:val="0"/>
        <w:autoSpaceDE w:val="0"/>
        <w:autoSpaceDN w:val="0"/>
        <w:spacing w:after="0" w:line="360" w:lineRule="auto"/>
        <w:jc w:val="both"/>
        <w:rPr>
          <w:rFonts w:ascii="Century Gothic" w:eastAsia="Verdana" w:hAnsi="Century Gothic" w:cs="Verdana"/>
          <w:bCs/>
          <w:sz w:val="22"/>
          <w:szCs w:val="22"/>
          <w:lang w:val="es-ES"/>
        </w:rPr>
      </w:pPr>
    </w:p>
    <w:p w14:paraId="73FC9F5C" w14:textId="27B2113E" w:rsidR="00860F2F" w:rsidRDefault="00860F2F" w:rsidP="00860F2F">
      <w:pPr>
        <w:widowControl w:val="0"/>
        <w:autoSpaceDE w:val="0"/>
        <w:autoSpaceDN w:val="0"/>
        <w:spacing w:after="0" w:line="360" w:lineRule="auto"/>
        <w:jc w:val="both"/>
        <w:rPr>
          <w:rFonts w:ascii="Century Gothic" w:eastAsia="Verdana" w:hAnsi="Century Gothic" w:cs="Verdana"/>
          <w:bCs/>
          <w:sz w:val="22"/>
          <w:szCs w:val="22"/>
          <w:lang w:val="es-ES"/>
        </w:rPr>
      </w:pPr>
      <w:r w:rsidRPr="00860F2F">
        <w:rPr>
          <w:rFonts w:ascii="Century Gothic" w:eastAsia="Verdana" w:hAnsi="Century Gothic" w:cs="Verdana"/>
          <w:bCs/>
          <w:sz w:val="22"/>
          <w:szCs w:val="22"/>
          <w:lang w:val="es-ES"/>
        </w:rPr>
        <w:t>Contar con los espacios óptimos y suficientes para el desarrollo de las actividades formativas, apoya en la obtención de servicios de calidad y avala la igualdad de oportunidades de acceso para todos. San Antonio la Isla cuenta con infraestructura necesaria para atender a la población estudiantil del Municipio, sin embargo, aún hay requerimientos que es ineludible atender para cubrir las necesidades de operación y desarrollo de capacidades, a fin de coadyuvar en la prestación de servicios educativos con calidad y equidad, en congruencia con los requerimientos de los distintos sectores de la población estudiantil y dando cumplimiento con la meta 9.1 de la Agenda 2030.</w:t>
      </w:r>
    </w:p>
    <w:p w14:paraId="754C31E4" w14:textId="77777777" w:rsidR="00860F2F" w:rsidRDefault="00860F2F">
      <w:pPr>
        <w:rPr>
          <w:rFonts w:ascii="Century Gothic" w:eastAsia="Verdana" w:hAnsi="Century Gothic" w:cs="Verdana"/>
          <w:bCs/>
          <w:sz w:val="22"/>
          <w:szCs w:val="22"/>
          <w:lang w:val="es-ES"/>
        </w:rPr>
      </w:pPr>
      <w:r>
        <w:rPr>
          <w:rFonts w:ascii="Century Gothic" w:eastAsia="Verdana" w:hAnsi="Century Gothic" w:cs="Verdana"/>
          <w:bCs/>
          <w:sz w:val="22"/>
          <w:szCs w:val="22"/>
          <w:lang w:val="es-ES"/>
        </w:rPr>
        <w:br w:type="page"/>
      </w:r>
    </w:p>
    <w:tbl>
      <w:tblPr>
        <w:tblStyle w:val="Tablaconcuadrcula4-nfasis2"/>
        <w:tblpPr w:leftFromText="141" w:rightFromText="141" w:vertAnchor="text" w:horzAnchor="margin" w:tblpXSpec="center" w:tblpY="259"/>
        <w:tblW w:w="13142" w:type="dxa"/>
        <w:tblLook w:val="04A0" w:firstRow="1" w:lastRow="0" w:firstColumn="1" w:lastColumn="0" w:noHBand="0" w:noVBand="1"/>
      </w:tblPr>
      <w:tblGrid>
        <w:gridCol w:w="2633"/>
        <w:gridCol w:w="1476"/>
        <w:gridCol w:w="1648"/>
        <w:gridCol w:w="1476"/>
        <w:gridCol w:w="1476"/>
        <w:gridCol w:w="1477"/>
        <w:gridCol w:w="1476"/>
        <w:gridCol w:w="1480"/>
      </w:tblGrid>
      <w:tr w:rsidR="00860F2F" w:rsidRPr="00860F2F" w14:paraId="7934C6B5" w14:textId="77777777" w:rsidTr="00FC7DCB">
        <w:trPr>
          <w:cnfStyle w:val="100000000000" w:firstRow="1" w:lastRow="0" w:firstColumn="0" w:lastColumn="0" w:oddVBand="0" w:evenVBand="0" w:oddHBand="0"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13142" w:type="dxa"/>
            <w:gridSpan w:val="8"/>
            <w:noWrap/>
            <w:hideMark/>
          </w:tcPr>
          <w:p w14:paraId="30DF14FC" w14:textId="77777777" w:rsidR="00860F2F" w:rsidRPr="00860F2F" w:rsidRDefault="00860F2F" w:rsidP="008035D9">
            <w:pPr>
              <w:jc w:val="center"/>
              <w:rPr>
                <w:rFonts w:ascii="Century Gothic" w:eastAsia="Times New Roman" w:hAnsi="Century Gothic" w:cs="Times New Roman"/>
                <w:color w:val="FFFFFF"/>
                <w:lang w:eastAsia="es-MX"/>
              </w:rPr>
            </w:pPr>
            <w:r w:rsidRPr="00860F2F">
              <w:rPr>
                <w:rFonts w:ascii="Century Gothic" w:eastAsia="Times New Roman" w:hAnsi="Century Gothic" w:cs="Times New Roman"/>
                <w:color w:val="FFFFFF"/>
                <w:lang w:eastAsia="es-MX"/>
              </w:rPr>
              <w:lastRenderedPageBreak/>
              <w:t>Infraestructura de Educación</w:t>
            </w:r>
          </w:p>
        </w:tc>
      </w:tr>
      <w:tr w:rsidR="00860F2F" w:rsidRPr="00860F2F" w14:paraId="7C433EDF" w14:textId="77777777" w:rsidTr="00FC7DC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633" w:type="dxa"/>
            <w:vMerge w:val="restart"/>
            <w:hideMark/>
          </w:tcPr>
          <w:p w14:paraId="78B812AC" w14:textId="77777777" w:rsidR="00860F2F" w:rsidRPr="00860F2F" w:rsidRDefault="00860F2F" w:rsidP="008035D9">
            <w:pPr>
              <w:jc w:val="cente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Tipología</w:t>
            </w:r>
          </w:p>
        </w:tc>
        <w:tc>
          <w:tcPr>
            <w:tcW w:w="1476" w:type="dxa"/>
            <w:vMerge w:val="restart"/>
            <w:hideMark/>
          </w:tcPr>
          <w:p w14:paraId="48B159AE"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No. de planteles </w:t>
            </w:r>
          </w:p>
        </w:tc>
        <w:tc>
          <w:tcPr>
            <w:tcW w:w="1648" w:type="dxa"/>
            <w:vMerge w:val="restart"/>
            <w:hideMark/>
          </w:tcPr>
          <w:p w14:paraId="56CA322A"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 de aulas</w:t>
            </w:r>
          </w:p>
        </w:tc>
        <w:tc>
          <w:tcPr>
            <w:tcW w:w="1476" w:type="dxa"/>
            <w:vMerge w:val="restart"/>
            <w:hideMark/>
          </w:tcPr>
          <w:p w14:paraId="25F359D0"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Cobertura de atención (a)</w:t>
            </w:r>
          </w:p>
        </w:tc>
        <w:tc>
          <w:tcPr>
            <w:tcW w:w="2953" w:type="dxa"/>
            <w:gridSpan w:val="2"/>
            <w:hideMark/>
          </w:tcPr>
          <w:p w14:paraId="03C95144"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Requerimientos</w:t>
            </w:r>
          </w:p>
        </w:tc>
        <w:tc>
          <w:tcPr>
            <w:tcW w:w="1476" w:type="dxa"/>
            <w:vMerge w:val="restart"/>
            <w:hideMark/>
          </w:tcPr>
          <w:p w14:paraId="5D3F42DE"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Déficit    </w:t>
            </w:r>
            <w:proofErr w:type="gramStart"/>
            <w:r w:rsidRPr="00860F2F">
              <w:rPr>
                <w:rFonts w:ascii="Century Gothic" w:eastAsia="Times New Roman" w:hAnsi="Century Gothic" w:cs="Times New Roman"/>
                <w:color w:val="000000"/>
                <w:lang w:eastAsia="es-MX"/>
              </w:rPr>
              <w:t xml:space="preserve">   (</w:t>
            </w:r>
            <w:proofErr w:type="gramEnd"/>
            <w:r w:rsidRPr="00860F2F">
              <w:rPr>
                <w:rFonts w:ascii="Century Gothic" w:eastAsia="Times New Roman" w:hAnsi="Century Gothic" w:cs="Times New Roman"/>
                <w:color w:val="000000"/>
                <w:lang w:eastAsia="es-MX"/>
              </w:rPr>
              <w:t>b)</w:t>
            </w:r>
          </w:p>
        </w:tc>
        <w:tc>
          <w:tcPr>
            <w:tcW w:w="1476" w:type="dxa"/>
            <w:vMerge w:val="restart"/>
            <w:hideMark/>
          </w:tcPr>
          <w:p w14:paraId="5EF51C15"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Superávit (c)</w:t>
            </w:r>
          </w:p>
        </w:tc>
      </w:tr>
      <w:tr w:rsidR="00DD1E72" w:rsidRPr="00860F2F" w14:paraId="02C3D2C6" w14:textId="77777777" w:rsidTr="00FC7DCB">
        <w:trPr>
          <w:trHeight w:val="554"/>
        </w:trPr>
        <w:tc>
          <w:tcPr>
            <w:cnfStyle w:val="001000000000" w:firstRow="0" w:lastRow="0" w:firstColumn="1" w:lastColumn="0" w:oddVBand="0" w:evenVBand="0" w:oddHBand="0" w:evenHBand="0" w:firstRowFirstColumn="0" w:firstRowLastColumn="0" w:lastRowFirstColumn="0" w:lastRowLastColumn="0"/>
            <w:tcW w:w="2633" w:type="dxa"/>
            <w:vMerge/>
            <w:hideMark/>
          </w:tcPr>
          <w:p w14:paraId="3ACFEAC5" w14:textId="77777777" w:rsidR="00860F2F" w:rsidRPr="00860F2F" w:rsidRDefault="00860F2F" w:rsidP="008035D9">
            <w:pPr>
              <w:rPr>
                <w:rFonts w:ascii="Century Gothic" w:eastAsia="Times New Roman" w:hAnsi="Century Gothic" w:cs="Times New Roman"/>
                <w:color w:val="000000"/>
                <w:lang w:eastAsia="es-MX"/>
              </w:rPr>
            </w:pPr>
          </w:p>
        </w:tc>
        <w:tc>
          <w:tcPr>
            <w:tcW w:w="1476" w:type="dxa"/>
            <w:vMerge/>
            <w:hideMark/>
          </w:tcPr>
          <w:p w14:paraId="556E67D9" w14:textId="77777777" w:rsidR="00860F2F" w:rsidRPr="00860F2F" w:rsidRDefault="00860F2F" w:rsidP="008035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p>
        </w:tc>
        <w:tc>
          <w:tcPr>
            <w:tcW w:w="1648" w:type="dxa"/>
            <w:vMerge/>
            <w:hideMark/>
          </w:tcPr>
          <w:p w14:paraId="0792D956" w14:textId="77777777" w:rsidR="00860F2F" w:rsidRPr="00860F2F" w:rsidRDefault="00860F2F" w:rsidP="008035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p>
        </w:tc>
        <w:tc>
          <w:tcPr>
            <w:tcW w:w="1476" w:type="dxa"/>
            <w:vMerge/>
            <w:hideMark/>
          </w:tcPr>
          <w:p w14:paraId="27A86221" w14:textId="77777777" w:rsidR="00860F2F" w:rsidRPr="00860F2F" w:rsidRDefault="00860F2F" w:rsidP="008035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p>
        </w:tc>
        <w:tc>
          <w:tcPr>
            <w:tcW w:w="1476" w:type="dxa"/>
            <w:hideMark/>
          </w:tcPr>
          <w:p w14:paraId="01C95413"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Planteles </w:t>
            </w:r>
          </w:p>
        </w:tc>
        <w:tc>
          <w:tcPr>
            <w:tcW w:w="1476" w:type="dxa"/>
            <w:hideMark/>
          </w:tcPr>
          <w:p w14:paraId="23AB0657"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Aulas </w:t>
            </w:r>
          </w:p>
        </w:tc>
        <w:tc>
          <w:tcPr>
            <w:tcW w:w="1476" w:type="dxa"/>
            <w:vMerge/>
            <w:hideMark/>
          </w:tcPr>
          <w:p w14:paraId="731EFC3D" w14:textId="77777777" w:rsidR="00860F2F" w:rsidRPr="00860F2F" w:rsidRDefault="00860F2F" w:rsidP="008035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p>
        </w:tc>
        <w:tc>
          <w:tcPr>
            <w:tcW w:w="1476" w:type="dxa"/>
            <w:vMerge/>
            <w:hideMark/>
          </w:tcPr>
          <w:p w14:paraId="06BFAFB1" w14:textId="77777777" w:rsidR="00860F2F" w:rsidRPr="00860F2F" w:rsidRDefault="00860F2F" w:rsidP="008035D9">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p>
        </w:tc>
      </w:tr>
      <w:tr w:rsidR="00860F2F" w:rsidRPr="00860F2F" w14:paraId="55F07E08" w14:textId="77777777" w:rsidTr="00FC7DC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633" w:type="dxa"/>
            <w:hideMark/>
          </w:tcPr>
          <w:p w14:paraId="2D79B59F" w14:textId="77777777" w:rsidR="00860F2F" w:rsidRPr="00860F2F" w:rsidRDefault="00860F2F" w:rsidP="008035D9">
            <w:pP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Jardín de Niños</w:t>
            </w:r>
          </w:p>
        </w:tc>
        <w:tc>
          <w:tcPr>
            <w:tcW w:w="1476" w:type="dxa"/>
            <w:noWrap/>
            <w:hideMark/>
          </w:tcPr>
          <w:p w14:paraId="31395760"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5</w:t>
            </w:r>
          </w:p>
        </w:tc>
        <w:tc>
          <w:tcPr>
            <w:tcW w:w="1648" w:type="dxa"/>
            <w:noWrap/>
            <w:hideMark/>
          </w:tcPr>
          <w:p w14:paraId="7FD9DAB5"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49</w:t>
            </w:r>
          </w:p>
        </w:tc>
        <w:tc>
          <w:tcPr>
            <w:tcW w:w="1476" w:type="dxa"/>
            <w:noWrap/>
            <w:hideMark/>
          </w:tcPr>
          <w:p w14:paraId="63A853FA"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973</w:t>
            </w:r>
          </w:p>
        </w:tc>
        <w:tc>
          <w:tcPr>
            <w:tcW w:w="1476" w:type="dxa"/>
            <w:noWrap/>
            <w:hideMark/>
          </w:tcPr>
          <w:p w14:paraId="4BAA9255"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69BCB206"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070686A5"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20682217"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r>
      <w:tr w:rsidR="00DD1E72" w:rsidRPr="00860F2F" w14:paraId="655FE3A3" w14:textId="77777777" w:rsidTr="00FC7DCB">
        <w:trPr>
          <w:trHeight w:val="1109"/>
        </w:trPr>
        <w:tc>
          <w:tcPr>
            <w:cnfStyle w:val="001000000000" w:firstRow="0" w:lastRow="0" w:firstColumn="1" w:lastColumn="0" w:oddVBand="0" w:evenVBand="0" w:oddHBand="0" w:evenHBand="0" w:firstRowFirstColumn="0" w:firstRowLastColumn="0" w:lastRowFirstColumn="0" w:lastRowLastColumn="0"/>
            <w:tcW w:w="2633" w:type="dxa"/>
            <w:hideMark/>
          </w:tcPr>
          <w:p w14:paraId="061FE329" w14:textId="77777777" w:rsidR="00860F2F" w:rsidRPr="00860F2F" w:rsidRDefault="00860F2F" w:rsidP="008035D9">
            <w:pP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Centro de Desarrollo Infantil</w:t>
            </w:r>
          </w:p>
        </w:tc>
        <w:tc>
          <w:tcPr>
            <w:tcW w:w="1476" w:type="dxa"/>
            <w:noWrap/>
            <w:hideMark/>
          </w:tcPr>
          <w:p w14:paraId="105A3EBD"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1</w:t>
            </w:r>
          </w:p>
        </w:tc>
        <w:tc>
          <w:tcPr>
            <w:tcW w:w="1648" w:type="dxa"/>
            <w:noWrap/>
            <w:hideMark/>
          </w:tcPr>
          <w:p w14:paraId="71259DE4"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5</w:t>
            </w:r>
          </w:p>
        </w:tc>
        <w:tc>
          <w:tcPr>
            <w:tcW w:w="1476" w:type="dxa"/>
            <w:noWrap/>
            <w:hideMark/>
          </w:tcPr>
          <w:p w14:paraId="4B272DBC"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N/D</w:t>
            </w:r>
          </w:p>
        </w:tc>
        <w:tc>
          <w:tcPr>
            <w:tcW w:w="1476" w:type="dxa"/>
            <w:noWrap/>
            <w:hideMark/>
          </w:tcPr>
          <w:p w14:paraId="39127384"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13E67037"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0A6B989E"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5CCAA66F"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r>
      <w:tr w:rsidR="00860F2F" w:rsidRPr="00860F2F" w14:paraId="57268CD2" w14:textId="77777777" w:rsidTr="00FC7DC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633" w:type="dxa"/>
            <w:hideMark/>
          </w:tcPr>
          <w:p w14:paraId="2AACD2F6" w14:textId="77777777" w:rsidR="00860F2F" w:rsidRPr="00860F2F" w:rsidRDefault="00860F2F" w:rsidP="008035D9">
            <w:pP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Primaria </w:t>
            </w:r>
          </w:p>
        </w:tc>
        <w:tc>
          <w:tcPr>
            <w:tcW w:w="1476" w:type="dxa"/>
            <w:noWrap/>
            <w:hideMark/>
          </w:tcPr>
          <w:p w14:paraId="4325ECAD"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6</w:t>
            </w:r>
          </w:p>
        </w:tc>
        <w:tc>
          <w:tcPr>
            <w:tcW w:w="1648" w:type="dxa"/>
            <w:noWrap/>
            <w:hideMark/>
          </w:tcPr>
          <w:p w14:paraId="20F5835D"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92</w:t>
            </w:r>
          </w:p>
        </w:tc>
        <w:tc>
          <w:tcPr>
            <w:tcW w:w="1476" w:type="dxa"/>
            <w:noWrap/>
            <w:hideMark/>
          </w:tcPr>
          <w:p w14:paraId="05BD4A73"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3013</w:t>
            </w:r>
          </w:p>
        </w:tc>
        <w:tc>
          <w:tcPr>
            <w:tcW w:w="1476" w:type="dxa"/>
            <w:noWrap/>
            <w:hideMark/>
          </w:tcPr>
          <w:p w14:paraId="49DDD214"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5DD11ADC"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3A0062B5"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3BD78C1A"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r>
      <w:tr w:rsidR="00DD1E72" w:rsidRPr="00860F2F" w14:paraId="03595792" w14:textId="77777777" w:rsidTr="00FC7DCB">
        <w:trPr>
          <w:trHeight w:val="554"/>
        </w:trPr>
        <w:tc>
          <w:tcPr>
            <w:cnfStyle w:val="001000000000" w:firstRow="0" w:lastRow="0" w:firstColumn="1" w:lastColumn="0" w:oddVBand="0" w:evenVBand="0" w:oddHBand="0" w:evenHBand="0" w:firstRowFirstColumn="0" w:firstRowLastColumn="0" w:lastRowFirstColumn="0" w:lastRowLastColumn="0"/>
            <w:tcW w:w="2633" w:type="dxa"/>
            <w:hideMark/>
          </w:tcPr>
          <w:p w14:paraId="7CF54A26" w14:textId="77777777" w:rsidR="00860F2F" w:rsidRPr="00860F2F" w:rsidRDefault="00860F2F" w:rsidP="008035D9">
            <w:pP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Secundaria </w:t>
            </w:r>
          </w:p>
        </w:tc>
        <w:tc>
          <w:tcPr>
            <w:tcW w:w="1476" w:type="dxa"/>
            <w:noWrap/>
            <w:hideMark/>
          </w:tcPr>
          <w:p w14:paraId="692A894A"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3</w:t>
            </w:r>
          </w:p>
        </w:tc>
        <w:tc>
          <w:tcPr>
            <w:tcW w:w="1648" w:type="dxa"/>
            <w:noWrap/>
            <w:hideMark/>
          </w:tcPr>
          <w:p w14:paraId="1FE1D4E5"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32</w:t>
            </w:r>
          </w:p>
        </w:tc>
        <w:tc>
          <w:tcPr>
            <w:tcW w:w="1476" w:type="dxa"/>
            <w:noWrap/>
            <w:hideMark/>
          </w:tcPr>
          <w:p w14:paraId="35B11615"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853</w:t>
            </w:r>
          </w:p>
        </w:tc>
        <w:tc>
          <w:tcPr>
            <w:tcW w:w="1476" w:type="dxa"/>
            <w:noWrap/>
            <w:hideMark/>
          </w:tcPr>
          <w:p w14:paraId="65A8E2A4"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1B0BA491"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28B5133D"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45AFC65A"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r>
      <w:tr w:rsidR="00860F2F" w:rsidRPr="00860F2F" w14:paraId="3F23C411" w14:textId="77777777" w:rsidTr="00FC7DC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633" w:type="dxa"/>
            <w:hideMark/>
          </w:tcPr>
          <w:p w14:paraId="15812C98" w14:textId="77777777" w:rsidR="00860F2F" w:rsidRPr="00860F2F" w:rsidRDefault="00860F2F" w:rsidP="008035D9">
            <w:pP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Preparatoria</w:t>
            </w:r>
          </w:p>
        </w:tc>
        <w:tc>
          <w:tcPr>
            <w:tcW w:w="1476" w:type="dxa"/>
            <w:noWrap/>
            <w:hideMark/>
          </w:tcPr>
          <w:p w14:paraId="179891AC"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1</w:t>
            </w:r>
          </w:p>
        </w:tc>
        <w:tc>
          <w:tcPr>
            <w:tcW w:w="1648" w:type="dxa"/>
            <w:noWrap/>
            <w:hideMark/>
          </w:tcPr>
          <w:p w14:paraId="53192DC7"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11</w:t>
            </w:r>
          </w:p>
        </w:tc>
        <w:tc>
          <w:tcPr>
            <w:tcW w:w="1476" w:type="dxa"/>
            <w:noWrap/>
            <w:hideMark/>
          </w:tcPr>
          <w:p w14:paraId="07FE1146"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N/D</w:t>
            </w:r>
          </w:p>
        </w:tc>
        <w:tc>
          <w:tcPr>
            <w:tcW w:w="1476" w:type="dxa"/>
            <w:noWrap/>
            <w:hideMark/>
          </w:tcPr>
          <w:p w14:paraId="38E96613"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6CFDB0DB"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5B76A61C"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71CF7761" w14:textId="77777777" w:rsidR="00860F2F" w:rsidRPr="00860F2F" w:rsidRDefault="00860F2F"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r>
      <w:tr w:rsidR="00DD1E72" w:rsidRPr="00860F2F" w14:paraId="61EED1DE" w14:textId="77777777" w:rsidTr="00FC7DCB">
        <w:trPr>
          <w:trHeight w:val="1109"/>
        </w:trPr>
        <w:tc>
          <w:tcPr>
            <w:cnfStyle w:val="001000000000" w:firstRow="0" w:lastRow="0" w:firstColumn="1" w:lastColumn="0" w:oddVBand="0" w:evenVBand="0" w:oddHBand="0" w:evenHBand="0" w:firstRowFirstColumn="0" w:firstRowLastColumn="0" w:lastRowFirstColumn="0" w:lastRowLastColumn="0"/>
            <w:tcW w:w="2633" w:type="dxa"/>
            <w:hideMark/>
          </w:tcPr>
          <w:p w14:paraId="5A259585" w14:textId="77777777" w:rsidR="00860F2F" w:rsidRPr="00860F2F" w:rsidRDefault="00860F2F" w:rsidP="008035D9">
            <w:pPr>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 xml:space="preserve">Centro de Bachillerato Tecnológico </w:t>
            </w:r>
          </w:p>
        </w:tc>
        <w:tc>
          <w:tcPr>
            <w:tcW w:w="1476" w:type="dxa"/>
            <w:noWrap/>
            <w:hideMark/>
          </w:tcPr>
          <w:p w14:paraId="6EE5E4E2"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1</w:t>
            </w:r>
          </w:p>
        </w:tc>
        <w:tc>
          <w:tcPr>
            <w:tcW w:w="1648" w:type="dxa"/>
            <w:noWrap/>
            <w:hideMark/>
          </w:tcPr>
          <w:p w14:paraId="048A9C94"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10</w:t>
            </w:r>
          </w:p>
        </w:tc>
        <w:tc>
          <w:tcPr>
            <w:tcW w:w="1476" w:type="dxa"/>
            <w:noWrap/>
            <w:hideMark/>
          </w:tcPr>
          <w:p w14:paraId="54A59196"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367</w:t>
            </w:r>
          </w:p>
        </w:tc>
        <w:tc>
          <w:tcPr>
            <w:tcW w:w="1476" w:type="dxa"/>
            <w:noWrap/>
            <w:hideMark/>
          </w:tcPr>
          <w:p w14:paraId="6ECF0DB1"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184D3637"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652599A5"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c>
          <w:tcPr>
            <w:tcW w:w="1476" w:type="dxa"/>
            <w:noWrap/>
            <w:hideMark/>
          </w:tcPr>
          <w:p w14:paraId="6E843B96" w14:textId="77777777" w:rsidR="00860F2F" w:rsidRPr="00860F2F" w:rsidRDefault="00860F2F"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lang w:eastAsia="es-MX"/>
              </w:rPr>
            </w:pPr>
            <w:r w:rsidRPr="00860F2F">
              <w:rPr>
                <w:rFonts w:ascii="Century Gothic" w:eastAsia="Times New Roman" w:hAnsi="Century Gothic" w:cs="Times New Roman"/>
                <w:color w:val="000000"/>
                <w:lang w:eastAsia="es-MX"/>
              </w:rPr>
              <w:t>No</w:t>
            </w:r>
          </w:p>
        </w:tc>
      </w:tr>
    </w:tbl>
    <w:p w14:paraId="765B4D51" w14:textId="340F39D4" w:rsidR="00860F2F" w:rsidRDefault="00860F2F" w:rsidP="00860F2F">
      <w:pPr>
        <w:widowControl w:val="0"/>
        <w:autoSpaceDE w:val="0"/>
        <w:autoSpaceDN w:val="0"/>
        <w:spacing w:after="0" w:line="360" w:lineRule="auto"/>
        <w:jc w:val="both"/>
        <w:rPr>
          <w:rFonts w:ascii="Century Gothic" w:eastAsia="Verdana" w:hAnsi="Century Gothic" w:cs="Verdana"/>
          <w:bCs/>
          <w:sz w:val="22"/>
          <w:szCs w:val="22"/>
          <w:lang w:val="es-ES"/>
        </w:rPr>
      </w:pPr>
      <w:r>
        <w:rPr>
          <w:rFonts w:ascii="Century Gothic" w:eastAsia="Verdana" w:hAnsi="Century Gothic" w:cs="Verdana"/>
          <w:bCs/>
          <w:sz w:val="22"/>
          <w:szCs w:val="22"/>
          <w:lang w:val="es-ES"/>
        </w:rPr>
        <w:t>Fuente: Elaboración propia</w:t>
      </w:r>
    </w:p>
    <w:p w14:paraId="472A5BA6" w14:textId="3F0ABCC8" w:rsidR="00860F2F" w:rsidRDefault="00860F2F">
      <w:pPr>
        <w:rPr>
          <w:rFonts w:ascii="Century Gothic" w:eastAsia="Verdana" w:hAnsi="Century Gothic" w:cs="Verdana"/>
          <w:bCs/>
          <w:sz w:val="22"/>
          <w:szCs w:val="22"/>
          <w:lang w:val="es-ES"/>
        </w:rPr>
      </w:pPr>
      <w:r>
        <w:rPr>
          <w:rFonts w:ascii="Century Gothic" w:eastAsia="Verdana" w:hAnsi="Century Gothic" w:cs="Verdana"/>
          <w:bCs/>
          <w:sz w:val="22"/>
          <w:szCs w:val="22"/>
          <w:lang w:val="es-ES"/>
        </w:rPr>
        <w:br w:type="page"/>
      </w:r>
    </w:p>
    <w:p w14:paraId="63D75FDD" w14:textId="77777777" w:rsidR="00860F2F" w:rsidRDefault="00860F2F" w:rsidP="00860F2F">
      <w:pPr>
        <w:widowControl w:val="0"/>
        <w:autoSpaceDE w:val="0"/>
        <w:autoSpaceDN w:val="0"/>
        <w:spacing w:after="0" w:line="360" w:lineRule="auto"/>
        <w:jc w:val="both"/>
        <w:rPr>
          <w:rFonts w:ascii="Century Gothic" w:eastAsia="Verdana" w:hAnsi="Century Gothic" w:cs="Verdana"/>
          <w:bCs/>
          <w:sz w:val="22"/>
          <w:szCs w:val="22"/>
          <w:lang w:val="es-ES"/>
        </w:rPr>
        <w:sectPr w:rsidR="00860F2F" w:rsidSect="00CE2E14">
          <w:pgSz w:w="15840" w:h="12240" w:orient="landscape"/>
          <w:pgMar w:top="1440" w:right="1440" w:bottom="1440" w:left="1440" w:header="709" w:footer="709" w:gutter="0"/>
          <w:cols w:num="2" w:space="708"/>
          <w:docGrid w:linePitch="360"/>
        </w:sectPr>
      </w:pPr>
    </w:p>
    <w:p w14:paraId="3828A782" w14:textId="77777777" w:rsidR="00860F2F" w:rsidRPr="00860F2F" w:rsidRDefault="00860F2F" w:rsidP="00860F2F">
      <w:pPr>
        <w:widowControl w:val="0"/>
        <w:autoSpaceDE w:val="0"/>
        <w:autoSpaceDN w:val="0"/>
        <w:spacing w:after="0" w:line="360" w:lineRule="auto"/>
        <w:ind w:firstLine="708"/>
        <w:jc w:val="both"/>
        <w:rPr>
          <w:rFonts w:ascii="Century Gothic" w:eastAsia="Verdana" w:hAnsi="Century Gothic" w:cs="Verdana"/>
          <w:bCs/>
          <w:sz w:val="22"/>
          <w:szCs w:val="22"/>
          <w:lang w:val="es-ES"/>
        </w:rPr>
      </w:pPr>
      <w:r w:rsidRPr="00860F2F">
        <w:rPr>
          <w:rFonts w:ascii="Century Gothic" w:eastAsia="Verdana" w:hAnsi="Century Gothic" w:cs="Verdana"/>
          <w:bCs/>
          <w:sz w:val="22"/>
          <w:szCs w:val="22"/>
          <w:lang w:val="es-ES"/>
        </w:rPr>
        <w:lastRenderedPageBreak/>
        <w:t xml:space="preserve">Adicionalmente se cuenta con el Centro de Actividades Culturales de la UAEM que oferta una amplia gama de talleres para todas las edades, y existen espacios públicos para que nuestras niñas, niños, jóvenes y adultos hagan uso responsable de ellos, como fue el caso de la Biblioteca Digital “Alfredo del Mazo Vélez” y la Biblioteca de San Lucas </w:t>
      </w:r>
      <w:proofErr w:type="spellStart"/>
      <w:r w:rsidRPr="00860F2F">
        <w:rPr>
          <w:rFonts w:ascii="Century Gothic" w:eastAsia="Verdana" w:hAnsi="Century Gothic" w:cs="Verdana"/>
          <w:bCs/>
          <w:sz w:val="22"/>
          <w:szCs w:val="22"/>
          <w:lang w:val="es-ES"/>
        </w:rPr>
        <w:t>Tepemajalco</w:t>
      </w:r>
      <w:proofErr w:type="spellEnd"/>
      <w:r w:rsidRPr="00860F2F">
        <w:rPr>
          <w:rFonts w:ascii="Century Gothic" w:eastAsia="Verdana" w:hAnsi="Century Gothic" w:cs="Verdana"/>
          <w:bCs/>
          <w:sz w:val="22"/>
          <w:szCs w:val="22"/>
          <w:lang w:val="es-ES"/>
        </w:rPr>
        <w:t xml:space="preserve">, donde se pueden utilizar los equipos de cómputo e internet, apoyando así a la economía de las familias para seguir impulsando el aprendizaje de las y los </w:t>
      </w:r>
      <w:proofErr w:type="spellStart"/>
      <w:r w:rsidRPr="00860F2F">
        <w:rPr>
          <w:rFonts w:ascii="Century Gothic" w:eastAsia="Verdana" w:hAnsi="Century Gothic" w:cs="Verdana"/>
          <w:bCs/>
          <w:sz w:val="22"/>
          <w:szCs w:val="22"/>
          <w:lang w:val="es-ES"/>
        </w:rPr>
        <w:t>islenses</w:t>
      </w:r>
      <w:proofErr w:type="spellEnd"/>
      <w:r w:rsidRPr="00860F2F">
        <w:rPr>
          <w:rFonts w:ascii="Century Gothic" w:eastAsia="Verdana" w:hAnsi="Century Gothic" w:cs="Verdana"/>
          <w:bCs/>
          <w:sz w:val="22"/>
          <w:szCs w:val="22"/>
          <w:lang w:val="es-ES"/>
        </w:rPr>
        <w:t xml:space="preserve">. </w:t>
      </w:r>
      <w:r w:rsidRPr="00860F2F">
        <w:rPr>
          <w:rFonts w:ascii="Century Gothic" w:eastAsia="Verdana" w:hAnsi="Century Gothic" w:cs="Verdana"/>
          <w:bCs/>
          <w:color w:val="000000" w:themeColor="text1"/>
          <w:sz w:val="22"/>
          <w:szCs w:val="22"/>
          <w:lang w:val="es-ES"/>
        </w:rPr>
        <w:t xml:space="preserve">La actividades </w:t>
      </w:r>
      <w:r w:rsidRPr="00860F2F">
        <w:rPr>
          <w:rFonts w:ascii="Century Gothic" w:eastAsia="Verdana" w:hAnsi="Century Gothic" w:cs="Verdana"/>
          <w:b/>
          <w:color w:val="000000" w:themeColor="text1"/>
          <w:sz w:val="22"/>
          <w:szCs w:val="22"/>
          <w:lang w:val="es-ES"/>
        </w:rPr>
        <w:t>físicas, deportivas y recreativas</w:t>
      </w:r>
      <w:r w:rsidRPr="00860F2F">
        <w:rPr>
          <w:rFonts w:ascii="Century Gothic" w:eastAsia="Verdana" w:hAnsi="Century Gothic" w:cs="Verdana"/>
          <w:bCs/>
          <w:color w:val="000000" w:themeColor="text1"/>
          <w:sz w:val="22"/>
          <w:szCs w:val="22"/>
          <w:lang w:val="es-ES"/>
        </w:rPr>
        <w:t xml:space="preserve"> contribuyen de manera importante en las gestiones para el desarrollo sostenible al promover la tolerancia y el respeto, además de respaldar el empoderamiento de las mujeres y los jóvenes, las personas y las comunidades, así como contribuir con los objetivos en materia de salud, educación e inclusión social.</w:t>
      </w:r>
    </w:p>
    <w:p w14:paraId="0AAF0AA2" w14:textId="77777777" w:rsidR="00860F2F" w:rsidRP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p>
    <w:p w14:paraId="0ABF79CF" w14:textId="0F282704" w:rsid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r w:rsidRPr="00860F2F">
        <w:rPr>
          <w:rFonts w:ascii="Century Gothic" w:eastAsia="Verdana" w:hAnsi="Century Gothic" w:cs="Verdana"/>
          <w:bCs/>
          <w:color w:val="000000" w:themeColor="text1"/>
          <w:sz w:val="22"/>
          <w:szCs w:val="22"/>
          <w:lang w:val="es-ES"/>
        </w:rPr>
        <w:t xml:space="preserve">El objetivo de este punto es fomentar las actividades recreativas, la cultura física, el deporte y la recreación en los pobladores de San Antonio la Isla, a través garantizando la participación de todos los sectores. Actualmente, en San Antonio la Isla se cuenta </w:t>
      </w:r>
      <w:r w:rsidRPr="00860F2F">
        <w:rPr>
          <w:rFonts w:ascii="Century Gothic" w:eastAsia="Verdana" w:hAnsi="Century Gothic" w:cs="Verdana"/>
          <w:bCs/>
          <w:color w:val="000000" w:themeColor="text1"/>
          <w:sz w:val="22"/>
          <w:szCs w:val="22"/>
          <w:lang w:val="es-ES"/>
        </w:rPr>
        <w:t>con una Unidad Deportiva ubicada la cual cuenta con: Campos de fútbol, canchas de básquetbol, canchas de frontón y trota pista.</w:t>
      </w:r>
    </w:p>
    <w:p w14:paraId="126D71A3" w14:textId="77777777" w:rsidR="00860F2F" w:rsidRP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p>
    <w:p w14:paraId="6EB0B0AB" w14:textId="77777777" w:rsidR="00860F2F" w:rsidRP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r w:rsidRPr="00860F2F">
        <w:rPr>
          <w:rFonts w:ascii="Century Gothic" w:eastAsia="Verdana" w:hAnsi="Century Gothic" w:cs="Verdana"/>
          <w:bCs/>
          <w:color w:val="000000" w:themeColor="text1"/>
          <w:sz w:val="22"/>
          <w:szCs w:val="22"/>
          <w:lang w:val="es-ES"/>
        </w:rPr>
        <w:t xml:space="preserve">Dentro de esta misma contamos con un área de recreación y esparcimiento, dicha infraestructura opera en buenas condiciones, aunque se requieren constantes trabajos de mantenimiento, ya que este inmueble sirve para la práctica del deporte; es por ello </w:t>
      </w:r>
      <w:proofErr w:type="gramStart"/>
      <w:r w:rsidRPr="00860F2F">
        <w:rPr>
          <w:rFonts w:ascii="Century Gothic" w:eastAsia="Verdana" w:hAnsi="Century Gothic" w:cs="Verdana"/>
          <w:bCs/>
          <w:color w:val="000000" w:themeColor="text1"/>
          <w:sz w:val="22"/>
          <w:szCs w:val="22"/>
          <w:lang w:val="es-ES"/>
        </w:rPr>
        <w:t>que</w:t>
      </w:r>
      <w:proofErr w:type="gramEnd"/>
      <w:r w:rsidRPr="00860F2F">
        <w:rPr>
          <w:rFonts w:ascii="Century Gothic" w:eastAsia="Verdana" w:hAnsi="Century Gothic" w:cs="Verdana"/>
          <w:bCs/>
          <w:color w:val="000000" w:themeColor="text1"/>
          <w:sz w:val="22"/>
          <w:szCs w:val="22"/>
          <w:lang w:val="es-ES"/>
        </w:rPr>
        <w:t xml:space="preserve"> la organización de ligas de fútbol, torneos de frontón y basquetbol son muy recurrentes. En la localidad de San Lucas </w:t>
      </w:r>
      <w:proofErr w:type="spellStart"/>
      <w:r w:rsidRPr="00860F2F">
        <w:rPr>
          <w:rFonts w:ascii="Century Gothic" w:eastAsia="Verdana" w:hAnsi="Century Gothic" w:cs="Verdana"/>
          <w:bCs/>
          <w:color w:val="000000" w:themeColor="text1"/>
          <w:sz w:val="22"/>
          <w:szCs w:val="22"/>
          <w:lang w:val="es-ES"/>
        </w:rPr>
        <w:t>Tepemajalco</w:t>
      </w:r>
      <w:proofErr w:type="spellEnd"/>
      <w:r w:rsidRPr="00860F2F">
        <w:rPr>
          <w:rFonts w:ascii="Century Gothic" w:eastAsia="Verdana" w:hAnsi="Century Gothic" w:cs="Verdana"/>
          <w:bCs/>
          <w:color w:val="000000" w:themeColor="text1"/>
          <w:sz w:val="22"/>
          <w:szCs w:val="22"/>
          <w:lang w:val="es-ES"/>
        </w:rPr>
        <w:t xml:space="preserve"> se cuenta con el “Centro Deportivo Ejército mexicano y campo de la asta bandera” ubicado en la calle: 20 de noviembre, se cuenta con: Un campo de Fútbol Soccer y dos canchas de Frontón.</w:t>
      </w:r>
    </w:p>
    <w:p w14:paraId="0B76925A" w14:textId="77777777" w:rsidR="00860F2F" w:rsidRP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p>
    <w:p w14:paraId="4CD90FD5" w14:textId="0BAD4200" w:rsid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r w:rsidRPr="00860F2F">
        <w:rPr>
          <w:rFonts w:ascii="Century Gothic" w:eastAsia="Verdana" w:hAnsi="Century Gothic" w:cs="Verdana"/>
          <w:bCs/>
          <w:color w:val="000000" w:themeColor="text1"/>
          <w:sz w:val="22"/>
          <w:szCs w:val="22"/>
          <w:lang w:val="es-ES"/>
        </w:rPr>
        <w:t xml:space="preserve">Como parte de las acciones y programas que el Gobierno Municipal de San Antonio la Isla, y con el objetivo de promover la activación física, así como la detección e impulso de nuevos talentos. Esta será, una estrategia para promover en la ciudadanía hábitos saludables que permita tener una mejor calidad de vida. Por ello, actual Administración, impulsa la creación de </w:t>
      </w:r>
      <w:r w:rsidRPr="00860F2F">
        <w:rPr>
          <w:rFonts w:ascii="Century Gothic" w:eastAsia="Verdana" w:hAnsi="Century Gothic" w:cs="Verdana"/>
          <w:bCs/>
          <w:color w:val="000000" w:themeColor="text1"/>
          <w:sz w:val="22"/>
          <w:szCs w:val="22"/>
          <w:lang w:val="es-ES"/>
        </w:rPr>
        <w:lastRenderedPageBreak/>
        <w:t>espacios deportivos que permiten la sana convivencia y el esparcimiento de los niños y jóvenes, alejándolos de los malos pasos.</w:t>
      </w:r>
    </w:p>
    <w:p w14:paraId="10C9ADEE" w14:textId="77777777" w:rsidR="00860F2F" w:rsidRP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p>
    <w:p w14:paraId="3E412E7A" w14:textId="2AB2FC63" w:rsidR="00860F2F" w:rsidRDefault="00860F2F" w:rsidP="00860F2F">
      <w:pPr>
        <w:widowControl w:val="0"/>
        <w:autoSpaceDE w:val="0"/>
        <w:autoSpaceDN w:val="0"/>
        <w:spacing w:after="0" w:line="360" w:lineRule="auto"/>
        <w:ind w:firstLine="708"/>
        <w:jc w:val="both"/>
        <w:rPr>
          <w:rFonts w:ascii="Century Gothic" w:eastAsia="Verdana" w:hAnsi="Century Gothic" w:cs="Verdana"/>
          <w:bCs/>
          <w:color w:val="000000" w:themeColor="text1"/>
          <w:sz w:val="22"/>
          <w:szCs w:val="22"/>
          <w:lang w:val="es-ES"/>
        </w:rPr>
      </w:pPr>
      <w:r w:rsidRPr="00860F2F">
        <w:rPr>
          <w:rFonts w:ascii="Century Gothic" w:eastAsia="Verdana" w:hAnsi="Century Gothic" w:cs="Verdana"/>
          <w:bCs/>
          <w:color w:val="000000" w:themeColor="text1"/>
          <w:sz w:val="22"/>
          <w:szCs w:val="22"/>
          <w:lang w:val="es-ES"/>
        </w:rPr>
        <w:t>El fomento al deporte es importante para construir una sociedad más saludable y productiva, apostando por la sana convivencia. De igual forma, el deporte y la niñez son la mejor combinación que podemos realizar en estos tiempos. Por lo que impulsar el deporte es necesario para que los niños, jóvenes y adultos tengan la posibilidad de realizar actividades que contribuyan a mantenerse en buena salud, condición física y permitan una convivencia social sana.</w:t>
      </w:r>
    </w:p>
    <w:p w14:paraId="2F893BA8" w14:textId="3EC25FC4" w:rsidR="00FC7DCB" w:rsidRDefault="00FC7DCB" w:rsidP="00FC7DCB">
      <w:pPr>
        <w:widowControl w:val="0"/>
        <w:autoSpaceDE w:val="0"/>
        <w:autoSpaceDN w:val="0"/>
        <w:spacing w:after="0" w:line="360" w:lineRule="auto"/>
        <w:jc w:val="both"/>
        <w:rPr>
          <w:rFonts w:ascii="Century Gothic" w:eastAsia="Verdana" w:hAnsi="Century Gothic" w:cs="Verdana"/>
          <w:bCs/>
          <w:color w:val="000000" w:themeColor="text1"/>
          <w:sz w:val="22"/>
          <w:szCs w:val="22"/>
          <w:lang w:val="es-ES"/>
        </w:rPr>
      </w:pPr>
    </w:p>
    <w:tbl>
      <w:tblPr>
        <w:tblStyle w:val="Tablaconcuadrcula4-nfasis2"/>
        <w:tblW w:w="6116" w:type="dxa"/>
        <w:tblLook w:val="04A0" w:firstRow="1" w:lastRow="0" w:firstColumn="1" w:lastColumn="0" w:noHBand="0" w:noVBand="1"/>
      </w:tblPr>
      <w:tblGrid>
        <w:gridCol w:w="979"/>
        <w:gridCol w:w="997"/>
        <w:gridCol w:w="1195"/>
        <w:gridCol w:w="1028"/>
        <w:gridCol w:w="715"/>
        <w:gridCol w:w="1202"/>
      </w:tblGrid>
      <w:tr w:rsidR="00FC7DCB" w:rsidRPr="00FC7DCB" w14:paraId="49EC5524" w14:textId="77777777" w:rsidTr="00FC7DCB">
        <w:trPr>
          <w:cnfStyle w:val="100000000000" w:firstRow="1" w:lastRow="0"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6116" w:type="dxa"/>
            <w:gridSpan w:val="6"/>
            <w:noWrap/>
            <w:hideMark/>
          </w:tcPr>
          <w:p w14:paraId="66C5B637" w14:textId="77777777" w:rsidR="00FC7DCB" w:rsidRPr="00FC7DCB" w:rsidRDefault="00FC7DCB" w:rsidP="00FC7DCB">
            <w:pPr>
              <w:jc w:val="center"/>
              <w:rPr>
                <w:rFonts w:ascii="Century Gothic" w:eastAsia="Times New Roman" w:hAnsi="Century Gothic" w:cs="Times New Roman"/>
                <w:color w:val="FFFFFF"/>
                <w:lang w:eastAsia="es-MX"/>
              </w:rPr>
            </w:pPr>
            <w:r w:rsidRPr="00FC7DCB">
              <w:rPr>
                <w:rFonts w:ascii="Century Gothic" w:eastAsia="Times New Roman" w:hAnsi="Century Gothic" w:cs="Times New Roman"/>
                <w:color w:val="FFFFFF"/>
                <w:lang w:eastAsia="es-MX"/>
              </w:rPr>
              <w:t xml:space="preserve">Infraestructura para el deporte </w:t>
            </w:r>
          </w:p>
        </w:tc>
      </w:tr>
      <w:tr w:rsidR="00FC7DCB" w:rsidRPr="00FC7DCB" w14:paraId="7A230889" w14:textId="77777777" w:rsidTr="00FC7DCB">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979" w:type="dxa"/>
            <w:vMerge w:val="restart"/>
            <w:hideMark/>
          </w:tcPr>
          <w:p w14:paraId="0A8B14E8" w14:textId="77777777" w:rsidR="00FC7DCB" w:rsidRPr="00FC7DCB" w:rsidRDefault="00FC7DCB" w:rsidP="00FC7DCB">
            <w:pPr>
              <w:jc w:val="center"/>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Tipología</w:t>
            </w:r>
          </w:p>
        </w:tc>
        <w:tc>
          <w:tcPr>
            <w:tcW w:w="997" w:type="dxa"/>
            <w:vMerge w:val="restart"/>
            <w:hideMark/>
          </w:tcPr>
          <w:p w14:paraId="14ADBF0F"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Nombre</w:t>
            </w:r>
          </w:p>
        </w:tc>
        <w:tc>
          <w:tcPr>
            <w:tcW w:w="1195" w:type="dxa"/>
            <w:vMerge w:val="restart"/>
            <w:hideMark/>
          </w:tcPr>
          <w:p w14:paraId="68874D75"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Localización</w:t>
            </w:r>
          </w:p>
        </w:tc>
        <w:tc>
          <w:tcPr>
            <w:tcW w:w="1028" w:type="dxa"/>
            <w:vMerge w:val="restart"/>
            <w:hideMark/>
          </w:tcPr>
          <w:p w14:paraId="29B36563"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Cobertura de atención </w:t>
            </w:r>
          </w:p>
          <w:p w14:paraId="62453F4F"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(a)</w:t>
            </w:r>
          </w:p>
        </w:tc>
        <w:tc>
          <w:tcPr>
            <w:tcW w:w="715" w:type="dxa"/>
            <w:vMerge w:val="restart"/>
            <w:hideMark/>
          </w:tcPr>
          <w:p w14:paraId="159AAA52"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Déficit      </w:t>
            </w:r>
          </w:p>
          <w:p w14:paraId="6984BF7D"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(b)</w:t>
            </w:r>
          </w:p>
        </w:tc>
        <w:tc>
          <w:tcPr>
            <w:tcW w:w="1202" w:type="dxa"/>
            <w:vMerge w:val="restart"/>
            <w:hideMark/>
          </w:tcPr>
          <w:p w14:paraId="24B304FD"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Superávit </w:t>
            </w:r>
          </w:p>
          <w:p w14:paraId="02D32AF1"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(c)</w:t>
            </w:r>
          </w:p>
        </w:tc>
      </w:tr>
      <w:tr w:rsidR="00FC7DCB" w:rsidRPr="00FC7DCB" w14:paraId="62A5D3ED" w14:textId="77777777" w:rsidTr="00FC7DCB">
        <w:trPr>
          <w:trHeight w:val="509"/>
        </w:trPr>
        <w:tc>
          <w:tcPr>
            <w:cnfStyle w:val="001000000000" w:firstRow="0" w:lastRow="0" w:firstColumn="1" w:lastColumn="0" w:oddVBand="0" w:evenVBand="0" w:oddHBand="0" w:evenHBand="0" w:firstRowFirstColumn="0" w:firstRowLastColumn="0" w:lastRowFirstColumn="0" w:lastRowLastColumn="0"/>
            <w:tcW w:w="979" w:type="dxa"/>
            <w:vMerge/>
            <w:hideMark/>
          </w:tcPr>
          <w:p w14:paraId="2D0B5753" w14:textId="77777777" w:rsidR="00FC7DCB" w:rsidRPr="00FC7DCB" w:rsidRDefault="00FC7DCB" w:rsidP="00FC7DCB">
            <w:pPr>
              <w:rPr>
                <w:rFonts w:ascii="Century Gothic" w:eastAsia="Times New Roman" w:hAnsi="Century Gothic" w:cs="Times New Roman"/>
                <w:color w:val="000000"/>
                <w:sz w:val="20"/>
                <w:szCs w:val="20"/>
                <w:lang w:eastAsia="es-MX"/>
              </w:rPr>
            </w:pPr>
          </w:p>
        </w:tc>
        <w:tc>
          <w:tcPr>
            <w:tcW w:w="997" w:type="dxa"/>
            <w:vMerge/>
            <w:hideMark/>
          </w:tcPr>
          <w:p w14:paraId="2721D6C2" w14:textId="77777777" w:rsidR="00FC7DCB" w:rsidRPr="00FC7DCB" w:rsidRDefault="00FC7DCB" w:rsidP="00FC7DC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p>
        </w:tc>
        <w:tc>
          <w:tcPr>
            <w:tcW w:w="1195" w:type="dxa"/>
            <w:vMerge/>
            <w:hideMark/>
          </w:tcPr>
          <w:p w14:paraId="58388E84" w14:textId="77777777" w:rsidR="00FC7DCB" w:rsidRPr="00FC7DCB" w:rsidRDefault="00FC7DCB" w:rsidP="00FC7DC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p>
        </w:tc>
        <w:tc>
          <w:tcPr>
            <w:tcW w:w="1028" w:type="dxa"/>
            <w:vMerge/>
            <w:hideMark/>
          </w:tcPr>
          <w:p w14:paraId="0CC04715" w14:textId="77777777" w:rsidR="00FC7DCB" w:rsidRPr="00FC7DCB" w:rsidRDefault="00FC7DCB" w:rsidP="00FC7DC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p>
        </w:tc>
        <w:tc>
          <w:tcPr>
            <w:tcW w:w="715" w:type="dxa"/>
            <w:vMerge/>
            <w:hideMark/>
          </w:tcPr>
          <w:p w14:paraId="47739E09" w14:textId="77777777" w:rsidR="00FC7DCB" w:rsidRPr="00FC7DCB" w:rsidRDefault="00FC7DCB" w:rsidP="00FC7DC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p>
        </w:tc>
        <w:tc>
          <w:tcPr>
            <w:tcW w:w="1202" w:type="dxa"/>
            <w:vMerge/>
            <w:hideMark/>
          </w:tcPr>
          <w:p w14:paraId="39829BF5" w14:textId="77777777" w:rsidR="00FC7DCB" w:rsidRPr="00FC7DCB" w:rsidRDefault="00FC7DCB" w:rsidP="00FC7DCB">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p>
        </w:tc>
      </w:tr>
      <w:tr w:rsidR="00FC7DCB" w:rsidRPr="00FC7DCB" w14:paraId="78786550" w14:textId="77777777" w:rsidTr="00FC7DC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79" w:type="dxa"/>
            <w:vMerge w:val="restart"/>
            <w:hideMark/>
          </w:tcPr>
          <w:p w14:paraId="0EC027B5" w14:textId="77777777" w:rsidR="00FC7DCB" w:rsidRPr="00FC7DCB" w:rsidRDefault="00FC7DCB" w:rsidP="00FC7DCB">
            <w:pPr>
              <w:jc w:val="center"/>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Canchas</w:t>
            </w:r>
          </w:p>
        </w:tc>
        <w:tc>
          <w:tcPr>
            <w:tcW w:w="997" w:type="dxa"/>
            <w:hideMark/>
          </w:tcPr>
          <w:p w14:paraId="7CC000D9"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Canchas de fútbol 7</w:t>
            </w:r>
          </w:p>
        </w:tc>
        <w:tc>
          <w:tcPr>
            <w:tcW w:w="1195" w:type="dxa"/>
            <w:hideMark/>
          </w:tcPr>
          <w:p w14:paraId="6CED8A94"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San Sebastián Téllez</w:t>
            </w:r>
          </w:p>
        </w:tc>
        <w:tc>
          <w:tcPr>
            <w:tcW w:w="1028" w:type="dxa"/>
            <w:hideMark/>
          </w:tcPr>
          <w:p w14:paraId="6FEA3272"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31946</w:t>
            </w:r>
          </w:p>
        </w:tc>
        <w:tc>
          <w:tcPr>
            <w:tcW w:w="715" w:type="dxa"/>
            <w:hideMark/>
          </w:tcPr>
          <w:p w14:paraId="069E21CC"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Sin Déficit</w:t>
            </w:r>
          </w:p>
        </w:tc>
        <w:tc>
          <w:tcPr>
            <w:tcW w:w="1202" w:type="dxa"/>
            <w:hideMark/>
          </w:tcPr>
          <w:p w14:paraId="7B83559D"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Se brinda atención permanente </w:t>
            </w:r>
          </w:p>
        </w:tc>
      </w:tr>
      <w:tr w:rsidR="00FC7DCB" w:rsidRPr="00FC7DCB" w14:paraId="271718B9" w14:textId="77777777" w:rsidTr="00FC7DCB">
        <w:trPr>
          <w:trHeight w:val="272"/>
        </w:trPr>
        <w:tc>
          <w:tcPr>
            <w:cnfStyle w:val="001000000000" w:firstRow="0" w:lastRow="0" w:firstColumn="1" w:lastColumn="0" w:oddVBand="0" w:evenVBand="0" w:oddHBand="0" w:evenHBand="0" w:firstRowFirstColumn="0" w:firstRowLastColumn="0" w:lastRowFirstColumn="0" w:lastRowLastColumn="0"/>
            <w:tcW w:w="979" w:type="dxa"/>
            <w:vMerge/>
            <w:hideMark/>
          </w:tcPr>
          <w:p w14:paraId="3DD3A2E0" w14:textId="77777777" w:rsidR="00FC7DCB" w:rsidRPr="00FC7DCB" w:rsidRDefault="00FC7DCB" w:rsidP="00FC7DCB">
            <w:pPr>
              <w:rPr>
                <w:rFonts w:ascii="Century Gothic" w:eastAsia="Times New Roman" w:hAnsi="Century Gothic" w:cs="Times New Roman"/>
                <w:color w:val="000000"/>
                <w:sz w:val="20"/>
                <w:szCs w:val="20"/>
                <w:lang w:eastAsia="es-MX"/>
              </w:rPr>
            </w:pPr>
          </w:p>
        </w:tc>
        <w:tc>
          <w:tcPr>
            <w:tcW w:w="997" w:type="dxa"/>
            <w:hideMark/>
          </w:tcPr>
          <w:p w14:paraId="7B1C4C1B"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Canchas de frontón</w:t>
            </w:r>
          </w:p>
        </w:tc>
        <w:tc>
          <w:tcPr>
            <w:tcW w:w="1195" w:type="dxa"/>
            <w:hideMark/>
          </w:tcPr>
          <w:p w14:paraId="07A094C2"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Calle Calvario S/N</w:t>
            </w:r>
          </w:p>
        </w:tc>
        <w:tc>
          <w:tcPr>
            <w:tcW w:w="1028" w:type="dxa"/>
            <w:hideMark/>
          </w:tcPr>
          <w:p w14:paraId="36778E26"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31946</w:t>
            </w:r>
          </w:p>
        </w:tc>
        <w:tc>
          <w:tcPr>
            <w:tcW w:w="715" w:type="dxa"/>
            <w:hideMark/>
          </w:tcPr>
          <w:p w14:paraId="23952013"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Sin Déficit</w:t>
            </w:r>
          </w:p>
        </w:tc>
        <w:tc>
          <w:tcPr>
            <w:tcW w:w="1202" w:type="dxa"/>
            <w:hideMark/>
          </w:tcPr>
          <w:p w14:paraId="2AFC2B55"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Se brinda atención permanente </w:t>
            </w:r>
          </w:p>
        </w:tc>
      </w:tr>
      <w:tr w:rsidR="00FC7DCB" w:rsidRPr="00FC7DCB" w14:paraId="13B8F443" w14:textId="77777777" w:rsidTr="00FC7DC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79" w:type="dxa"/>
            <w:hideMark/>
          </w:tcPr>
          <w:p w14:paraId="3C1C3791" w14:textId="77777777" w:rsidR="00FC7DCB" w:rsidRPr="00FC7DCB" w:rsidRDefault="00FC7DCB" w:rsidP="00FC7DCB">
            <w:pPr>
              <w:jc w:val="center"/>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Unidad Deportiva </w:t>
            </w:r>
          </w:p>
        </w:tc>
        <w:tc>
          <w:tcPr>
            <w:tcW w:w="997" w:type="dxa"/>
            <w:hideMark/>
          </w:tcPr>
          <w:p w14:paraId="218C7EA8"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Unidad Deportiva </w:t>
            </w:r>
          </w:p>
        </w:tc>
        <w:tc>
          <w:tcPr>
            <w:tcW w:w="1195" w:type="dxa"/>
            <w:hideMark/>
          </w:tcPr>
          <w:p w14:paraId="25E3C9BA"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Avenida Benito Juárez García Sur </w:t>
            </w:r>
          </w:p>
        </w:tc>
        <w:tc>
          <w:tcPr>
            <w:tcW w:w="1028" w:type="dxa"/>
            <w:hideMark/>
          </w:tcPr>
          <w:p w14:paraId="2EBE9E1E"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31946</w:t>
            </w:r>
          </w:p>
        </w:tc>
        <w:tc>
          <w:tcPr>
            <w:tcW w:w="715" w:type="dxa"/>
            <w:hideMark/>
          </w:tcPr>
          <w:p w14:paraId="61C4AB8E"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Sin Déficit</w:t>
            </w:r>
          </w:p>
        </w:tc>
        <w:tc>
          <w:tcPr>
            <w:tcW w:w="1202" w:type="dxa"/>
            <w:hideMark/>
          </w:tcPr>
          <w:p w14:paraId="50F64B70" w14:textId="77777777" w:rsidR="00FC7DCB" w:rsidRPr="00FC7DCB" w:rsidRDefault="00FC7DCB" w:rsidP="00FC7DCB">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Se brinda atención permanente </w:t>
            </w:r>
          </w:p>
        </w:tc>
      </w:tr>
      <w:tr w:rsidR="00FC7DCB" w:rsidRPr="00FC7DCB" w14:paraId="35823542" w14:textId="77777777" w:rsidTr="00FC7DCB">
        <w:trPr>
          <w:trHeight w:val="363"/>
        </w:trPr>
        <w:tc>
          <w:tcPr>
            <w:cnfStyle w:val="001000000000" w:firstRow="0" w:lastRow="0" w:firstColumn="1" w:lastColumn="0" w:oddVBand="0" w:evenVBand="0" w:oddHBand="0" w:evenHBand="0" w:firstRowFirstColumn="0" w:firstRowLastColumn="0" w:lastRowFirstColumn="0" w:lastRowLastColumn="0"/>
            <w:tcW w:w="979" w:type="dxa"/>
            <w:hideMark/>
          </w:tcPr>
          <w:p w14:paraId="397F6962" w14:textId="77777777" w:rsidR="00FC7DCB" w:rsidRPr="00FC7DCB" w:rsidRDefault="00FC7DCB" w:rsidP="00FC7DCB">
            <w:pPr>
              <w:jc w:val="center"/>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Centro Deportivo </w:t>
            </w:r>
          </w:p>
        </w:tc>
        <w:tc>
          <w:tcPr>
            <w:tcW w:w="997" w:type="dxa"/>
            <w:hideMark/>
          </w:tcPr>
          <w:p w14:paraId="67FAB389"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Centro Deportivo de Ejército Mexicano </w:t>
            </w:r>
          </w:p>
        </w:tc>
        <w:tc>
          <w:tcPr>
            <w:tcW w:w="1195" w:type="dxa"/>
            <w:hideMark/>
          </w:tcPr>
          <w:p w14:paraId="17C66DEE"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Calle 20 de noviembre </w:t>
            </w:r>
          </w:p>
        </w:tc>
        <w:tc>
          <w:tcPr>
            <w:tcW w:w="1028" w:type="dxa"/>
            <w:hideMark/>
          </w:tcPr>
          <w:p w14:paraId="3274112A"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31946</w:t>
            </w:r>
          </w:p>
        </w:tc>
        <w:tc>
          <w:tcPr>
            <w:tcW w:w="715" w:type="dxa"/>
            <w:hideMark/>
          </w:tcPr>
          <w:p w14:paraId="29C33999"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Sin Déficit</w:t>
            </w:r>
          </w:p>
        </w:tc>
        <w:tc>
          <w:tcPr>
            <w:tcW w:w="1202" w:type="dxa"/>
            <w:hideMark/>
          </w:tcPr>
          <w:p w14:paraId="4185650B" w14:textId="77777777" w:rsidR="00FC7DCB" w:rsidRPr="00FC7DCB" w:rsidRDefault="00FC7DCB" w:rsidP="00FC7DCB">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20"/>
                <w:szCs w:val="20"/>
                <w:lang w:eastAsia="es-MX"/>
              </w:rPr>
            </w:pPr>
            <w:r w:rsidRPr="00FC7DCB">
              <w:rPr>
                <w:rFonts w:ascii="Century Gothic" w:eastAsia="Times New Roman" w:hAnsi="Century Gothic" w:cs="Times New Roman"/>
                <w:color w:val="000000"/>
                <w:sz w:val="20"/>
                <w:szCs w:val="20"/>
                <w:lang w:eastAsia="es-MX"/>
              </w:rPr>
              <w:t xml:space="preserve">Se brinda atención permanente </w:t>
            </w:r>
          </w:p>
        </w:tc>
      </w:tr>
    </w:tbl>
    <w:p w14:paraId="39437998" w14:textId="77777777" w:rsidR="00FC7DCB" w:rsidRDefault="00FC7DCB" w:rsidP="00FC7DCB">
      <w:pPr>
        <w:spacing w:line="360" w:lineRule="auto"/>
        <w:jc w:val="both"/>
        <w:rPr>
          <w:rFonts w:ascii="Century Gothic" w:eastAsia="Verdana" w:hAnsi="Century Gothic" w:cs="Verdana"/>
          <w:bCs/>
          <w:color w:val="000000" w:themeColor="text1"/>
          <w:lang w:val="es-ES"/>
        </w:rPr>
      </w:pPr>
    </w:p>
    <w:p w14:paraId="39E763A7" w14:textId="4FFD08B2" w:rsidR="00FC7DCB" w:rsidRPr="00FC7DCB" w:rsidRDefault="00FC7DCB" w:rsidP="00FC7DCB">
      <w:pPr>
        <w:spacing w:line="360" w:lineRule="auto"/>
        <w:ind w:firstLine="708"/>
        <w:jc w:val="both"/>
        <w:rPr>
          <w:rFonts w:ascii="Century Gothic" w:eastAsia="Verdana" w:hAnsi="Century Gothic" w:cs="Verdana"/>
          <w:bCs/>
          <w:color w:val="000000" w:themeColor="text1"/>
          <w:sz w:val="22"/>
          <w:szCs w:val="22"/>
          <w:lang w:val="es-ES"/>
        </w:rPr>
      </w:pPr>
      <w:r w:rsidRPr="00FC7DCB">
        <w:rPr>
          <w:rFonts w:ascii="Century Gothic" w:eastAsia="Verdana" w:hAnsi="Century Gothic" w:cs="Verdana"/>
          <w:bCs/>
          <w:color w:val="000000" w:themeColor="text1"/>
          <w:sz w:val="22"/>
          <w:szCs w:val="22"/>
          <w:lang w:val="es-ES"/>
        </w:rPr>
        <w:t xml:space="preserve">La </w:t>
      </w:r>
      <w:r w:rsidRPr="00FC7DCB">
        <w:rPr>
          <w:rFonts w:ascii="Century Gothic" w:eastAsia="Verdana" w:hAnsi="Century Gothic" w:cs="Verdana"/>
          <w:b/>
          <w:color w:val="000000" w:themeColor="text1"/>
          <w:sz w:val="22"/>
          <w:szCs w:val="22"/>
          <w:lang w:val="es-ES"/>
        </w:rPr>
        <w:t>recreación</w:t>
      </w:r>
      <w:r w:rsidRPr="00FC7DCB">
        <w:rPr>
          <w:rFonts w:ascii="Century Gothic" w:eastAsia="Verdana" w:hAnsi="Century Gothic" w:cs="Verdana"/>
          <w:bCs/>
          <w:color w:val="000000" w:themeColor="text1"/>
          <w:sz w:val="22"/>
          <w:szCs w:val="22"/>
          <w:lang w:val="es-ES"/>
        </w:rPr>
        <w:t xml:space="preserve"> nos permite poder vivir infinitas experiencias que nos permitan tanto divertirnos como reflexionar con nosotros mismos nuestros valores de vida. Es así como los espacios públicos recreativos pueden cumplir otra de sus funciones, ayudarnos a ser mejores ciudadanos de una manera sana. </w:t>
      </w:r>
    </w:p>
    <w:p w14:paraId="7CE6D46E" w14:textId="2B448A35" w:rsidR="00FC7DCB" w:rsidRDefault="00FC7DCB" w:rsidP="00FC7DCB">
      <w:pPr>
        <w:spacing w:line="360" w:lineRule="auto"/>
        <w:jc w:val="both"/>
        <w:rPr>
          <w:rFonts w:ascii="Century Gothic" w:eastAsia="Verdana" w:hAnsi="Century Gothic" w:cs="Verdana"/>
          <w:bCs/>
          <w:color w:val="000000" w:themeColor="text1"/>
          <w:sz w:val="22"/>
          <w:szCs w:val="22"/>
          <w:lang w:val="es-ES"/>
        </w:rPr>
      </w:pPr>
      <w:r w:rsidRPr="00FC7DCB">
        <w:rPr>
          <w:rFonts w:ascii="Century Gothic" w:eastAsia="Verdana" w:hAnsi="Century Gothic" w:cs="Verdana"/>
          <w:bCs/>
          <w:color w:val="000000" w:themeColor="text1"/>
          <w:sz w:val="22"/>
          <w:szCs w:val="22"/>
          <w:lang w:val="es-ES"/>
        </w:rPr>
        <w:t xml:space="preserve">Comúnmente como personas podemos realizar las actividades que nos interesan cuando llegamos a tener tiempos libres o de ocio. Lo cual nos permite tener la libertad de visitar cualquier lugar donde podamos realizar dicha actividad para recrearnos. Uno de los espacios de recreación más reconocidos en nuestro Municipio es el Parque de Las Ranas. Este parque es un espacio recreativo muy concurrido en Semana Santa por los </w:t>
      </w:r>
      <w:r w:rsidRPr="00FC7DCB">
        <w:rPr>
          <w:rFonts w:ascii="Century Gothic" w:eastAsia="Verdana" w:hAnsi="Century Gothic" w:cs="Verdana"/>
          <w:bCs/>
          <w:color w:val="000000" w:themeColor="text1"/>
          <w:sz w:val="22"/>
          <w:szCs w:val="22"/>
          <w:lang w:val="es-ES"/>
        </w:rPr>
        <w:lastRenderedPageBreak/>
        <w:t>mexiquenses. Cuenta con una extensa zona arbolada que ofrece áreas verdes, palapas, asadores, juegos infantiles, alberca, chapoteadero, sanitarios y un salón de usos múltiples.</w:t>
      </w:r>
    </w:p>
    <w:p w14:paraId="7F76CF7E" w14:textId="77777777" w:rsidR="00FC7DCB" w:rsidRDefault="00FC7DCB">
      <w:pPr>
        <w:rPr>
          <w:rFonts w:ascii="Century Gothic" w:eastAsia="Verdana" w:hAnsi="Century Gothic" w:cs="Verdana"/>
          <w:bCs/>
          <w:color w:val="000000" w:themeColor="text1"/>
          <w:sz w:val="22"/>
          <w:szCs w:val="22"/>
          <w:lang w:val="es-ES"/>
        </w:rPr>
      </w:pPr>
      <w:r>
        <w:rPr>
          <w:rFonts w:ascii="Century Gothic" w:eastAsia="Verdana" w:hAnsi="Century Gothic" w:cs="Verdana"/>
          <w:bCs/>
          <w:color w:val="000000" w:themeColor="text1"/>
          <w:sz w:val="22"/>
          <w:szCs w:val="22"/>
          <w:lang w:val="es-ES"/>
        </w:rPr>
        <w:br w:type="page"/>
      </w:r>
    </w:p>
    <w:p w14:paraId="6D8209FA" w14:textId="77777777" w:rsidR="00FC7DCB" w:rsidRDefault="00FC7DCB" w:rsidP="00FC7DCB">
      <w:pPr>
        <w:spacing w:line="360" w:lineRule="auto"/>
        <w:jc w:val="both"/>
        <w:rPr>
          <w:rFonts w:ascii="Century Gothic" w:eastAsia="Verdana" w:hAnsi="Century Gothic" w:cs="Verdana"/>
          <w:bCs/>
          <w:color w:val="000000" w:themeColor="text1"/>
          <w:sz w:val="22"/>
          <w:szCs w:val="22"/>
          <w:lang w:val="es-ES"/>
        </w:rPr>
        <w:sectPr w:rsidR="00FC7DCB" w:rsidSect="00CE2E14">
          <w:pgSz w:w="15840" w:h="12240" w:orient="landscape"/>
          <w:pgMar w:top="1440" w:right="1440" w:bottom="1440" w:left="1440" w:header="709" w:footer="709" w:gutter="0"/>
          <w:cols w:num="2" w:space="708"/>
          <w:docGrid w:linePitch="360"/>
        </w:sectPr>
      </w:pPr>
    </w:p>
    <w:p w14:paraId="4C4FC4FA" w14:textId="63AB1B0F" w:rsidR="00FC7DCB" w:rsidRDefault="00FC7DCB" w:rsidP="00FC7DCB">
      <w:pPr>
        <w:spacing w:after="0" w:line="240" w:lineRule="auto"/>
        <w:jc w:val="both"/>
        <w:rPr>
          <w:rFonts w:ascii="Century Gothic" w:eastAsia="Verdana" w:hAnsi="Century Gothic" w:cs="Verdana"/>
          <w:b/>
          <w:bCs/>
          <w:color w:val="8DD873" w:themeColor="accent6" w:themeTint="99"/>
          <w:lang w:val="es-ES"/>
        </w:rPr>
      </w:pPr>
      <w:r w:rsidRPr="00202AFA">
        <w:rPr>
          <w:rFonts w:ascii="Century Gothic" w:eastAsia="Verdana" w:hAnsi="Century Gothic" w:cs="Verdana"/>
          <w:b/>
          <w:bCs/>
          <w:color w:val="8DD873" w:themeColor="accent6" w:themeTint="99"/>
          <w:lang w:val="es-ES"/>
        </w:rPr>
        <w:lastRenderedPageBreak/>
        <w:t>Análisis Prospectivo</w:t>
      </w:r>
    </w:p>
    <w:tbl>
      <w:tblPr>
        <w:tblStyle w:val="Tablaconcuadrcula4-nfasis2"/>
        <w:tblW w:w="5000" w:type="pct"/>
        <w:tblLook w:val="01E0" w:firstRow="1" w:lastRow="1" w:firstColumn="1" w:lastColumn="1" w:noHBand="0" w:noVBand="0"/>
      </w:tblPr>
      <w:tblGrid>
        <w:gridCol w:w="2546"/>
        <w:gridCol w:w="5245"/>
        <w:gridCol w:w="5159"/>
      </w:tblGrid>
      <w:tr w:rsidR="00DD1E72" w:rsidRPr="00202AFA" w14:paraId="3658DE91" w14:textId="77777777" w:rsidTr="00FC7DCB">
        <w:trPr>
          <w:cnfStyle w:val="100000000000" w:firstRow="1" w:lastRow="0" w:firstColumn="0" w:lastColumn="0" w:oddVBand="0" w:evenVBand="0" w:oddHBand="0"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983" w:type="pct"/>
          </w:tcPr>
          <w:p w14:paraId="449A16F5" w14:textId="77777777" w:rsidR="00FC7DCB" w:rsidRPr="00202AFA" w:rsidRDefault="00FC7DCB" w:rsidP="00FC7DCB">
            <w:pPr>
              <w:widowControl w:val="0"/>
              <w:autoSpaceDE w:val="0"/>
              <w:autoSpaceDN w:val="0"/>
              <w:ind w:left="206"/>
              <w:rPr>
                <w:rFonts w:ascii="Corbel" w:eastAsia="Verdana" w:hAnsi="Corbel" w:cs="Verdana"/>
                <w:lang w:val="es-ES"/>
              </w:rPr>
            </w:pPr>
            <w:r w:rsidRPr="00202AFA">
              <w:rPr>
                <w:rFonts w:ascii="Corbel" w:eastAsia="Verdana" w:hAnsi="Corbel" w:cs="Verdana"/>
                <w:w w:val="90"/>
                <w:lang w:val="es-ES"/>
              </w:rPr>
              <w:t>Tema</w:t>
            </w:r>
            <w:r w:rsidRPr="00202AFA">
              <w:rPr>
                <w:rFonts w:ascii="Corbel" w:eastAsia="Verdana" w:hAnsi="Corbel" w:cs="Verdana"/>
                <w:spacing w:val="12"/>
                <w:lang w:val="es-ES"/>
              </w:rPr>
              <w:t xml:space="preserve"> </w:t>
            </w:r>
            <w:r w:rsidRPr="00202AFA">
              <w:rPr>
                <w:rFonts w:ascii="Corbel" w:eastAsia="Verdana" w:hAnsi="Corbel" w:cs="Verdana"/>
                <w:w w:val="90"/>
                <w:lang w:val="es-ES"/>
              </w:rPr>
              <w:t>de</w:t>
            </w:r>
            <w:r w:rsidRPr="00202AFA">
              <w:rPr>
                <w:rFonts w:ascii="Corbel" w:eastAsia="Verdana" w:hAnsi="Corbel" w:cs="Verdana"/>
                <w:spacing w:val="13"/>
                <w:lang w:val="es-ES"/>
              </w:rPr>
              <w:t xml:space="preserve"> </w:t>
            </w:r>
            <w:r w:rsidRPr="00202AFA">
              <w:rPr>
                <w:rFonts w:ascii="Corbel" w:eastAsia="Verdana" w:hAnsi="Corbel" w:cs="Verdana"/>
                <w:w w:val="90"/>
                <w:lang w:val="es-ES"/>
              </w:rPr>
              <w:t>Desarrollo</w:t>
            </w:r>
            <w:r w:rsidRPr="00202AFA">
              <w:rPr>
                <w:rFonts w:ascii="Corbel" w:eastAsia="Verdana" w:hAnsi="Corbel" w:cs="Verdana"/>
                <w:spacing w:val="15"/>
                <w:lang w:val="es-ES"/>
              </w:rPr>
              <w:t xml:space="preserve"> </w:t>
            </w:r>
          </w:p>
        </w:tc>
        <w:tc>
          <w:tcPr>
            <w:cnfStyle w:val="000010000000" w:firstRow="0" w:lastRow="0" w:firstColumn="0" w:lastColumn="0" w:oddVBand="1" w:evenVBand="0" w:oddHBand="0" w:evenHBand="0" w:firstRowFirstColumn="0" w:firstRowLastColumn="0" w:lastRowFirstColumn="0" w:lastRowLastColumn="0"/>
            <w:tcW w:w="2025" w:type="pct"/>
          </w:tcPr>
          <w:p w14:paraId="666F7B96" w14:textId="77777777" w:rsidR="00FC7DCB" w:rsidRPr="00202AFA" w:rsidRDefault="00FC7DCB" w:rsidP="00FC7DCB">
            <w:pPr>
              <w:widowControl w:val="0"/>
              <w:autoSpaceDE w:val="0"/>
              <w:autoSpaceDN w:val="0"/>
              <w:ind w:left="957"/>
              <w:rPr>
                <w:rFonts w:ascii="Corbel" w:eastAsia="Verdana" w:hAnsi="Corbel" w:cs="Verdana"/>
                <w:lang w:val="es-ES"/>
              </w:rPr>
            </w:pPr>
            <w:r w:rsidRPr="00202AFA">
              <w:rPr>
                <w:rFonts w:ascii="Corbel" w:eastAsia="Verdana" w:hAnsi="Corbel" w:cs="Verdana"/>
                <w:w w:val="90"/>
                <w:lang w:val="es-ES"/>
              </w:rPr>
              <w:t>Escenario</w:t>
            </w:r>
            <w:r w:rsidRPr="00202AFA">
              <w:rPr>
                <w:rFonts w:ascii="Corbel" w:eastAsia="Verdana" w:hAnsi="Corbel" w:cs="Verdana"/>
                <w:spacing w:val="31"/>
                <w:lang w:val="es-ES"/>
              </w:rPr>
              <w:t xml:space="preserve"> </w:t>
            </w:r>
            <w:r w:rsidRPr="00202AFA">
              <w:rPr>
                <w:rFonts w:ascii="Corbel" w:eastAsia="Verdana" w:hAnsi="Corbel" w:cs="Verdana"/>
                <w:spacing w:val="-2"/>
                <w:lang w:val="es-ES"/>
              </w:rPr>
              <w:t>Tendencial</w:t>
            </w:r>
          </w:p>
        </w:tc>
        <w:tc>
          <w:tcPr>
            <w:cnfStyle w:val="000100000000" w:firstRow="0" w:lastRow="0" w:firstColumn="0" w:lastColumn="1" w:oddVBand="0" w:evenVBand="0" w:oddHBand="0" w:evenHBand="0" w:firstRowFirstColumn="0" w:firstRowLastColumn="0" w:lastRowFirstColumn="0" w:lastRowLastColumn="0"/>
            <w:tcW w:w="1992" w:type="pct"/>
          </w:tcPr>
          <w:p w14:paraId="5DE50760" w14:textId="77777777" w:rsidR="00FC7DCB" w:rsidRPr="00202AFA" w:rsidRDefault="00FC7DCB" w:rsidP="00FC7DCB">
            <w:pPr>
              <w:widowControl w:val="0"/>
              <w:autoSpaceDE w:val="0"/>
              <w:autoSpaceDN w:val="0"/>
              <w:ind w:left="1727"/>
              <w:jc w:val="both"/>
              <w:rPr>
                <w:rFonts w:ascii="Corbel" w:eastAsia="Verdana" w:hAnsi="Corbel" w:cs="Verdana"/>
                <w:lang w:val="es-ES"/>
              </w:rPr>
            </w:pPr>
            <w:r w:rsidRPr="00202AFA">
              <w:rPr>
                <w:rFonts w:ascii="Corbel" w:eastAsia="Verdana" w:hAnsi="Corbel" w:cs="Verdana"/>
                <w:w w:val="90"/>
                <w:lang w:val="es-ES"/>
              </w:rPr>
              <w:t>Escenario</w:t>
            </w:r>
            <w:r w:rsidRPr="00202AFA">
              <w:rPr>
                <w:rFonts w:ascii="Corbel" w:eastAsia="Verdana" w:hAnsi="Corbel" w:cs="Verdana"/>
                <w:spacing w:val="24"/>
                <w:lang w:val="es-ES"/>
              </w:rPr>
              <w:t xml:space="preserve"> </w:t>
            </w:r>
            <w:r w:rsidRPr="00202AFA">
              <w:rPr>
                <w:rFonts w:ascii="Corbel" w:eastAsia="Verdana" w:hAnsi="Corbel" w:cs="Verdana"/>
                <w:spacing w:val="-2"/>
                <w:lang w:val="es-ES"/>
              </w:rPr>
              <w:t>Factible</w:t>
            </w:r>
          </w:p>
        </w:tc>
      </w:tr>
      <w:tr w:rsidR="00DD1E72" w:rsidRPr="00202AFA" w14:paraId="172A93A6" w14:textId="77777777" w:rsidTr="00FC7DCB">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983" w:type="pct"/>
          </w:tcPr>
          <w:p w14:paraId="0A5F41B6"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Impulso al empleo digno y al desarrollo económico</w:t>
            </w:r>
          </w:p>
        </w:tc>
        <w:tc>
          <w:tcPr>
            <w:cnfStyle w:val="000010000000" w:firstRow="0" w:lastRow="0" w:firstColumn="0" w:lastColumn="0" w:oddVBand="1" w:evenVBand="0" w:oddHBand="0" w:evenHBand="0" w:firstRowFirstColumn="0" w:firstRowLastColumn="0" w:lastRowFirstColumn="0" w:lastRowLastColumn="0"/>
            <w:tcW w:w="2025" w:type="pct"/>
          </w:tcPr>
          <w:p w14:paraId="03689F37"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Se han establecido mecanismos como las ferias y eventos de empleo, que facilitan a los pobladores la búsqueda de empleo.</w:t>
            </w:r>
          </w:p>
        </w:tc>
        <w:tc>
          <w:tcPr>
            <w:cnfStyle w:val="000100000000" w:firstRow="0" w:lastRow="0" w:firstColumn="0" w:lastColumn="1" w:oddVBand="0" w:evenVBand="0" w:oddHBand="0" w:evenHBand="0" w:firstRowFirstColumn="0" w:firstRowLastColumn="0" w:lastRowFirstColumn="0" w:lastRowLastColumn="0"/>
            <w:tcW w:w="1992" w:type="pct"/>
          </w:tcPr>
          <w:p w14:paraId="5FB0A804" w14:textId="77777777" w:rsidR="00FC7DCB" w:rsidRPr="00202AFA" w:rsidRDefault="00FC7DCB" w:rsidP="00FC7DCB">
            <w:pPr>
              <w:widowControl w:val="0"/>
              <w:autoSpaceDE w:val="0"/>
              <w:autoSpaceDN w:val="0"/>
              <w:ind w:left="107" w:right="201"/>
              <w:jc w:val="both"/>
              <w:rPr>
                <w:rFonts w:ascii="Corbel" w:eastAsia="Verdana" w:hAnsi="Corbel" w:cs="Verdana"/>
                <w:sz w:val="16"/>
                <w:szCs w:val="16"/>
                <w:lang w:val="es-ES"/>
              </w:rPr>
            </w:pPr>
            <w:r w:rsidRPr="00202AFA">
              <w:rPr>
                <w:rFonts w:ascii="Corbel" w:eastAsia="Verdana" w:hAnsi="Corbel" w:cs="Verdana"/>
                <w:sz w:val="16"/>
                <w:szCs w:val="16"/>
                <w:lang w:val="es-ES"/>
              </w:rPr>
              <w:t>Disminuir el porcentaje de personas desocupadas; logrado la firma de convenios con empresas, instituciones educativas y gubernamentales que ofrecen capacitación para el empleo.</w:t>
            </w:r>
          </w:p>
        </w:tc>
      </w:tr>
      <w:tr w:rsidR="00DD1E72" w:rsidRPr="00202AFA" w14:paraId="44081E08" w14:textId="77777777" w:rsidTr="00FC7DCB">
        <w:trPr>
          <w:trHeight w:val="689"/>
        </w:trPr>
        <w:tc>
          <w:tcPr>
            <w:cnfStyle w:val="001000000000" w:firstRow="0" w:lastRow="0" w:firstColumn="1" w:lastColumn="0" w:oddVBand="0" w:evenVBand="0" w:oddHBand="0" w:evenHBand="0" w:firstRowFirstColumn="0" w:firstRowLastColumn="0" w:lastRowFirstColumn="0" w:lastRowLastColumn="0"/>
            <w:tcW w:w="983" w:type="pct"/>
          </w:tcPr>
          <w:p w14:paraId="576EF3E3" w14:textId="41C10E9F" w:rsidR="00FC7DCB" w:rsidRPr="00202AFA" w:rsidRDefault="00FC7DCB" w:rsidP="00FC7DCB">
            <w:pPr>
              <w:widowControl w:val="0"/>
              <w:autoSpaceDE w:val="0"/>
              <w:autoSpaceDN w:val="0"/>
              <w:ind w:left="107"/>
              <w:jc w:val="both"/>
              <w:rPr>
                <w:rFonts w:ascii="Corbel" w:eastAsia="Verdana" w:hAnsi="Corbel" w:cs="Verdana"/>
                <w:color w:val="FF0000"/>
                <w:w w:val="85"/>
                <w:sz w:val="16"/>
                <w:szCs w:val="16"/>
                <w:lang w:val="es-ES"/>
              </w:rPr>
            </w:pPr>
            <w:bookmarkStart w:id="7" w:name="_Hlk188460687"/>
            <w:r w:rsidRPr="00202AFA">
              <w:rPr>
                <w:rFonts w:ascii="Corbel" w:eastAsia="Verdana" w:hAnsi="Corbel" w:cs="Verdana"/>
                <w:color w:val="000000" w:themeColor="text1"/>
                <w:w w:val="85"/>
                <w:sz w:val="16"/>
                <w:szCs w:val="16"/>
                <w:lang w:val="es-ES"/>
              </w:rPr>
              <w:t>Economía incluyente y atención a la informalidad</w:t>
            </w:r>
            <w:bookmarkEnd w:id="7"/>
          </w:p>
        </w:tc>
        <w:tc>
          <w:tcPr>
            <w:cnfStyle w:val="000010000000" w:firstRow="0" w:lastRow="0" w:firstColumn="0" w:lastColumn="0" w:oddVBand="1" w:evenVBand="0" w:oddHBand="0" w:evenHBand="0" w:firstRowFirstColumn="0" w:firstRowLastColumn="0" w:lastRowFirstColumn="0" w:lastRowLastColumn="0"/>
            <w:tcW w:w="2025" w:type="pct"/>
          </w:tcPr>
          <w:p w14:paraId="568F283A"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 xml:space="preserve"> La exclusión social, la pobreza y la marginación ha sido una inercia municipal, lo que ha provocado serios problemas para la reactivación económica</w:t>
            </w:r>
          </w:p>
        </w:tc>
        <w:tc>
          <w:tcPr>
            <w:cnfStyle w:val="000100000000" w:firstRow="0" w:lastRow="0" w:firstColumn="0" w:lastColumn="1" w:oddVBand="0" w:evenVBand="0" w:oddHBand="0" w:evenHBand="0" w:firstRowFirstColumn="0" w:firstRowLastColumn="0" w:lastRowFirstColumn="0" w:lastRowLastColumn="0"/>
            <w:tcW w:w="1992" w:type="pct"/>
          </w:tcPr>
          <w:p w14:paraId="4D070DF7"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La economía inclusiva funciona con base en los parámetros de la igualdad de oportunidades. Los partícipes económicos se vean beneficiados sin importar el sector de la población al que pertenecen. Como resultado se logra la reducción de la pobreza.</w:t>
            </w:r>
          </w:p>
          <w:p w14:paraId="22AF8EDB"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p>
        </w:tc>
      </w:tr>
      <w:tr w:rsidR="00DD1E72" w:rsidRPr="00202AFA" w14:paraId="45D00C98" w14:textId="77777777" w:rsidTr="00FC7DCB">
        <w:trPr>
          <w:cnfStyle w:val="000000100000" w:firstRow="0" w:lastRow="0" w:firstColumn="0" w:lastColumn="0" w:oddVBand="0" w:evenVBand="0" w:oddHBand="1"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983" w:type="pct"/>
          </w:tcPr>
          <w:p w14:paraId="0674F4C6" w14:textId="77777777" w:rsidR="00FC7DCB" w:rsidRPr="00202AFA" w:rsidRDefault="00FC7DCB" w:rsidP="00FC7DCB">
            <w:pPr>
              <w:widowControl w:val="0"/>
              <w:autoSpaceDE w:val="0"/>
              <w:autoSpaceDN w:val="0"/>
              <w:ind w:left="107"/>
              <w:jc w:val="both"/>
              <w:rPr>
                <w:rFonts w:ascii="Corbel" w:eastAsia="Verdana" w:hAnsi="Corbel" w:cs="Verdana"/>
                <w:color w:val="FF0000"/>
                <w:w w:val="85"/>
                <w:sz w:val="16"/>
                <w:szCs w:val="16"/>
                <w:lang w:val="es-ES"/>
              </w:rPr>
            </w:pPr>
            <w:r w:rsidRPr="00202AFA">
              <w:rPr>
                <w:rFonts w:ascii="Corbel" w:eastAsia="Verdana" w:hAnsi="Corbel" w:cs="Verdana"/>
                <w:color w:val="000000" w:themeColor="text1"/>
                <w:sz w:val="16"/>
                <w:szCs w:val="16"/>
                <w:lang w:val="es-ES"/>
              </w:rPr>
              <w:t>Construcción de entornos competitivos y aprovechamiento de la relocalización de las cadenas de valor</w:t>
            </w:r>
          </w:p>
        </w:tc>
        <w:tc>
          <w:tcPr>
            <w:cnfStyle w:val="000010000000" w:firstRow="0" w:lastRow="0" w:firstColumn="0" w:lastColumn="0" w:oddVBand="1" w:evenVBand="0" w:oddHBand="0" w:evenHBand="0" w:firstRowFirstColumn="0" w:firstRowLastColumn="0" w:lastRowFirstColumn="0" w:lastRowLastColumn="0"/>
            <w:tcW w:w="2025" w:type="pct"/>
          </w:tcPr>
          <w:p w14:paraId="4FDEF791"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La estructura productiva ha cambiado en los últimos tiempos, aumentando la importancia del sector comercial y de servicios.</w:t>
            </w:r>
          </w:p>
        </w:tc>
        <w:tc>
          <w:tcPr>
            <w:cnfStyle w:val="000100000000" w:firstRow="0" w:lastRow="0" w:firstColumn="0" w:lastColumn="1" w:oddVBand="0" w:evenVBand="0" w:oddHBand="0" w:evenHBand="0" w:firstRowFirstColumn="0" w:firstRowLastColumn="0" w:lastRowFirstColumn="0" w:lastRowLastColumn="0"/>
            <w:tcW w:w="1992" w:type="pct"/>
          </w:tcPr>
          <w:p w14:paraId="37CC52E3"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Ser un Municipio moderno que actué como motor de crecimiento económico, involucrando la participación de toda la sociedad y principalmente de aquellos sectores que, como el comercio, aportan trabajo e ideas que generan resultados concretos y tangibles.</w:t>
            </w:r>
          </w:p>
          <w:p w14:paraId="3494A6CE"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p>
        </w:tc>
      </w:tr>
      <w:tr w:rsidR="00DD1E72" w:rsidRPr="00202AFA" w14:paraId="419BD316" w14:textId="77777777" w:rsidTr="00FC7DCB">
        <w:trPr>
          <w:trHeight w:val="823"/>
        </w:trPr>
        <w:tc>
          <w:tcPr>
            <w:cnfStyle w:val="001000000000" w:firstRow="0" w:lastRow="0" w:firstColumn="1" w:lastColumn="0" w:oddVBand="0" w:evenVBand="0" w:oddHBand="0" w:evenHBand="0" w:firstRowFirstColumn="0" w:firstRowLastColumn="0" w:lastRowFirstColumn="0" w:lastRowLastColumn="0"/>
            <w:tcW w:w="983" w:type="pct"/>
          </w:tcPr>
          <w:p w14:paraId="5980024D" w14:textId="77777777" w:rsidR="00FC7DCB" w:rsidRPr="00202AFA" w:rsidRDefault="00FC7DCB" w:rsidP="00FC7DCB">
            <w:pPr>
              <w:widowControl w:val="0"/>
              <w:autoSpaceDE w:val="0"/>
              <w:autoSpaceDN w:val="0"/>
              <w:ind w:left="107"/>
              <w:jc w:val="both"/>
              <w:rPr>
                <w:rFonts w:ascii="Corbel" w:eastAsia="Verdana" w:hAnsi="Corbel" w:cs="Verdana"/>
                <w:w w:val="85"/>
                <w:sz w:val="16"/>
                <w:szCs w:val="16"/>
                <w:lang w:val="es-ES"/>
              </w:rPr>
            </w:pPr>
            <w:r w:rsidRPr="00202AFA">
              <w:rPr>
                <w:rFonts w:ascii="Corbel" w:eastAsia="Verdana" w:hAnsi="Corbel" w:cs="Verdana"/>
                <w:sz w:val="16"/>
                <w:szCs w:val="16"/>
                <w:lang w:val="es-ES"/>
              </w:rPr>
              <w:t>Fomento al Turismo</w:t>
            </w:r>
          </w:p>
        </w:tc>
        <w:tc>
          <w:tcPr>
            <w:cnfStyle w:val="000010000000" w:firstRow="0" w:lastRow="0" w:firstColumn="0" w:lastColumn="0" w:oddVBand="1" w:evenVBand="0" w:oddHBand="0" w:evenHBand="0" w:firstRowFirstColumn="0" w:firstRowLastColumn="0" w:lastRowFirstColumn="0" w:lastRowLastColumn="0"/>
            <w:tcW w:w="2025" w:type="pct"/>
          </w:tcPr>
          <w:p w14:paraId="1EE53112"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La importancia del turismo en la economía es evidente, ya que no solo genera ingresos directos, sino que también impulsa otras de la economía. Además, la importancia del turismo para un Municipio radica en su capacidad para promover el intercambio cultural, fomentar la paz y el entendimiento mutuo entre diferentes naciones y culturas.</w:t>
            </w:r>
          </w:p>
        </w:tc>
        <w:tc>
          <w:tcPr>
            <w:cnfStyle w:val="000100000000" w:firstRow="0" w:lastRow="0" w:firstColumn="0" w:lastColumn="1" w:oddVBand="0" w:evenVBand="0" w:oddHBand="0" w:evenHBand="0" w:firstRowFirstColumn="0" w:firstRowLastColumn="0" w:lastRowFirstColumn="0" w:lastRowLastColumn="0"/>
            <w:tcW w:w="1992" w:type="pct"/>
          </w:tcPr>
          <w:p w14:paraId="599844FF"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Facilitar el contacto entre diferentes culturas, permitiendo a los turistas aprender sobre otras formas de vida, tradiciones y costumbres. Gracias al aumento de la difusión artesanal aumentar el turismo, que a su vez traiga consigo un aumento económico.</w:t>
            </w:r>
          </w:p>
        </w:tc>
      </w:tr>
      <w:tr w:rsidR="00DD1E72" w:rsidRPr="00202AFA" w14:paraId="2FE27605" w14:textId="77777777" w:rsidTr="00FC7DCB">
        <w:trPr>
          <w:cnfStyle w:val="000000100000" w:firstRow="0" w:lastRow="0" w:firstColumn="0" w:lastColumn="0" w:oddVBand="0" w:evenVBand="0" w:oddHBand="1" w:evenHBand="0" w:firstRowFirstColumn="0" w:firstRowLastColumn="0" w:lastRowFirstColumn="0" w:lastRowLastColumn="0"/>
          <w:trHeight w:val="1027"/>
        </w:trPr>
        <w:tc>
          <w:tcPr>
            <w:cnfStyle w:val="001000000000" w:firstRow="0" w:lastRow="0" w:firstColumn="1" w:lastColumn="0" w:oddVBand="0" w:evenVBand="0" w:oddHBand="0" w:evenHBand="0" w:firstRowFirstColumn="0" w:firstRowLastColumn="0" w:lastRowFirstColumn="0" w:lastRowLastColumn="0"/>
            <w:tcW w:w="983" w:type="pct"/>
          </w:tcPr>
          <w:p w14:paraId="11FDD4C7" w14:textId="77777777" w:rsidR="00FC7DCB" w:rsidRPr="00202AFA" w:rsidRDefault="00FC7DCB" w:rsidP="00FC7DCB">
            <w:pPr>
              <w:widowControl w:val="0"/>
              <w:autoSpaceDE w:val="0"/>
              <w:autoSpaceDN w:val="0"/>
              <w:ind w:right="721"/>
              <w:jc w:val="both"/>
              <w:rPr>
                <w:rFonts w:ascii="Corbel" w:eastAsia="Verdana" w:hAnsi="Corbel" w:cs="Verdana"/>
                <w:sz w:val="16"/>
                <w:szCs w:val="16"/>
                <w:lang w:val="es-ES"/>
              </w:rPr>
            </w:pPr>
            <w:r w:rsidRPr="00202AFA">
              <w:rPr>
                <w:rFonts w:ascii="Corbel" w:eastAsia="Verdana" w:hAnsi="Corbel" w:cs="Verdana"/>
                <w:sz w:val="16"/>
                <w:szCs w:val="16"/>
                <w:lang w:val="es-ES"/>
              </w:rPr>
              <w:t>Desarrollo agrario y dignificación del campo</w:t>
            </w:r>
          </w:p>
          <w:p w14:paraId="51D88B57" w14:textId="77777777" w:rsidR="00FC7DCB" w:rsidRPr="00202AFA" w:rsidRDefault="00FC7DCB" w:rsidP="00FC7DCB">
            <w:pPr>
              <w:widowControl w:val="0"/>
              <w:autoSpaceDE w:val="0"/>
              <w:autoSpaceDN w:val="0"/>
              <w:ind w:left="107" w:right="721"/>
              <w:jc w:val="both"/>
              <w:rPr>
                <w:rFonts w:ascii="Corbel" w:eastAsia="Verdana" w:hAnsi="Corbel" w:cs="Verdana"/>
                <w:sz w:val="16"/>
                <w:szCs w:val="16"/>
                <w:lang w:val="es-ES"/>
              </w:rPr>
            </w:pPr>
          </w:p>
        </w:tc>
        <w:tc>
          <w:tcPr>
            <w:cnfStyle w:val="000010000000" w:firstRow="0" w:lastRow="0" w:firstColumn="0" w:lastColumn="0" w:oddVBand="1" w:evenVBand="0" w:oddHBand="0" w:evenHBand="0" w:firstRowFirstColumn="0" w:firstRowLastColumn="0" w:lastRowFirstColumn="0" w:lastRowLastColumn="0"/>
            <w:tcW w:w="2025" w:type="pct"/>
          </w:tcPr>
          <w:p w14:paraId="7B667985"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La superficie sembrada y de producción para 2020 fue de 1,551 hectáreas y el valor de la producción fue de 7,321.05 pesos. Dentro de los cultivos que se producen según la encuesta intercensal se encuentra la avena forrajera y maíz grano, además de haba, cultivos importantes que sirven para el consumo humano y para la engorda de ganado.</w:t>
            </w:r>
          </w:p>
          <w:p w14:paraId="2550D941"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p>
        </w:tc>
        <w:tc>
          <w:tcPr>
            <w:cnfStyle w:val="000100000000" w:firstRow="0" w:lastRow="0" w:firstColumn="0" w:lastColumn="1" w:oddVBand="0" w:evenVBand="0" w:oddHBand="0" w:evenHBand="0" w:firstRowFirstColumn="0" w:firstRowLastColumn="0" w:lastRowFirstColumn="0" w:lastRowLastColumn="0"/>
            <w:tcW w:w="1992" w:type="pct"/>
          </w:tcPr>
          <w:p w14:paraId="29AB68DC"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Saldar la deuda histórica con los sectores sociales más desfavorecidos, por lo que ya es tiempo de dignificar al campo y de honrar a sus productoras y productores.</w:t>
            </w:r>
          </w:p>
        </w:tc>
      </w:tr>
      <w:tr w:rsidR="00DD1E72" w:rsidRPr="00202AFA" w14:paraId="3A0ED829" w14:textId="77777777" w:rsidTr="00FC7DCB">
        <w:trPr>
          <w:trHeight w:val="1583"/>
        </w:trPr>
        <w:tc>
          <w:tcPr>
            <w:cnfStyle w:val="001000000000" w:firstRow="0" w:lastRow="0" w:firstColumn="1" w:lastColumn="0" w:oddVBand="0" w:evenVBand="0" w:oddHBand="0" w:evenHBand="0" w:firstRowFirstColumn="0" w:firstRowLastColumn="0" w:lastRowFirstColumn="0" w:lastRowLastColumn="0"/>
            <w:tcW w:w="983" w:type="pct"/>
            <w:tcBorders>
              <w:bottom w:val="single" w:sz="4" w:space="0" w:color="E97132" w:themeColor="accent2"/>
            </w:tcBorders>
          </w:tcPr>
          <w:p w14:paraId="1DD67D34" w14:textId="77777777" w:rsidR="00FC7DCB" w:rsidRPr="00202AFA" w:rsidRDefault="00FC7DCB" w:rsidP="00FC7DCB">
            <w:pPr>
              <w:widowControl w:val="0"/>
              <w:autoSpaceDE w:val="0"/>
              <w:autoSpaceDN w:val="0"/>
              <w:ind w:right="721"/>
              <w:jc w:val="both"/>
              <w:rPr>
                <w:rFonts w:ascii="Corbel" w:eastAsia="Verdana" w:hAnsi="Corbel" w:cs="Verdana"/>
                <w:sz w:val="16"/>
                <w:szCs w:val="16"/>
                <w:lang w:val="es-ES"/>
              </w:rPr>
            </w:pPr>
            <w:r w:rsidRPr="00202AFA">
              <w:rPr>
                <w:rFonts w:ascii="Corbel" w:eastAsia="Verdana" w:hAnsi="Corbel" w:cs="Verdana"/>
                <w:sz w:val="16"/>
                <w:szCs w:val="16"/>
                <w:lang w:val="es-ES"/>
              </w:rPr>
              <w:t>Movilidad segura y de calidad</w:t>
            </w:r>
          </w:p>
          <w:p w14:paraId="488DF022" w14:textId="77777777" w:rsidR="00FC7DCB" w:rsidRPr="00202AFA" w:rsidRDefault="00FC7DCB" w:rsidP="00FC7DCB">
            <w:pPr>
              <w:widowControl w:val="0"/>
              <w:autoSpaceDE w:val="0"/>
              <w:autoSpaceDN w:val="0"/>
              <w:ind w:left="107" w:right="721"/>
              <w:jc w:val="both"/>
              <w:rPr>
                <w:rFonts w:ascii="Corbel" w:eastAsia="Verdana" w:hAnsi="Corbel" w:cs="Verdana"/>
                <w:sz w:val="16"/>
                <w:szCs w:val="16"/>
                <w:lang w:val="es-ES"/>
              </w:rPr>
            </w:pPr>
          </w:p>
        </w:tc>
        <w:tc>
          <w:tcPr>
            <w:cnfStyle w:val="000010000000" w:firstRow="0" w:lastRow="0" w:firstColumn="0" w:lastColumn="0" w:oddVBand="1" w:evenVBand="0" w:oddHBand="0" w:evenHBand="0" w:firstRowFirstColumn="0" w:firstRowLastColumn="0" w:lastRowFirstColumn="0" w:lastRowLastColumn="0"/>
            <w:tcW w:w="2025" w:type="pct"/>
            <w:tcBorders>
              <w:bottom w:val="single" w:sz="4" w:space="0" w:color="E97132" w:themeColor="accent2"/>
            </w:tcBorders>
          </w:tcPr>
          <w:p w14:paraId="084223B1"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Los problemas de movilidad son uno de los más complejos de resolver; de ahí que es necesario contar con programas que verdaderamente lleguen al punto nodal de la situación; dado el crecimiento demográfico.</w:t>
            </w:r>
          </w:p>
        </w:tc>
        <w:tc>
          <w:tcPr>
            <w:cnfStyle w:val="000100000000" w:firstRow="0" w:lastRow="0" w:firstColumn="0" w:lastColumn="1" w:oddVBand="0" w:evenVBand="0" w:oddHBand="0" w:evenHBand="0" w:firstRowFirstColumn="0" w:firstRowLastColumn="0" w:lastRowFirstColumn="0" w:lastRowLastColumn="0"/>
            <w:tcW w:w="1992" w:type="pct"/>
            <w:tcBorders>
              <w:bottom w:val="single" w:sz="4" w:space="0" w:color="E97132" w:themeColor="accent2"/>
            </w:tcBorders>
          </w:tcPr>
          <w:p w14:paraId="6C6000E2"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Sentar las bases para el desarrollo de la movilidad y la seguridad vial del Municipio, con un horizonte de planeación en el corto, mediano y largo plazo con el propósito de garantizar el derecho de todas las personas a trasladarse y disponer de sistemas integrales de movilidad con calidad, suficiencia y accesibilidad que, en condiciones de igualdad, equidad y sostenibilidad, permitan reducir las brechas de desigualdad en el acceso de las personas al derecho a la movilidad.</w:t>
            </w:r>
          </w:p>
        </w:tc>
      </w:tr>
      <w:tr w:rsidR="00DD1E72" w:rsidRPr="00202AFA" w14:paraId="26708266" w14:textId="77777777" w:rsidTr="00FC7DCB">
        <w:trPr>
          <w:cnfStyle w:val="010000000000" w:firstRow="0" w:lastRow="1" w:firstColumn="0" w:lastColumn="0" w:oddVBand="0" w:evenVBand="0" w:oddHBand="0"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983" w:type="pct"/>
            <w:tcBorders>
              <w:top w:val="single" w:sz="4" w:space="0" w:color="E97132" w:themeColor="accent2"/>
            </w:tcBorders>
          </w:tcPr>
          <w:p w14:paraId="668772AF" w14:textId="77777777" w:rsidR="00FC7DCB" w:rsidRPr="00202AFA" w:rsidRDefault="00FC7DCB" w:rsidP="00FC7DCB">
            <w:pPr>
              <w:widowControl w:val="0"/>
              <w:autoSpaceDE w:val="0"/>
              <w:autoSpaceDN w:val="0"/>
              <w:rPr>
                <w:rFonts w:ascii="Corbel" w:eastAsia="Verdana" w:hAnsi="Corbel" w:cs="Verdana"/>
                <w:sz w:val="16"/>
                <w:szCs w:val="16"/>
                <w:lang w:val="es-ES"/>
              </w:rPr>
            </w:pPr>
            <w:r w:rsidRPr="00202AFA">
              <w:rPr>
                <w:rFonts w:ascii="Corbel" w:eastAsia="Verdana" w:hAnsi="Corbel" w:cs="Verdana"/>
                <w:spacing w:val="-2"/>
                <w:sz w:val="16"/>
                <w:szCs w:val="16"/>
                <w:lang w:val="es-ES"/>
              </w:rPr>
              <w:t>Infraestructura urbana y rural.</w:t>
            </w:r>
          </w:p>
        </w:tc>
        <w:tc>
          <w:tcPr>
            <w:cnfStyle w:val="000010000000" w:firstRow="0" w:lastRow="0" w:firstColumn="0" w:lastColumn="0" w:oddVBand="1" w:evenVBand="0" w:oddHBand="0" w:evenHBand="0" w:firstRowFirstColumn="0" w:firstRowLastColumn="0" w:lastRowFirstColumn="0" w:lastRowLastColumn="0"/>
            <w:tcW w:w="2025" w:type="pct"/>
            <w:tcBorders>
              <w:top w:val="single" w:sz="4" w:space="0" w:color="E97132" w:themeColor="accent2"/>
            </w:tcBorders>
          </w:tcPr>
          <w:p w14:paraId="7547A2F3"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 xml:space="preserve">Los procesos de urbanización presentan varios retos, por un lado, deben satisfacer necesidades socioeconómicas y políticas, y por otro, tendrían que realizarse evitando impactos ambientales al interior y exterior de las ciudades, reconociendo el valor del soporte natural que las sustenta. En virtud, de lo anterior se cuenta con una de hoja de ruta, que permite realizar de acciones de infraestructura urbana y rural. </w:t>
            </w:r>
          </w:p>
        </w:tc>
        <w:tc>
          <w:tcPr>
            <w:cnfStyle w:val="000100000000" w:firstRow="0" w:lastRow="0" w:firstColumn="0" w:lastColumn="1" w:oddVBand="0" w:evenVBand="0" w:oddHBand="0" w:evenHBand="0" w:firstRowFirstColumn="0" w:firstRowLastColumn="0" w:lastRowFirstColumn="0" w:lastRowLastColumn="0"/>
            <w:tcW w:w="1992" w:type="pct"/>
            <w:tcBorders>
              <w:top w:val="single" w:sz="4" w:space="0" w:color="E97132" w:themeColor="accent2"/>
            </w:tcBorders>
          </w:tcPr>
          <w:p w14:paraId="58433C63" w14:textId="77777777" w:rsidR="00FC7DCB" w:rsidRPr="00202AFA" w:rsidRDefault="00FC7DCB" w:rsidP="00FC7DCB">
            <w:pPr>
              <w:widowControl w:val="0"/>
              <w:autoSpaceDE w:val="0"/>
              <w:autoSpaceDN w:val="0"/>
              <w:ind w:left="107"/>
              <w:rPr>
                <w:rFonts w:ascii="Corbel" w:eastAsia="Verdana" w:hAnsi="Corbel" w:cs="Verdana"/>
                <w:sz w:val="16"/>
                <w:szCs w:val="16"/>
                <w:lang w:val="es-ES"/>
              </w:rPr>
            </w:pPr>
            <w:r w:rsidRPr="00202AFA">
              <w:rPr>
                <w:rFonts w:ascii="Corbel" w:eastAsia="Verdana" w:hAnsi="Corbel" w:cs="Verdana"/>
                <w:sz w:val="16"/>
                <w:szCs w:val="16"/>
                <w:lang w:val="es-ES"/>
              </w:rPr>
              <w:t>Contar con una infraestructura Municipal bien desarrollada y con mantenimiento adecuado puede mejorar la eficiencia y la productividad de las empresas, lo que a su vez puede aumentar la competitividad de la economía en su conjunto.</w:t>
            </w:r>
          </w:p>
        </w:tc>
      </w:tr>
    </w:tbl>
    <w:p w14:paraId="0214789E" w14:textId="7F49D8AE" w:rsidR="00FC7DCB" w:rsidRDefault="00FC7DCB" w:rsidP="000B531E">
      <w:pPr>
        <w:rPr>
          <w:rFonts w:ascii="Century Gothic" w:hAnsi="Century Gothic"/>
          <w:bCs/>
          <w:sz w:val="22"/>
          <w:szCs w:val="22"/>
          <w:lang w:val="es-ES"/>
        </w:rPr>
      </w:pPr>
    </w:p>
    <w:p w14:paraId="4F0A8FD5" w14:textId="77777777" w:rsidR="00FC7DCB" w:rsidRDefault="00FC7DCB">
      <w:pPr>
        <w:rPr>
          <w:rFonts w:ascii="Century Gothic" w:hAnsi="Century Gothic"/>
          <w:bCs/>
          <w:sz w:val="22"/>
          <w:szCs w:val="22"/>
          <w:lang w:val="es-ES"/>
        </w:rPr>
      </w:pPr>
      <w:r>
        <w:rPr>
          <w:rFonts w:ascii="Century Gothic" w:hAnsi="Century Gothic"/>
          <w:bCs/>
          <w:sz w:val="22"/>
          <w:szCs w:val="22"/>
          <w:lang w:val="es-ES"/>
        </w:rPr>
        <w:br w:type="page"/>
      </w:r>
    </w:p>
    <w:p w14:paraId="2E5F6C64" w14:textId="77777777" w:rsidR="00FC7DCB" w:rsidRDefault="00FC7DCB" w:rsidP="000B531E">
      <w:pPr>
        <w:rPr>
          <w:rFonts w:ascii="Century Gothic" w:hAnsi="Century Gothic"/>
          <w:bCs/>
          <w:sz w:val="22"/>
          <w:szCs w:val="22"/>
          <w:lang w:val="es-ES"/>
        </w:rPr>
        <w:sectPr w:rsidR="00FC7DCB" w:rsidSect="00CE2E14">
          <w:pgSz w:w="15840" w:h="12240" w:orient="landscape"/>
          <w:pgMar w:top="1440" w:right="1440" w:bottom="1440" w:left="1440" w:header="709" w:footer="709" w:gutter="0"/>
          <w:cols w:space="708"/>
          <w:docGrid w:linePitch="360"/>
        </w:sectPr>
      </w:pPr>
    </w:p>
    <w:p w14:paraId="4FB48ADE" w14:textId="23E990E2" w:rsidR="00FC7DCB" w:rsidRPr="00FC7DCB" w:rsidRDefault="00FC7DCB" w:rsidP="00FC7DCB">
      <w:pPr>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lastRenderedPageBreak/>
        <w:t>Instrumentación Estratégica</w:t>
      </w:r>
    </w:p>
    <w:p w14:paraId="5C405637"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bCs/>
          <w:color w:val="000000" w:themeColor="text1"/>
          <w:sz w:val="22"/>
          <w:szCs w:val="22"/>
          <w:lang w:val="es-ES"/>
        </w:rPr>
      </w:pPr>
      <w:r w:rsidRPr="00FC7DCB">
        <w:rPr>
          <w:rFonts w:ascii="Century Gothic" w:eastAsia="Verdana" w:hAnsi="Century Gothic" w:cs="Verdana"/>
          <w:b/>
          <w:color w:val="025850"/>
          <w:sz w:val="22"/>
          <w:szCs w:val="22"/>
          <w:lang w:val="es-ES"/>
        </w:rPr>
        <w:t>Objetivo:</w:t>
      </w:r>
      <w:r w:rsidRPr="00FC7DCB">
        <w:rPr>
          <w:rFonts w:ascii="Century Gothic" w:eastAsia="Verdana" w:hAnsi="Century Gothic" w:cs="Verdana"/>
          <w:b/>
          <w:color w:val="000000" w:themeColor="text1"/>
          <w:sz w:val="22"/>
          <w:szCs w:val="22"/>
          <w:lang w:val="es-ES"/>
        </w:rPr>
        <w:t xml:space="preserve"> </w:t>
      </w:r>
      <w:r w:rsidRPr="00FC7DCB">
        <w:rPr>
          <w:rFonts w:ascii="Century Gothic" w:eastAsia="Verdana" w:hAnsi="Century Gothic" w:cs="Verdana"/>
          <w:bCs/>
          <w:color w:val="000000" w:themeColor="text1"/>
          <w:sz w:val="22"/>
          <w:szCs w:val="22"/>
          <w:lang w:val="es-ES"/>
        </w:rPr>
        <w:t xml:space="preserve">Impulsar el empleo digno y el desarrollo económico para mejorar el ingreso y el bienestar de la población, especialmente de los grupos vulnerables. </w:t>
      </w:r>
    </w:p>
    <w:p w14:paraId="228C1B22" w14:textId="77777777" w:rsidR="00FC7DCB" w:rsidRDefault="00FC7DCB" w:rsidP="00FC7DCB">
      <w:pPr>
        <w:widowControl w:val="0"/>
        <w:autoSpaceDE w:val="0"/>
        <w:autoSpaceDN w:val="0"/>
        <w:spacing w:after="0" w:line="240" w:lineRule="auto"/>
        <w:jc w:val="both"/>
        <w:rPr>
          <w:rFonts w:ascii="Century Gothic" w:eastAsia="Verdana" w:hAnsi="Century Gothic" w:cs="Verdana"/>
          <w:b/>
          <w:color w:val="025850"/>
          <w:sz w:val="22"/>
          <w:szCs w:val="22"/>
          <w:lang w:val="es-ES"/>
        </w:rPr>
      </w:pPr>
    </w:p>
    <w:p w14:paraId="2B386794" w14:textId="58467890" w:rsidR="00FC7DCB" w:rsidRPr="00FC7DCB" w:rsidRDefault="00FC7DCB" w:rsidP="00FC7DCB">
      <w:pPr>
        <w:widowControl w:val="0"/>
        <w:autoSpaceDE w:val="0"/>
        <w:autoSpaceDN w:val="0"/>
        <w:spacing w:after="0" w:line="240" w:lineRule="auto"/>
        <w:jc w:val="both"/>
        <w:rPr>
          <w:rFonts w:ascii="Century Gothic" w:eastAsia="Verdana" w:hAnsi="Century Gothic" w:cs="Verdana"/>
          <w:bCs/>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b/>
          <w:color w:val="000000" w:themeColor="text1"/>
          <w:sz w:val="22"/>
          <w:szCs w:val="22"/>
          <w:lang w:val="es-ES"/>
        </w:rPr>
        <w:t xml:space="preserve"> </w:t>
      </w:r>
      <w:r w:rsidRPr="00FC7DCB">
        <w:rPr>
          <w:rFonts w:ascii="Century Gothic" w:eastAsia="Verdana" w:hAnsi="Century Gothic" w:cs="Verdana"/>
          <w:bCs/>
          <w:color w:val="000000" w:themeColor="text1"/>
          <w:sz w:val="22"/>
          <w:szCs w:val="22"/>
          <w:lang w:val="es-ES"/>
        </w:rPr>
        <w:t>Contribuir en la generación de oportunidades laborales dignas para todas y todos.</w:t>
      </w:r>
    </w:p>
    <w:p w14:paraId="4D6CFDE1" w14:textId="77777777" w:rsidR="00FC7DCB" w:rsidRDefault="00FC7DCB" w:rsidP="00FC7DCB">
      <w:pPr>
        <w:widowControl w:val="0"/>
        <w:autoSpaceDE w:val="0"/>
        <w:autoSpaceDN w:val="0"/>
        <w:spacing w:after="0" w:line="240" w:lineRule="auto"/>
        <w:jc w:val="both"/>
        <w:rPr>
          <w:rFonts w:ascii="Century Gothic" w:eastAsia="Verdana" w:hAnsi="Century Gothic" w:cs="Verdana"/>
          <w:b/>
          <w:color w:val="000000" w:themeColor="text1"/>
          <w:sz w:val="22"/>
          <w:szCs w:val="22"/>
          <w:lang w:val="es-ES"/>
        </w:rPr>
      </w:pPr>
    </w:p>
    <w:p w14:paraId="2DEA6C50" w14:textId="73F9B3A0" w:rsidR="00FC7DCB" w:rsidRPr="00FC7DCB" w:rsidRDefault="00FC7DCB" w:rsidP="00FC7DCB">
      <w:pPr>
        <w:widowControl w:val="0"/>
        <w:autoSpaceDE w:val="0"/>
        <w:autoSpaceDN w:val="0"/>
        <w:spacing w:after="0" w:line="240" w:lineRule="auto"/>
        <w:jc w:val="both"/>
        <w:rPr>
          <w:rFonts w:ascii="Century Gothic" w:eastAsia="Verdana" w:hAnsi="Century Gothic" w:cs="Verdana"/>
          <w:b/>
          <w:color w:val="025850"/>
          <w:sz w:val="22"/>
          <w:szCs w:val="22"/>
          <w:lang w:val="es-ES"/>
        </w:rPr>
      </w:pPr>
      <w:r w:rsidRPr="00FC7DCB">
        <w:rPr>
          <w:rFonts w:ascii="Century Gothic" w:eastAsia="Verdana" w:hAnsi="Century Gothic" w:cs="Verdana"/>
          <w:b/>
          <w:color w:val="025850"/>
          <w:sz w:val="22"/>
          <w:szCs w:val="22"/>
          <w:lang w:val="es-ES"/>
        </w:rPr>
        <w:t>Líneas de acción:</w:t>
      </w:r>
    </w:p>
    <w:p w14:paraId="154A00D9" w14:textId="626BD0D4"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 xml:space="preserve">Gestionar el acceso a programas para apoyo a las </w:t>
      </w:r>
      <w:r w:rsidR="000D3D0E" w:rsidRPr="00FC7DCB">
        <w:rPr>
          <w:rFonts w:ascii="Century Gothic" w:eastAsia="Verdana" w:hAnsi="Century Gothic" w:cs="Verdana"/>
          <w:color w:val="000000" w:themeColor="text1"/>
          <w:sz w:val="22"/>
          <w:szCs w:val="22"/>
          <w:lang w:val="es-ES"/>
        </w:rPr>
        <w:t>microempresas</w:t>
      </w:r>
    </w:p>
    <w:p w14:paraId="530F38C2"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Capacitar a micro y pequeños empresarios</w:t>
      </w:r>
    </w:p>
    <w:p w14:paraId="0A013F99"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Brindar asesorías para proyectos productivos</w:t>
      </w:r>
    </w:p>
    <w:p w14:paraId="6CF1913E"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Realizar convocatorias de programas para emprendedores</w:t>
      </w:r>
    </w:p>
    <w:p w14:paraId="0A5DEE5D"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 xml:space="preserve">Realizar jornadas del empleo </w:t>
      </w:r>
    </w:p>
    <w:p w14:paraId="508E1C8F"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Atender a buscadores de empleo</w:t>
      </w:r>
    </w:p>
    <w:p w14:paraId="76EA6B51"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 xml:space="preserve">Vincular, informar y orientar laboralmente a la población </w:t>
      </w:r>
    </w:p>
    <w:p w14:paraId="1A240CAC" w14:textId="77777777" w:rsidR="00FC7DCB" w:rsidRPr="00FC7DCB" w:rsidRDefault="00FC7DCB" w:rsidP="005A1ADF">
      <w:pPr>
        <w:widowControl w:val="0"/>
        <w:numPr>
          <w:ilvl w:val="0"/>
          <w:numId w:val="33"/>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Elaborar y actualizar los catálogos de empresas y de vacantes</w:t>
      </w:r>
    </w:p>
    <w:p w14:paraId="7406DAE7" w14:textId="77777777" w:rsidR="00FC7DCB" w:rsidRPr="00FC7DCB" w:rsidRDefault="00FC7DCB" w:rsidP="00FC7DCB">
      <w:pPr>
        <w:widowControl w:val="0"/>
        <w:autoSpaceDE w:val="0"/>
        <w:autoSpaceDN w:val="0"/>
        <w:spacing w:after="0" w:line="240" w:lineRule="auto"/>
        <w:contextualSpacing/>
        <w:jc w:val="both"/>
        <w:rPr>
          <w:rFonts w:ascii="Century Gothic" w:eastAsia="Verdana" w:hAnsi="Century Gothic" w:cs="Verdana"/>
          <w:color w:val="000000" w:themeColor="text1"/>
          <w:sz w:val="22"/>
          <w:szCs w:val="22"/>
          <w:lang w:val="es-ES"/>
        </w:rPr>
      </w:pPr>
    </w:p>
    <w:p w14:paraId="4608C781" w14:textId="77777777" w:rsidR="00FC7DCB" w:rsidRPr="00FC7DCB" w:rsidRDefault="00FC7DCB" w:rsidP="00FC7DCB">
      <w:pPr>
        <w:widowControl w:val="0"/>
        <w:autoSpaceDE w:val="0"/>
        <w:autoSpaceDN w:val="0"/>
        <w:spacing w:after="0" w:line="240" w:lineRule="auto"/>
        <w:contextualSpacing/>
        <w:jc w:val="both"/>
        <w:rPr>
          <w:rFonts w:ascii="Century Gothic" w:eastAsia="Verdana" w:hAnsi="Century Gothic" w:cs="Verdana"/>
          <w:color w:val="000000" w:themeColor="text1"/>
          <w:sz w:val="22"/>
          <w:szCs w:val="22"/>
          <w:lang w:val="es-ES"/>
        </w:rPr>
      </w:pPr>
    </w:p>
    <w:p w14:paraId="59DA75CE"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Objetivo:</w:t>
      </w:r>
      <w:r w:rsidRPr="00FC7DCB">
        <w:rPr>
          <w:rFonts w:ascii="Century Gothic" w:eastAsia="Verdana" w:hAnsi="Century Gothic" w:cs="Verdana"/>
          <w:color w:val="000000" w:themeColor="text1"/>
          <w:sz w:val="22"/>
          <w:szCs w:val="22"/>
          <w:lang w:val="es-ES"/>
        </w:rPr>
        <w:t xml:space="preserve"> Fomentar el potencial turístico del Estado de México, de manera sostenible e incluyente, atendiendo la diversidad cultural en todas sus manifestaciones y expresiones.</w:t>
      </w:r>
    </w:p>
    <w:p w14:paraId="6B6D74BA" w14:textId="77777777" w:rsidR="00FC7DCB" w:rsidRDefault="00FC7DCB" w:rsidP="00FC7DCB">
      <w:pPr>
        <w:widowControl w:val="0"/>
        <w:autoSpaceDE w:val="0"/>
        <w:autoSpaceDN w:val="0"/>
        <w:spacing w:after="0" w:line="240" w:lineRule="auto"/>
        <w:jc w:val="both"/>
        <w:rPr>
          <w:rFonts w:ascii="Century Gothic" w:eastAsia="Verdana" w:hAnsi="Century Gothic" w:cs="Verdana"/>
          <w:b/>
          <w:color w:val="000000" w:themeColor="text1"/>
          <w:sz w:val="22"/>
          <w:szCs w:val="22"/>
          <w:lang w:val="es-ES"/>
        </w:rPr>
      </w:pPr>
    </w:p>
    <w:p w14:paraId="2CE646CA" w14:textId="69548B36"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color w:val="025850"/>
          <w:sz w:val="22"/>
          <w:szCs w:val="22"/>
          <w:lang w:val="es-ES"/>
        </w:rPr>
        <w:t xml:space="preserve"> </w:t>
      </w:r>
      <w:r w:rsidRPr="00FC7DCB">
        <w:rPr>
          <w:rFonts w:ascii="Century Gothic" w:eastAsia="Verdana" w:hAnsi="Century Gothic" w:cs="Verdana"/>
          <w:color w:val="000000" w:themeColor="text1"/>
          <w:sz w:val="22"/>
          <w:szCs w:val="22"/>
          <w:lang w:val="es-ES"/>
        </w:rPr>
        <w:t>Promover actividades turísticas según el potencial de cada región.</w:t>
      </w:r>
    </w:p>
    <w:p w14:paraId="38C0CD95" w14:textId="77777777" w:rsidR="00FC7DCB" w:rsidRDefault="00FC7DCB" w:rsidP="00FC7DCB">
      <w:pPr>
        <w:widowControl w:val="0"/>
        <w:autoSpaceDE w:val="0"/>
        <w:autoSpaceDN w:val="0"/>
        <w:spacing w:after="0" w:line="240" w:lineRule="auto"/>
        <w:jc w:val="both"/>
        <w:rPr>
          <w:rFonts w:ascii="Century Gothic" w:eastAsia="Verdana" w:hAnsi="Century Gothic" w:cs="Verdana"/>
          <w:b/>
          <w:bCs/>
          <w:color w:val="000000" w:themeColor="text1"/>
          <w:sz w:val="22"/>
          <w:szCs w:val="22"/>
          <w:lang w:val="es-ES"/>
        </w:rPr>
      </w:pPr>
    </w:p>
    <w:p w14:paraId="19367CE4" w14:textId="6123E2CD"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t>Líneas de acción:</w:t>
      </w:r>
    </w:p>
    <w:p w14:paraId="5A61F192" w14:textId="77777777" w:rsidR="00FC7DCB" w:rsidRPr="00FC7DCB" w:rsidRDefault="00FC7DCB" w:rsidP="005A1ADF">
      <w:pPr>
        <w:widowControl w:val="0"/>
        <w:numPr>
          <w:ilvl w:val="0"/>
          <w:numId w:val="34"/>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 xml:space="preserve">Gestionar espacios para exposición y venta de </w:t>
      </w:r>
      <w:r w:rsidRPr="00FC7DCB">
        <w:rPr>
          <w:rFonts w:ascii="Century Gothic" w:eastAsia="Verdana" w:hAnsi="Century Gothic" w:cs="Verdana"/>
          <w:color w:val="000000" w:themeColor="text1"/>
          <w:sz w:val="22"/>
          <w:szCs w:val="22"/>
          <w:lang w:val="es-ES"/>
        </w:rPr>
        <w:t>artesanía</w:t>
      </w:r>
    </w:p>
    <w:p w14:paraId="7A7D5776" w14:textId="77777777" w:rsidR="00FC7DCB" w:rsidRPr="00FC7DCB" w:rsidRDefault="00FC7DCB" w:rsidP="005A1ADF">
      <w:pPr>
        <w:widowControl w:val="0"/>
        <w:numPr>
          <w:ilvl w:val="0"/>
          <w:numId w:val="34"/>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Elaborar catálogo de artesanías para su promoción</w:t>
      </w:r>
    </w:p>
    <w:p w14:paraId="35913983" w14:textId="77777777" w:rsidR="00FC7DCB" w:rsidRPr="00FC7DCB" w:rsidRDefault="00FC7DCB" w:rsidP="005A1ADF">
      <w:pPr>
        <w:widowControl w:val="0"/>
        <w:numPr>
          <w:ilvl w:val="0"/>
          <w:numId w:val="34"/>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Realizar concursos artesanales</w:t>
      </w:r>
    </w:p>
    <w:p w14:paraId="1F5822F2" w14:textId="77777777" w:rsidR="00FC7DCB" w:rsidRPr="00FC7DCB" w:rsidRDefault="00FC7DCB" w:rsidP="005A1ADF">
      <w:pPr>
        <w:widowControl w:val="0"/>
        <w:numPr>
          <w:ilvl w:val="0"/>
          <w:numId w:val="34"/>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Actualizar el padrón artesanal</w:t>
      </w:r>
    </w:p>
    <w:p w14:paraId="134154EA" w14:textId="77777777" w:rsidR="00FC7DCB" w:rsidRPr="00FC7DCB" w:rsidRDefault="00FC7DCB" w:rsidP="005A1ADF">
      <w:pPr>
        <w:widowControl w:val="0"/>
        <w:numPr>
          <w:ilvl w:val="0"/>
          <w:numId w:val="34"/>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Credencializar a los artesanos registrados en el padrón artesanal</w:t>
      </w:r>
    </w:p>
    <w:p w14:paraId="4C6354EC"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b/>
          <w:color w:val="000000" w:themeColor="text1"/>
          <w:sz w:val="22"/>
          <w:szCs w:val="22"/>
          <w:lang w:val="es-ES"/>
        </w:rPr>
      </w:pPr>
    </w:p>
    <w:p w14:paraId="19BDB941"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Objetivo:</w:t>
      </w:r>
      <w:r w:rsidRPr="00FC7DCB">
        <w:rPr>
          <w:rFonts w:ascii="Century Gothic" w:eastAsia="Verdana" w:hAnsi="Century Gothic" w:cs="Verdana"/>
          <w:color w:val="000000" w:themeColor="text1"/>
          <w:sz w:val="22"/>
          <w:szCs w:val="22"/>
          <w:lang w:val="es-ES"/>
        </w:rPr>
        <w:t xml:space="preserve"> Impulsar el campo como motor de bienestar social y económico.</w:t>
      </w:r>
    </w:p>
    <w:p w14:paraId="76DA3330" w14:textId="77777777" w:rsid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p>
    <w:p w14:paraId="1E78AC16" w14:textId="2BEAB3D9" w:rsid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color w:val="000000" w:themeColor="text1"/>
          <w:sz w:val="22"/>
          <w:szCs w:val="22"/>
          <w:lang w:val="es-ES"/>
        </w:rPr>
        <w:t xml:space="preserve"> Potenciar la productividad agropecuaria y forestal con prácticas sostenibles y nuevos incentivos económicos, hacia la soberanía y autosuficiencia alimentarias.</w:t>
      </w:r>
    </w:p>
    <w:p w14:paraId="6602459A"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p>
    <w:p w14:paraId="166E87AF"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t>Líneas de acción:</w:t>
      </w:r>
    </w:p>
    <w:p w14:paraId="29580730"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00000" w:themeColor="text1"/>
          <w:sz w:val="22"/>
          <w:szCs w:val="22"/>
          <w:lang w:val="es-ES"/>
        </w:rPr>
      </w:pPr>
    </w:p>
    <w:p w14:paraId="31188246" w14:textId="77777777" w:rsidR="00FC7DCB" w:rsidRPr="00FC7DCB" w:rsidRDefault="00FC7DCB" w:rsidP="005A1ADF">
      <w:pPr>
        <w:widowControl w:val="0"/>
        <w:numPr>
          <w:ilvl w:val="0"/>
          <w:numId w:val="36"/>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Capacitar y asesorar a los campesinos</w:t>
      </w:r>
    </w:p>
    <w:p w14:paraId="144A75FF" w14:textId="77777777" w:rsidR="00FC7DCB" w:rsidRPr="00FC7DCB" w:rsidRDefault="00FC7DCB" w:rsidP="005A1ADF">
      <w:pPr>
        <w:widowControl w:val="0"/>
        <w:numPr>
          <w:ilvl w:val="0"/>
          <w:numId w:val="36"/>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Gestionar los recursos subsidiados para campesinos</w:t>
      </w:r>
    </w:p>
    <w:p w14:paraId="079D84D1" w14:textId="77777777" w:rsidR="00FC7DCB" w:rsidRPr="00FC7DCB" w:rsidRDefault="00FC7DCB" w:rsidP="005A1ADF">
      <w:pPr>
        <w:widowControl w:val="0"/>
        <w:numPr>
          <w:ilvl w:val="0"/>
          <w:numId w:val="36"/>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Efectuar Jornada de Sanidad y Bienestar animal</w:t>
      </w:r>
    </w:p>
    <w:p w14:paraId="40FCFCD9" w14:textId="77777777" w:rsidR="00FC7DCB" w:rsidRPr="00FC7DCB" w:rsidRDefault="00FC7DCB" w:rsidP="005A1ADF">
      <w:pPr>
        <w:widowControl w:val="0"/>
        <w:numPr>
          <w:ilvl w:val="0"/>
          <w:numId w:val="36"/>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Realizar Censo Agrícola</w:t>
      </w:r>
    </w:p>
    <w:p w14:paraId="447CF024" w14:textId="77777777" w:rsidR="00FC7DCB" w:rsidRPr="00FC7DCB" w:rsidRDefault="00FC7DCB" w:rsidP="005A1ADF">
      <w:pPr>
        <w:widowControl w:val="0"/>
        <w:numPr>
          <w:ilvl w:val="0"/>
          <w:numId w:val="36"/>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Gestionar maquinaria para desazolve de aguas residuales</w:t>
      </w:r>
    </w:p>
    <w:p w14:paraId="312B6BE1"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sz w:val="22"/>
          <w:szCs w:val="22"/>
          <w:lang w:val="es-ES"/>
        </w:rPr>
      </w:pPr>
    </w:p>
    <w:p w14:paraId="69D6694F" w14:textId="60BAA5B9" w:rsid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Objetivo</w:t>
      </w:r>
      <w:r w:rsidRPr="00FC7DCB">
        <w:rPr>
          <w:rFonts w:ascii="Century Gothic" w:eastAsia="Verdana" w:hAnsi="Century Gothic" w:cs="Verdana"/>
          <w:b/>
          <w:color w:val="000000" w:themeColor="text1"/>
          <w:sz w:val="22"/>
          <w:szCs w:val="22"/>
          <w:lang w:val="es-ES"/>
        </w:rPr>
        <w:t>:</w:t>
      </w:r>
      <w:r w:rsidRPr="00FC7DCB">
        <w:rPr>
          <w:rFonts w:ascii="Century Gothic" w:eastAsia="Verdana" w:hAnsi="Century Gothic" w:cs="Verdana"/>
          <w:color w:val="000000" w:themeColor="text1"/>
          <w:sz w:val="22"/>
          <w:szCs w:val="22"/>
          <w:lang w:val="es-ES"/>
        </w:rPr>
        <w:t xml:space="preserve"> Fomentar comunidades y ciudades sostenibles mediante un crecimiento urbano ordenado e inclusivo, que promueva la inversión y el desarrollo para la prosperidad de la población y su entorno. </w:t>
      </w:r>
    </w:p>
    <w:p w14:paraId="73749CEB"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p>
    <w:p w14:paraId="6192DBFB" w14:textId="5BB4E718" w:rsid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color w:val="025850"/>
          <w:sz w:val="22"/>
          <w:szCs w:val="22"/>
          <w:lang w:val="es-ES"/>
        </w:rPr>
        <w:t>:</w:t>
      </w:r>
      <w:r w:rsidRPr="00FC7DCB">
        <w:rPr>
          <w:rFonts w:ascii="Century Gothic" w:eastAsia="Verdana" w:hAnsi="Century Gothic" w:cs="Verdana"/>
          <w:color w:val="000000" w:themeColor="text1"/>
          <w:sz w:val="22"/>
          <w:szCs w:val="22"/>
          <w:lang w:val="es-ES"/>
        </w:rPr>
        <w:t xml:space="preserve"> Promover un ordenamiento territorial responsable y sostenible del desarrollo urbano, enfocado a la accesibilidad para el bienestar y prosperidad </w:t>
      </w:r>
      <w:r w:rsidRPr="00FC7DCB">
        <w:rPr>
          <w:rFonts w:ascii="Century Gothic" w:eastAsia="Verdana" w:hAnsi="Century Gothic" w:cs="Verdana"/>
          <w:color w:val="000000" w:themeColor="text1"/>
          <w:sz w:val="22"/>
          <w:szCs w:val="22"/>
          <w:lang w:val="es-ES"/>
        </w:rPr>
        <w:lastRenderedPageBreak/>
        <w:t>patrimonial.</w:t>
      </w:r>
    </w:p>
    <w:p w14:paraId="46126A25"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p>
    <w:p w14:paraId="5A0E15AE"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t>Líneas de acción:</w:t>
      </w:r>
    </w:p>
    <w:p w14:paraId="6962AAD2"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Instrumentar el Programa Anual de Obras</w:t>
      </w:r>
    </w:p>
    <w:p w14:paraId="603912C8" w14:textId="77777777" w:rsidR="00FC7DCB" w:rsidRDefault="00FC7DCB" w:rsidP="00FC7DCB">
      <w:pPr>
        <w:widowControl w:val="0"/>
        <w:autoSpaceDE w:val="0"/>
        <w:autoSpaceDN w:val="0"/>
        <w:spacing w:after="0" w:line="240" w:lineRule="auto"/>
        <w:jc w:val="both"/>
        <w:rPr>
          <w:rFonts w:ascii="Century Gothic" w:eastAsia="Verdana" w:hAnsi="Century Gothic" w:cs="Verdana"/>
          <w:b/>
          <w:color w:val="000000" w:themeColor="text1"/>
          <w:sz w:val="22"/>
          <w:szCs w:val="22"/>
          <w:lang w:val="es-ES"/>
        </w:rPr>
      </w:pPr>
    </w:p>
    <w:p w14:paraId="094028BD" w14:textId="4B7EF2E5"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color w:val="000000" w:themeColor="text1"/>
          <w:sz w:val="22"/>
          <w:szCs w:val="22"/>
          <w:lang w:val="es-ES"/>
        </w:rPr>
        <w:t xml:space="preserve"> Impulsar la modernización de espacios públicos para el desarrollo urbano, económico y cultural.</w:t>
      </w:r>
    </w:p>
    <w:p w14:paraId="7D678418"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Rehabilitar edificaciones urbanas</w:t>
      </w:r>
    </w:p>
    <w:p w14:paraId="074377B8"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Construir y ampliar edificaciones urbanas</w:t>
      </w:r>
    </w:p>
    <w:p w14:paraId="73E48F6F" w14:textId="77777777" w:rsidR="00FC7DCB" w:rsidRDefault="00FC7DCB" w:rsidP="00FC7DCB">
      <w:pPr>
        <w:widowControl w:val="0"/>
        <w:autoSpaceDE w:val="0"/>
        <w:autoSpaceDN w:val="0"/>
        <w:spacing w:after="0" w:line="240" w:lineRule="auto"/>
        <w:jc w:val="both"/>
        <w:rPr>
          <w:rFonts w:ascii="Century Gothic" w:eastAsia="Verdana" w:hAnsi="Century Gothic" w:cs="Verdana"/>
          <w:b/>
          <w:color w:val="000000" w:themeColor="text1"/>
          <w:sz w:val="22"/>
          <w:szCs w:val="22"/>
          <w:lang w:val="es-ES"/>
        </w:rPr>
      </w:pPr>
    </w:p>
    <w:p w14:paraId="42549001" w14:textId="08926976"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b/>
          <w:color w:val="000000" w:themeColor="text1"/>
          <w:sz w:val="22"/>
          <w:szCs w:val="22"/>
          <w:lang w:val="es-ES"/>
        </w:rPr>
        <w:t>:</w:t>
      </w:r>
      <w:r w:rsidRPr="00FC7DCB">
        <w:rPr>
          <w:rFonts w:ascii="Century Gothic" w:eastAsia="Verdana" w:hAnsi="Century Gothic" w:cs="Verdana"/>
          <w:color w:val="000000" w:themeColor="text1"/>
          <w:sz w:val="22"/>
          <w:szCs w:val="22"/>
          <w:lang w:val="es-ES"/>
        </w:rPr>
        <w:t xml:space="preserve"> Impulsar la mejora de servicios públicos urbanos a nivel municipal para que las zonas urbanas y rurales cuenten con servicios de calidad.</w:t>
      </w:r>
    </w:p>
    <w:p w14:paraId="448B754F" w14:textId="77777777" w:rsidR="00FC7DCB" w:rsidRDefault="00FC7DCB" w:rsidP="00FC7DCB">
      <w:pPr>
        <w:widowControl w:val="0"/>
        <w:autoSpaceDE w:val="0"/>
        <w:autoSpaceDN w:val="0"/>
        <w:spacing w:after="0" w:line="240" w:lineRule="auto"/>
        <w:jc w:val="both"/>
        <w:rPr>
          <w:rFonts w:ascii="Century Gothic" w:eastAsia="Verdana" w:hAnsi="Century Gothic" w:cs="Verdana"/>
          <w:b/>
          <w:bCs/>
          <w:color w:val="000000" w:themeColor="text1"/>
          <w:sz w:val="22"/>
          <w:szCs w:val="22"/>
          <w:lang w:val="es-ES"/>
        </w:rPr>
      </w:pPr>
    </w:p>
    <w:p w14:paraId="41255F1D" w14:textId="225F7EAD"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t>Líneas de acción:</w:t>
      </w:r>
    </w:p>
    <w:p w14:paraId="51BEB2D3"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Construir pavimentaciones, guarniciones y banquetas</w:t>
      </w:r>
    </w:p>
    <w:p w14:paraId="1BDF39F2"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Rehabilitar y recuperar espacios destinados a la Salud Pública</w:t>
      </w:r>
    </w:p>
    <w:p w14:paraId="5DBEC4F7"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Efectuar trabajos de construcción de línea de agua potable</w:t>
      </w:r>
    </w:p>
    <w:p w14:paraId="7A971F94"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Efectuar trabajos de construcción de drenaje</w:t>
      </w:r>
    </w:p>
    <w:p w14:paraId="12A36788" w14:textId="77777777" w:rsidR="00FC7DCB" w:rsidRPr="00FC7DCB" w:rsidRDefault="00FC7DCB" w:rsidP="005A1ADF">
      <w:pPr>
        <w:widowControl w:val="0"/>
        <w:numPr>
          <w:ilvl w:val="0"/>
          <w:numId w:val="18"/>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Efectuar trabajos de alumbrado público</w:t>
      </w:r>
    </w:p>
    <w:p w14:paraId="21C77C23" w14:textId="77777777" w:rsidR="00FC7DCB" w:rsidRPr="00FC7DCB" w:rsidRDefault="00FC7DCB" w:rsidP="00FC7DCB">
      <w:pPr>
        <w:widowControl w:val="0"/>
        <w:autoSpaceDE w:val="0"/>
        <w:autoSpaceDN w:val="0"/>
        <w:spacing w:after="0" w:line="240" w:lineRule="auto"/>
        <w:contextualSpacing/>
        <w:jc w:val="both"/>
        <w:rPr>
          <w:rFonts w:ascii="Century Gothic" w:eastAsia="Verdana" w:hAnsi="Century Gothic" w:cs="Verdana"/>
          <w:color w:val="000000" w:themeColor="text1"/>
          <w:sz w:val="22"/>
          <w:szCs w:val="22"/>
          <w:lang w:val="es-ES"/>
        </w:rPr>
      </w:pPr>
    </w:p>
    <w:p w14:paraId="7CF2193C" w14:textId="77777777" w:rsidR="00FC7DCB" w:rsidRPr="00FC7DCB" w:rsidRDefault="00FC7DCB" w:rsidP="00FC7DCB">
      <w:pPr>
        <w:widowControl w:val="0"/>
        <w:autoSpaceDE w:val="0"/>
        <w:autoSpaceDN w:val="0"/>
        <w:spacing w:after="0" w:line="240" w:lineRule="auto"/>
        <w:contextualSpacing/>
        <w:jc w:val="both"/>
        <w:rPr>
          <w:rFonts w:ascii="Century Gothic" w:eastAsia="Verdana" w:hAnsi="Century Gothic" w:cs="Verdana"/>
          <w:color w:val="000000" w:themeColor="text1"/>
          <w:sz w:val="22"/>
          <w:szCs w:val="22"/>
          <w:lang w:val="es-ES"/>
        </w:rPr>
      </w:pPr>
    </w:p>
    <w:p w14:paraId="6EBF20C9"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Objetivo:</w:t>
      </w:r>
      <w:r w:rsidRPr="00FC7DCB">
        <w:rPr>
          <w:rFonts w:ascii="Century Gothic" w:eastAsia="Verdana" w:hAnsi="Century Gothic" w:cs="Verdana"/>
          <w:color w:val="025850"/>
          <w:sz w:val="22"/>
          <w:szCs w:val="22"/>
          <w:lang w:val="es-ES"/>
        </w:rPr>
        <w:t xml:space="preserve">  </w:t>
      </w:r>
      <w:r w:rsidRPr="00FC7DCB">
        <w:rPr>
          <w:rFonts w:ascii="Century Gothic" w:eastAsia="Verdana" w:hAnsi="Century Gothic" w:cs="Verdana"/>
          <w:color w:val="000000" w:themeColor="text1"/>
          <w:sz w:val="22"/>
          <w:szCs w:val="22"/>
          <w:lang w:val="es-ES"/>
        </w:rPr>
        <w:t xml:space="preserve">Mejorar e incrementar los espacios verdes urbanos. </w:t>
      </w:r>
    </w:p>
    <w:p w14:paraId="2FC2E52D" w14:textId="77777777" w:rsidR="00FC7DCB" w:rsidRDefault="00FC7DCB" w:rsidP="00FC7DCB">
      <w:pPr>
        <w:widowControl w:val="0"/>
        <w:autoSpaceDE w:val="0"/>
        <w:autoSpaceDN w:val="0"/>
        <w:spacing w:after="0" w:line="240" w:lineRule="auto"/>
        <w:jc w:val="both"/>
        <w:rPr>
          <w:rFonts w:ascii="Century Gothic" w:eastAsia="Verdana" w:hAnsi="Century Gothic" w:cs="Verdana"/>
          <w:b/>
          <w:color w:val="000000" w:themeColor="text1"/>
          <w:sz w:val="22"/>
          <w:szCs w:val="22"/>
          <w:lang w:val="es-ES"/>
        </w:rPr>
      </w:pPr>
    </w:p>
    <w:p w14:paraId="3559A0F4" w14:textId="352035F6" w:rsid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25850"/>
          <w:sz w:val="22"/>
          <w:szCs w:val="22"/>
          <w:lang w:val="es-ES"/>
        </w:rPr>
        <w:t>Estrategia:</w:t>
      </w:r>
      <w:r w:rsidRPr="00FC7DCB">
        <w:rPr>
          <w:rFonts w:ascii="Century Gothic" w:eastAsia="Verdana" w:hAnsi="Century Gothic" w:cs="Verdana"/>
          <w:color w:val="000000" w:themeColor="text1"/>
          <w:sz w:val="22"/>
          <w:szCs w:val="22"/>
          <w:lang w:val="es-ES"/>
        </w:rPr>
        <w:t xml:space="preserve">  Impulsar los espacios verdes urbanos para mejorar la calidad de vida de la población y minimizar los efectos del cambio climático del territorio municipal.</w:t>
      </w:r>
    </w:p>
    <w:p w14:paraId="29ED8F25" w14:textId="77777777" w:rsidR="000D3D0E" w:rsidRDefault="000D3D0E"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p>
    <w:p w14:paraId="289DADB2" w14:textId="77777777" w:rsidR="000D3D0E" w:rsidRPr="00FC7DCB" w:rsidRDefault="000D3D0E"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p>
    <w:p w14:paraId="15D67F43" w14:textId="77777777" w:rsidR="00FC7DCB" w:rsidRDefault="00FC7DCB" w:rsidP="00FC7DCB">
      <w:pPr>
        <w:widowControl w:val="0"/>
        <w:autoSpaceDE w:val="0"/>
        <w:autoSpaceDN w:val="0"/>
        <w:spacing w:after="0" w:line="240" w:lineRule="auto"/>
        <w:jc w:val="both"/>
        <w:rPr>
          <w:rFonts w:ascii="Century Gothic" w:eastAsia="Verdana" w:hAnsi="Century Gothic" w:cs="Verdana"/>
          <w:b/>
          <w:bCs/>
          <w:color w:val="000000" w:themeColor="text1"/>
          <w:sz w:val="22"/>
          <w:szCs w:val="22"/>
          <w:lang w:val="es-ES"/>
        </w:rPr>
      </w:pPr>
    </w:p>
    <w:p w14:paraId="4A8073B3" w14:textId="62DEBBC6"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t>Líneas de acción:</w:t>
      </w:r>
    </w:p>
    <w:p w14:paraId="3CE389AC" w14:textId="77777777" w:rsidR="00FC7DCB" w:rsidRPr="00FC7DCB" w:rsidRDefault="00FC7DCB" w:rsidP="005A1ADF">
      <w:pPr>
        <w:widowControl w:val="0"/>
        <w:numPr>
          <w:ilvl w:val="0"/>
          <w:numId w:val="35"/>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Construir y remodelar plazas cívicas y jardines</w:t>
      </w:r>
    </w:p>
    <w:p w14:paraId="002557B1" w14:textId="77777777" w:rsidR="00FC7DCB" w:rsidRPr="00FC7DCB" w:rsidRDefault="00FC7DCB" w:rsidP="00FC7DCB">
      <w:pPr>
        <w:widowControl w:val="0"/>
        <w:autoSpaceDE w:val="0"/>
        <w:autoSpaceDN w:val="0"/>
        <w:spacing w:after="0" w:line="240" w:lineRule="auto"/>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b/>
          <w:color w:val="000000" w:themeColor="text1"/>
          <w:sz w:val="22"/>
          <w:szCs w:val="22"/>
          <w:lang w:val="es-ES"/>
        </w:rPr>
        <w:t>Estrategia:</w:t>
      </w:r>
      <w:r w:rsidRPr="00FC7DCB">
        <w:rPr>
          <w:rFonts w:ascii="Century Gothic" w:eastAsia="Verdana" w:hAnsi="Century Gothic" w:cs="Verdana"/>
          <w:color w:val="000000" w:themeColor="text1"/>
          <w:sz w:val="22"/>
          <w:szCs w:val="22"/>
          <w:lang w:val="es-ES"/>
        </w:rPr>
        <w:t xml:space="preserve"> Fomentar la edificación de construcciones sostenibles con materiales eco amigables y sistemas de energía renovable.</w:t>
      </w:r>
    </w:p>
    <w:p w14:paraId="15E8953F" w14:textId="77777777" w:rsidR="00FC7DCB" w:rsidRDefault="00FC7DCB" w:rsidP="00FC7DCB">
      <w:pPr>
        <w:widowControl w:val="0"/>
        <w:autoSpaceDE w:val="0"/>
        <w:autoSpaceDN w:val="0"/>
        <w:spacing w:after="0" w:line="240" w:lineRule="auto"/>
        <w:jc w:val="both"/>
        <w:rPr>
          <w:rFonts w:ascii="Century Gothic" w:eastAsia="Verdana" w:hAnsi="Century Gothic" w:cs="Verdana"/>
          <w:b/>
          <w:bCs/>
          <w:color w:val="000000" w:themeColor="text1"/>
          <w:sz w:val="22"/>
          <w:szCs w:val="22"/>
          <w:lang w:val="es-ES"/>
        </w:rPr>
      </w:pPr>
    </w:p>
    <w:p w14:paraId="33A1CA5D" w14:textId="60DCE922" w:rsidR="00FC7DCB" w:rsidRPr="00FC7DCB" w:rsidRDefault="00FC7DCB" w:rsidP="00FC7DCB">
      <w:pPr>
        <w:widowControl w:val="0"/>
        <w:autoSpaceDE w:val="0"/>
        <w:autoSpaceDN w:val="0"/>
        <w:spacing w:after="0" w:line="240" w:lineRule="auto"/>
        <w:jc w:val="both"/>
        <w:rPr>
          <w:rFonts w:ascii="Century Gothic" w:eastAsia="Verdana" w:hAnsi="Century Gothic" w:cs="Verdana"/>
          <w:b/>
          <w:bCs/>
          <w:color w:val="025850"/>
          <w:sz w:val="22"/>
          <w:szCs w:val="22"/>
          <w:lang w:val="es-ES"/>
        </w:rPr>
      </w:pPr>
      <w:r w:rsidRPr="00FC7DCB">
        <w:rPr>
          <w:rFonts w:ascii="Century Gothic" w:eastAsia="Verdana" w:hAnsi="Century Gothic" w:cs="Verdana"/>
          <w:b/>
          <w:bCs/>
          <w:color w:val="025850"/>
          <w:sz w:val="22"/>
          <w:szCs w:val="22"/>
          <w:lang w:val="es-ES"/>
        </w:rPr>
        <w:t>Líneas de acción:</w:t>
      </w:r>
    </w:p>
    <w:p w14:paraId="60DD19F1" w14:textId="0D79524A" w:rsidR="00FC7DCB" w:rsidRDefault="00FC7DCB" w:rsidP="005A1ADF">
      <w:pPr>
        <w:widowControl w:val="0"/>
        <w:numPr>
          <w:ilvl w:val="0"/>
          <w:numId w:val="35"/>
        </w:numPr>
        <w:autoSpaceDE w:val="0"/>
        <w:autoSpaceDN w:val="0"/>
        <w:spacing w:after="0" w:line="240" w:lineRule="auto"/>
        <w:contextualSpacing/>
        <w:jc w:val="both"/>
        <w:rPr>
          <w:rFonts w:ascii="Century Gothic" w:eastAsia="Verdana" w:hAnsi="Century Gothic" w:cs="Verdana"/>
          <w:color w:val="000000" w:themeColor="text1"/>
          <w:sz w:val="22"/>
          <w:szCs w:val="22"/>
          <w:lang w:val="es-ES"/>
        </w:rPr>
      </w:pPr>
      <w:r w:rsidRPr="00FC7DCB">
        <w:rPr>
          <w:rFonts w:ascii="Century Gothic" w:eastAsia="Verdana" w:hAnsi="Century Gothic" w:cs="Verdana"/>
          <w:color w:val="000000" w:themeColor="text1"/>
          <w:sz w:val="22"/>
          <w:szCs w:val="22"/>
          <w:lang w:val="es-ES"/>
        </w:rPr>
        <w:t>Promover y fomentar la adquisición, construcción y mejoramiento de la vivienda en beneficio de la población de menores ingresos, para abatir el rezago existente, y que ésta sea digna y contribuya al mejoramiento de la calidad de vida y al desarrollo e integración social de las comunidades.</w:t>
      </w:r>
    </w:p>
    <w:p w14:paraId="0256951D" w14:textId="77777777" w:rsidR="00FC7DCB" w:rsidRDefault="00FC7DCB">
      <w:pPr>
        <w:rPr>
          <w:rFonts w:ascii="Century Gothic" w:eastAsia="Verdana" w:hAnsi="Century Gothic" w:cs="Verdana"/>
          <w:color w:val="000000" w:themeColor="text1"/>
          <w:sz w:val="22"/>
          <w:szCs w:val="22"/>
          <w:lang w:val="es-ES"/>
        </w:rPr>
      </w:pPr>
      <w:r>
        <w:rPr>
          <w:rFonts w:ascii="Century Gothic" w:eastAsia="Verdana" w:hAnsi="Century Gothic" w:cs="Verdana"/>
          <w:color w:val="000000" w:themeColor="text1"/>
          <w:sz w:val="22"/>
          <w:szCs w:val="22"/>
          <w:lang w:val="es-ES"/>
        </w:rPr>
        <w:br w:type="page"/>
      </w:r>
    </w:p>
    <w:p w14:paraId="62BB1804" w14:textId="77777777" w:rsidR="00FC7DCB" w:rsidRDefault="00FC7DCB" w:rsidP="00FC7DCB">
      <w:pPr>
        <w:widowControl w:val="0"/>
        <w:autoSpaceDE w:val="0"/>
        <w:autoSpaceDN w:val="0"/>
        <w:spacing w:after="0" w:line="240" w:lineRule="auto"/>
        <w:contextualSpacing/>
        <w:jc w:val="both"/>
        <w:rPr>
          <w:rFonts w:ascii="Century Gothic" w:eastAsia="Verdana" w:hAnsi="Century Gothic" w:cs="Verdana"/>
          <w:color w:val="000000" w:themeColor="text1"/>
          <w:sz w:val="22"/>
          <w:szCs w:val="22"/>
          <w:lang w:val="es-ES"/>
        </w:rPr>
        <w:sectPr w:rsidR="00FC7DCB" w:rsidSect="00CE2E14">
          <w:pgSz w:w="15840" w:h="12240" w:orient="landscape"/>
          <w:pgMar w:top="1440" w:right="1440" w:bottom="1440" w:left="1440" w:header="709" w:footer="709" w:gutter="0"/>
          <w:cols w:num="2" w:space="708"/>
          <w:docGrid w:linePitch="360"/>
        </w:sectPr>
      </w:pPr>
    </w:p>
    <w:p w14:paraId="7DEF53CA" w14:textId="0E54A457" w:rsidR="00FC7DCB" w:rsidRDefault="00FC7DCB" w:rsidP="00FC7DCB">
      <w:pPr>
        <w:rPr>
          <w:rFonts w:ascii="Century Gothic" w:eastAsia="Verdana" w:hAnsi="Century Gothic" w:cs="Verdana"/>
          <w:b/>
          <w:color w:val="025850"/>
          <w:sz w:val="22"/>
          <w:szCs w:val="22"/>
          <w:lang w:val="es-ES"/>
        </w:rPr>
      </w:pPr>
      <w:r w:rsidRPr="00FC7DCB">
        <w:rPr>
          <w:rFonts w:ascii="Century Gothic" w:eastAsia="Verdana" w:hAnsi="Century Gothic" w:cs="Verdana"/>
          <w:b/>
          <w:color w:val="025850"/>
          <w:sz w:val="22"/>
          <w:szCs w:val="22"/>
          <w:lang w:val="es-ES"/>
        </w:rPr>
        <w:lastRenderedPageBreak/>
        <w:t>Metas terminales e intermedias</w:t>
      </w:r>
    </w:p>
    <w:tbl>
      <w:tblPr>
        <w:tblStyle w:val="Tablaconcuadrcula4-nfasis2"/>
        <w:tblW w:w="5000" w:type="pct"/>
        <w:tblLook w:val="04A0" w:firstRow="1" w:lastRow="0" w:firstColumn="1" w:lastColumn="0" w:noHBand="0" w:noVBand="1"/>
      </w:tblPr>
      <w:tblGrid>
        <w:gridCol w:w="3800"/>
        <w:gridCol w:w="1898"/>
        <w:gridCol w:w="1580"/>
        <w:gridCol w:w="2170"/>
        <w:gridCol w:w="1989"/>
        <w:gridCol w:w="1513"/>
      </w:tblGrid>
      <w:tr w:rsidR="008B2A01" w:rsidRPr="00FC7DCB" w14:paraId="4F2A71B1" w14:textId="77777777" w:rsidTr="008B2A01">
        <w:trPr>
          <w:cnfStyle w:val="100000000000" w:firstRow="1" w:lastRow="0" w:firstColumn="0" w:lastColumn="0" w:oddVBand="0" w:evenVBand="0" w:oddHBand="0"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1467" w:type="pct"/>
            <w:noWrap/>
            <w:hideMark/>
          </w:tcPr>
          <w:p w14:paraId="380CC42F"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Descripción de las metas de actividad </w:t>
            </w:r>
          </w:p>
        </w:tc>
        <w:tc>
          <w:tcPr>
            <w:tcW w:w="733" w:type="pct"/>
            <w:noWrap/>
            <w:hideMark/>
          </w:tcPr>
          <w:p w14:paraId="5CCF21AE" w14:textId="77777777" w:rsidR="00FC7DCB" w:rsidRPr="00FC7DCB" w:rsidRDefault="00FC7DCB" w:rsidP="008035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Unidad de medida </w:t>
            </w:r>
          </w:p>
        </w:tc>
        <w:tc>
          <w:tcPr>
            <w:tcW w:w="610" w:type="pct"/>
            <w:hideMark/>
          </w:tcPr>
          <w:p w14:paraId="114BEB8D" w14:textId="77777777" w:rsidR="00FC7DCB" w:rsidRPr="00FC7DCB" w:rsidRDefault="00FC7DCB" w:rsidP="008035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Cantidad programada 2025</w:t>
            </w:r>
          </w:p>
        </w:tc>
        <w:tc>
          <w:tcPr>
            <w:tcW w:w="838" w:type="pct"/>
            <w:hideMark/>
          </w:tcPr>
          <w:p w14:paraId="289843CF" w14:textId="77777777" w:rsidR="00FC7DCB" w:rsidRPr="00FC7DCB" w:rsidRDefault="00FC7DCB" w:rsidP="008035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Cantidad programada 2026</w:t>
            </w:r>
          </w:p>
        </w:tc>
        <w:tc>
          <w:tcPr>
            <w:tcW w:w="768" w:type="pct"/>
            <w:hideMark/>
          </w:tcPr>
          <w:p w14:paraId="746E2FE4" w14:textId="77777777" w:rsidR="00FC7DCB" w:rsidRPr="00FC7DCB" w:rsidRDefault="00FC7DCB" w:rsidP="008035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Cantidad programada 2027</w:t>
            </w:r>
          </w:p>
        </w:tc>
        <w:tc>
          <w:tcPr>
            <w:tcW w:w="584" w:type="pct"/>
            <w:hideMark/>
          </w:tcPr>
          <w:p w14:paraId="423039E9" w14:textId="77777777" w:rsidR="00FC7DCB" w:rsidRPr="00FC7DCB" w:rsidRDefault="00FC7DCB" w:rsidP="008035D9">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proofErr w:type="gramStart"/>
            <w:r w:rsidRPr="00FC7DCB">
              <w:rPr>
                <w:rFonts w:ascii="Century Gothic" w:eastAsia="Times New Roman" w:hAnsi="Century Gothic" w:cs="Times New Roman"/>
                <w:color w:val="000000"/>
                <w:sz w:val="18"/>
                <w:szCs w:val="18"/>
                <w:lang w:eastAsia="es-MX"/>
              </w:rPr>
              <w:t>Total</w:t>
            </w:r>
            <w:proofErr w:type="gramEnd"/>
            <w:r w:rsidRPr="00FC7DCB">
              <w:rPr>
                <w:rFonts w:ascii="Century Gothic" w:eastAsia="Times New Roman" w:hAnsi="Century Gothic" w:cs="Times New Roman"/>
                <w:color w:val="000000"/>
                <w:sz w:val="18"/>
                <w:szCs w:val="18"/>
                <w:lang w:eastAsia="es-MX"/>
              </w:rPr>
              <w:t xml:space="preserve"> de metas </w:t>
            </w:r>
          </w:p>
        </w:tc>
      </w:tr>
      <w:tr w:rsidR="008B2A01" w:rsidRPr="00FC7DCB" w14:paraId="0F8B28A7" w14:textId="77777777" w:rsidTr="008B2A01">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467" w:type="pct"/>
            <w:hideMark/>
          </w:tcPr>
          <w:p w14:paraId="2A58692C"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Realizar el retiro del pasto yerba seca y flor de los sepulcros</w:t>
            </w:r>
          </w:p>
        </w:tc>
        <w:tc>
          <w:tcPr>
            <w:tcW w:w="733" w:type="pct"/>
            <w:hideMark/>
          </w:tcPr>
          <w:p w14:paraId="1CC7769B"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Limpieza </w:t>
            </w:r>
          </w:p>
        </w:tc>
        <w:tc>
          <w:tcPr>
            <w:tcW w:w="610" w:type="pct"/>
            <w:hideMark/>
          </w:tcPr>
          <w:p w14:paraId="2B1DE5F0"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360.00</w:t>
            </w:r>
          </w:p>
        </w:tc>
        <w:tc>
          <w:tcPr>
            <w:tcW w:w="838" w:type="pct"/>
            <w:noWrap/>
            <w:hideMark/>
          </w:tcPr>
          <w:p w14:paraId="350AE28F"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360.00</w:t>
            </w:r>
          </w:p>
        </w:tc>
        <w:tc>
          <w:tcPr>
            <w:tcW w:w="768" w:type="pct"/>
            <w:noWrap/>
            <w:hideMark/>
          </w:tcPr>
          <w:p w14:paraId="7DA24E8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360.00</w:t>
            </w:r>
          </w:p>
        </w:tc>
        <w:tc>
          <w:tcPr>
            <w:tcW w:w="584" w:type="pct"/>
            <w:noWrap/>
            <w:hideMark/>
          </w:tcPr>
          <w:p w14:paraId="56AB954A"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1080.00</w:t>
            </w:r>
          </w:p>
        </w:tc>
      </w:tr>
      <w:tr w:rsidR="00FC7DCB" w:rsidRPr="00FC7DCB" w14:paraId="447FE380" w14:textId="77777777" w:rsidTr="008B2A01">
        <w:trPr>
          <w:trHeight w:val="546"/>
        </w:trPr>
        <w:tc>
          <w:tcPr>
            <w:cnfStyle w:val="001000000000" w:firstRow="0" w:lastRow="0" w:firstColumn="1" w:lastColumn="0" w:oddVBand="0" w:evenVBand="0" w:oddHBand="0" w:evenHBand="0" w:firstRowFirstColumn="0" w:firstRowLastColumn="0" w:lastRowFirstColumn="0" w:lastRowLastColumn="0"/>
            <w:tcW w:w="1467" w:type="pct"/>
            <w:hideMark/>
          </w:tcPr>
          <w:p w14:paraId="68A3504E"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Atención de los servicios de inhumación en el panteón municipal</w:t>
            </w:r>
          </w:p>
        </w:tc>
        <w:tc>
          <w:tcPr>
            <w:tcW w:w="733" w:type="pct"/>
            <w:hideMark/>
          </w:tcPr>
          <w:p w14:paraId="5C4C9EAB"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Informe </w:t>
            </w:r>
          </w:p>
        </w:tc>
        <w:tc>
          <w:tcPr>
            <w:tcW w:w="610" w:type="pct"/>
            <w:hideMark/>
          </w:tcPr>
          <w:p w14:paraId="026FFA44"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838" w:type="pct"/>
            <w:noWrap/>
            <w:hideMark/>
          </w:tcPr>
          <w:p w14:paraId="1CE0A4A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768" w:type="pct"/>
            <w:noWrap/>
            <w:hideMark/>
          </w:tcPr>
          <w:p w14:paraId="711932A5"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584" w:type="pct"/>
            <w:noWrap/>
            <w:hideMark/>
          </w:tcPr>
          <w:p w14:paraId="6EB8D994"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36.00</w:t>
            </w:r>
          </w:p>
        </w:tc>
      </w:tr>
      <w:tr w:rsidR="008B2A01" w:rsidRPr="00FC7DCB" w14:paraId="0FF9AEF1" w14:textId="77777777" w:rsidTr="008B2A0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67" w:type="pct"/>
            <w:hideMark/>
          </w:tcPr>
          <w:p w14:paraId="79476C27"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Atención de los servicios de exhumación en el panteón municipal </w:t>
            </w:r>
          </w:p>
        </w:tc>
        <w:tc>
          <w:tcPr>
            <w:tcW w:w="733" w:type="pct"/>
            <w:hideMark/>
          </w:tcPr>
          <w:p w14:paraId="440D1F63"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Informe </w:t>
            </w:r>
          </w:p>
        </w:tc>
        <w:tc>
          <w:tcPr>
            <w:tcW w:w="610" w:type="pct"/>
            <w:hideMark/>
          </w:tcPr>
          <w:p w14:paraId="4679DF53"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4.00</w:t>
            </w:r>
          </w:p>
        </w:tc>
        <w:tc>
          <w:tcPr>
            <w:tcW w:w="838" w:type="pct"/>
            <w:noWrap/>
            <w:hideMark/>
          </w:tcPr>
          <w:p w14:paraId="4C793C2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4.00</w:t>
            </w:r>
          </w:p>
        </w:tc>
        <w:tc>
          <w:tcPr>
            <w:tcW w:w="768" w:type="pct"/>
            <w:noWrap/>
            <w:hideMark/>
          </w:tcPr>
          <w:p w14:paraId="6204BB0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4.00</w:t>
            </w:r>
          </w:p>
        </w:tc>
        <w:tc>
          <w:tcPr>
            <w:tcW w:w="584" w:type="pct"/>
            <w:noWrap/>
            <w:hideMark/>
          </w:tcPr>
          <w:p w14:paraId="6A8874E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r>
      <w:tr w:rsidR="00FC7DCB" w:rsidRPr="00FC7DCB" w14:paraId="2B5B5019" w14:textId="77777777" w:rsidTr="008B2A01">
        <w:trPr>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78B9120A"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Tramites por cambio de titular </w:t>
            </w:r>
          </w:p>
        </w:tc>
        <w:tc>
          <w:tcPr>
            <w:tcW w:w="733" w:type="pct"/>
            <w:hideMark/>
          </w:tcPr>
          <w:p w14:paraId="6EF5F634"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Informe </w:t>
            </w:r>
          </w:p>
        </w:tc>
        <w:tc>
          <w:tcPr>
            <w:tcW w:w="610" w:type="pct"/>
            <w:hideMark/>
          </w:tcPr>
          <w:p w14:paraId="6CF30A5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838" w:type="pct"/>
            <w:noWrap/>
            <w:hideMark/>
          </w:tcPr>
          <w:p w14:paraId="42E1C47D"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768" w:type="pct"/>
            <w:noWrap/>
            <w:hideMark/>
          </w:tcPr>
          <w:p w14:paraId="6A3BD17D"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584" w:type="pct"/>
            <w:noWrap/>
            <w:hideMark/>
          </w:tcPr>
          <w:p w14:paraId="13E09FB3"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36.00</w:t>
            </w:r>
          </w:p>
        </w:tc>
      </w:tr>
      <w:tr w:rsidR="008B2A01" w:rsidRPr="00FC7DCB" w14:paraId="4AFF7538" w14:textId="77777777" w:rsidTr="008B2A0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691CA027"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Expedición de tramites de refrendo </w:t>
            </w:r>
          </w:p>
        </w:tc>
        <w:tc>
          <w:tcPr>
            <w:tcW w:w="733" w:type="pct"/>
            <w:hideMark/>
          </w:tcPr>
          <w:p w14:paraId="0A38E68A"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Informe </w:t>
            </w:r>
          </w:p>
        </w:tc>
        <w:tc>
          <w:tcPr>
            <w:tcW w:w="610" w:type="pct"/>
            <w:hideMark/>
          </w:tcPr>
          <w:p w14:paraId="43F104F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838" w:type="pct"/>
            <w:noWrap/>
            <w:hideMark/>
          </w:tcPr>
          <w:p w14:paraId="1058407D"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768" w:type="pct"/>
            <w:noWrap/>
            <w:hideMark/>
          </w:tcPr>
          <w:p w14:paraId="24AEBD33"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c>
          <w:tcPr>
            <w:tcW w:w="584" w:type="pct"/>
            <w:noWrap/>
            <w:hideMark/>
          </w:tcPr>
          <w:p w14:paraId="5E9D136F"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36.00</w:t>
            </w:r>
          </w:p>
        </w:tc>
      </w:tr>
      <w:tr w:rsidR="00FC7DCB" w:rsidRPr="00FC7DCB" w14:paraId="493F1052" w14:textId="77777777" w:rsidTr="008B2A01">
        <w:trPr>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4540D4C3"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Mantenimiento realizado al panteón municipal</w:t>
            </w:r>
          </w:p>
        </w:tc>
        <w:tc>
          <w:tcPr>
            <w:tcW w:w="733" w:type="pct"/>
            <w:hideMark/>
          </w:tcPr>
          <w:p w14:paraId="632F1A80"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Mantenimiento </w:t>
            </w:r>
          </w:p>
        </w:tc>
        <w:tc>
          <w:tcPr>
            <w:tcW w:w="610" w:type="pct"/>
            <w:hideMark/>
          </w:tcPr>
          <w:p w14:paraId="21187C4A"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24.00</w:t>
            </w:r>
          </w:p>
        </w:tc>
        <w:tc>
          <w:tcPr>
            <w:tcW w:w="838" w:type="pct"/>
            <w:noWrap/>
            <w:hideMark/>
          </w:tcPr>
          <w:p w14:paraId="4364E9EA"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24.00</w:t>
            </w:r>
          </w:p>
        </w:tc>
        <w:tc>
          <w:tcPr>
            <w:tcW w:w="768" w:type="pct"/>
            <w:noWrap/>
            <w:hideMark/>
          </w:tcPr>
          <w:p w14:paraId="116E9758"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24.00</w:t>
            </w:r>
          </w:p>
        </w:tc>
        <w:tc>
          <w:tcPr>
            <w:tcW w:w="584" w:type="pct"/>
            <w:noWrap/>
            <w:hideMark/>
          </w:tcPr>
          <w:p w14:paraId="5AB0BC92"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72.00</w:t>
            </w:r>
          </w:p>
        </w:tc>
      </w:tr>
      <w:tr w:rsidR="008B2A01" w:rsidRPr="00FC7DCB" w14:paraId="3A72492D" w14:textId="77777777" w:rsidTr="008B2A01">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1467" w:type="pct"/>
            <w:hideMark/>
          </w:tcPr>
          <w:p w14:paraId="1361E71E"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Recolección de desechos sólidos en el panteón municipal</w:t>
            </w:r>
          </w:p>
        </w:tc>
        <w:tc>
          <w:tcPr>
            <w:tcW w:w="733" w:type="pct"/>
            <w:hideMark/>
          </w:tcPr>
          <w:p w14:paraId="2DEC2EC2"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Recolección </w:t>
            </w:r>
          </w:p>
        </w:tc>
        <w:tc>
          <w:tcPr>
            <w:tcW w:w="610" w:type="pct"/>
            <w:hideMark/>
          </w:tcPr>
          <w:p w14:paraId="58CA9F8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80.00</w:t>
            </w:r>
          </w:p>
        </w:tc>
        <w:tc>
          <w:tcPr>
            <w:tcW w:w="838" w:type="pct"/>
            <w:noWrap/>
            <w:hideMark/>
          </w:tcPr>
          <w:p w14:paraId="705773E1"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80.00</w:t>
            </w:r>
          </w:p>
        </w:tc>
        <w:tc>
          <w:tcPr>
            <w:tcW w:w="768" w:type="pct"/>
            <w:noWrap/>
            <w:hideMark/>
          </w:tcPr>
          <w:p w14:paraId="66057D84"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80.00</w:t>
            </w:r>
          </w:p>
        </w:tc>
        <w:tc>
          <w:tcPr>
            <w:tcW w:w="584" w:type="pct"/>
            <w:noWrap/>
            <w:hideMark/>
          </w:tcPr>
          <w:p w14:paraId="7BAD17AD"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240.00</w:t>
            </w:r>
          </w:p>
        </w:tc>
      </w:tr>
      <w:tr w:rsidR="00FC7DCB" w:rsidRPr="00FC7DCB" w14:paraId="61239B92" w14:textId="77777777" w:rsidTr="008B2A01">
        <w:trPr>
          <w:trHeight w:val="357"/>
        </w:trPr>
        <w:tc>
          <w:tcPr>
            <w:cnfStyle w:val="001000000000" w:firstRow="0" w:lastRow="0" w:firstColumn="1" w:lastColumn="0" w:oddVBand="0" w:evenVBand="0" w:oddHBand="0" w:evenHBand="0" w:firstRowFirstColumn="0" w:firstRowLastColumn="0" w:lastRowFirstColumn="0" w:lastRowLastColumn="0"/>
            <w:tcW w:w="1467" w:type="pct"/>
            <w:hideMark/>
          </w:tcPr>
          <w:p w14:paraId="4D6E0A9B"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el mantenimiento y poda de áreas verdes, parques y jardines </w:t>
            </w:r>
          </w:p>
        </w:tc>
        <w:tc>
          <w:tcPr>
            <w:tcW w:w="733" w:type="pct"/>
            <w:hideMark/>
          </w:tcPr>
          <w:p w14:paraId="1199AC2F"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M2</w:t>
            </w:r>
          </w:p>
        </w:tc>
        <w:tc>
          <w:tcPr>
            <w:tcW w:w="610" w:type="pct"/>
            <w:hideMark/>
          </w:tcPr>
          <w:p w14:paraId="4F6F52AD"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1000000.00</w:t>
            </w:r>
          </w:p>
        </w:tc>
        <w:tc>
          <w:tcPr>
            <w:tcW w:w="838" w:type="pct"/>
            <w:noWrap/>
            <w:hideMark/>
          </w:tcPr>
          <w:p w14:paraId="7CC39B40"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1000000.00</w:t>
            </w:r>
          </w:p>
        </w:tc>
        <w:tc>
          <w:tcPr>
            <w:tcW w:w="768" w:type="pct"/>
            <w:noWrap/>
            <w:hideMark/>
          </w:tcPr>
          <w:p w14:paraId="7727CF5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1000000.00</w:t>
            </w:r>
          </w:p>
        </w:tc>
        <w:tc>
          <w:tcPr>
            <w:tcW w:w="584" w:type="pct"/>
            <w:noWrap/>
            <w:hideMark/>
          </w:tcPr>
          <w:p w14:paraId="4D4B69B8"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3000000.00</w:t>
            </w:r>
          </w:p>
        </w:tc>
      </w:tr>
      <w:tr w:rsidR="008B2A01" w:rsidRPr="00FC7DCB" w14:paraId="608D32C7" w14:textId="77777777" w:rsidTr="008B2A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67" w:type="pct"/>
            <w:hideMark/>
          </w:tcPr>
          <w:p w14:paraId="2E14272D"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poda, desrame, derribo y encallamiento de arboles </w:t>
            </w:r>
          </w:p>
        </w:tc>
        <w:tc>
          <w:tcPr>
            <w:tcW w:w="733" w:type="pct"/>
            <w:hideMark/>
          </w:tcPr>
          <w:p w14:paraId="562FBBD8"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Árbol</w:t>
            </w:r>
          </w:p>
        </w:tc>
        <w:tc>
          <w:tcPr>
            <w:tcW w:w="610" w:type="pct"/>
            <w:hideMark/>
          </w:tcPr>
          <w:p w14:paraId="004626CA"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3100.00</w:t>
            </w:r>
          </w:p>
        </w:tc>
        <w:tc>
          <w:tcPr>
            <w:tcW w:w="838" w:type="pct"/>
            <w:noWrap/>
            <w:hideMark/>
          </w:tcPr>
          <w:p w14:paraId="1E4AB44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3100.00</w:t>
            </w:r>
          </w:p>
        </w:tc>
        <w:tc>
          <w:tcPr>
            <w:tcW w:w="768" w:type="pct"/>
            <w:noWrap/>
            <w:hideMark/>
          </w:tcPr>
          <w:p w14:paraId="32F2D7A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3100.00</w:t>
            </w:r>
          </w:p>
        </w:tc>
        <w:tc>
          <w:tcPr>
            <w:tcW w:w="584" w:type="pct"/>
            <w:noWrap/>
            <w:hideMark/>
          </w:tcPr>
          <w:p w14:paraId="2948951D"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9300.00</w:t>
            </w:r>
          </w:p>
        </w:tc>
      </w:tr>
      <w:tr w:rsidR="00FC7DCB" w:rsidRPr="00FC7DCB" w14:paraId="669FCEBB" w14:textId="77777777" w:rsidTr="008B2A01">
        <w:trPr>
          <w:trHeight w:val="440"/>
        </w:trPr>
        <w:tc>
          <w:tcPr>
            <w:cnfStyle w:val="001000000000" w:firstRow="0" w:lastRow="0" w:firstColumn="1" w:lastColumn="0" w:oddVBand="0" w:evenVBand="0" w:oddHBand="0" w:evenHBand="0" w:firstRowFirstColumn="0" w:firstRowLastColumn="0" w:lastRowFirstColumn="0" w:lastRowLastColumn="0"/>
            <w:tcW w:w="1467" w:type="pct"/>
            <w:hideMark/>
          </w:tcPr>
          <w:p w14:paraId="23E1F3CE"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los servicios de poda césped a espacios públicos </w:t>
            </w:r>
          </w:p>
        </w:tc>
        <w:tc>
          <w:tcPr>
            <w:tcW w:w="733" w:type="pct"/>
            <w:hideMark/>
          </w:tcPr>
          <w:p w14:paraId="2E52F4D0"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M2</w:t>
            </w:r>
          </w:p>
        </w:tc>
        <w:tc>
          <w:tcPr>
            <w:tcW w:w="610" w:type="pct"/>
            <w:hideMark/>
          </w:tcPr>
          <w:p w14:paraId="3F86944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1000000.00</w:t>
            </w:r>
          </w:p>
        </w:tc>
        <w:tc>
          <w:tcPr>
            <w:tcW w:w="838" w:type="pct"/>
            <w:noWrap/>
            <w:hideMark/>
          </w:tcPr>
          <w:p w14:paraId="28F30A90"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1000000.00</w:t>
            </w:r>
          </w:p>
        </w:tc>
        <w:tc>
          <w:tcPr>
            <w:tcW w:w="768" w:type="pct"/>
            <w:noWrap/>
            <w:hideMark/>
          </w:tcPr>
          <w:p w14:paraId="0EE8F495"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1000000.00</w:t>
            </w:r>
          </w:p>
        </w:tc>
        <w:tc>
          <w:tcPr>
            <w:tcW w:w="584" w:type="pct"/>
            <w:noWrap/>
            <w:hideMark/>
          </w:tcPr>
          <w:p w14:paraId="19FBA96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3000000.00</w:t>
            </w:r>
          </w:p>
        </w:tc>
      </w:tr>
      <w:tr w:rsidR="008B2A01" w:rsidRPr="00FC7DCB" w14:paraId="497970D8" w14:textId="77777777" w:rsidTr="008B2A01">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467" w:type="pct"/>
            <w:hideMark/>
          </w:tcPr>
          <w:p w14:paraId="1BCAB9BF"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el mantenimiento a áreas verdes en instituciones educativas </w:t>
            </w:r>
          </w:p>
        </w:tc>
        <w:tc>
          <w:tcPr>
            <w:tcW w:w="733" w:type="pct"/>
            <w:hideMark/>
          </w:tcPr>
          <w:p w14:paraId="4B4497BF"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Mantenimiento </w:t>
            </w:r>
          </w:p>
        </w:tc>
        <w:tc>
          <w:tcPr>
            <w:tcW w:w="610" w:type="pct"/>
            <w:hideMark/>
          </w:tcPr>
          <w:p w14:paraId="217E5F8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364.00</w:t>
            </w:r>
          </w:p>
        </w:tc>
        <w:tc>
          <w:tcPr>
            <w:tcW w:w="838" w:type="pct"/>
            <w:noWrap/>
            <w:hideMark/>
          </w:tcPr>
          <w:p w14:paraId="08241338"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364.00</w:t>
            </w:r>
          </w:p>
        </w:tc>
        <w:tc>
          <w:tcPr>
            <w:tcW w:w="768" w:type="pct"/>
            <w:noWrap/>
            <w:hideMark/>
          </w:tcPr>
          <w:p w14:paraId="6B01F5E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364.00</w:t>
            </w:r>
          </w:p>
        </w:tc>
        <w:tc>
          <w:tcPr>
            <w:tcW w:w="584" w:type="pct"/>
            <w:noWrap/>
            <w:hideMark/>
          </w:tcPr>
          <w:p w14:paraId="45437F5A"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1092.00</w:t>
            </w:r>
          </w:p>
        </w:tc>
      </w:tr>
      <w:tr w:rsidR="00FC7DCB" w:rsidRPr="00FC7DCB" w14:paraId="0FCE1191" w14:textId="77777777" w:rsidTr="008B2A01">
        <w:trPr>
          <w:trHeight w:val="397"/>
        </w:trPr>
        <w:tc>
          <w:tcPr>
            <w:cnfStyle w:val="001000000000" w:firstRow="0" w:lastRow="0" w:firstColumn="1" w:lastColumn="0" w:oddVBand="0" w:evenVBand="0" w:oddHBand="0" w:evenHBand="0" w:firstRowFirstColumn="0" w:firstRowLastColumn="0" w:lastRowFirstColumn="0" w:lastRowLastColumn="0"/>
            <w:tcW w:w="1467" w:type="pct"/>
            <w:hideMark/>
          </w:tcPr>
          <w:p w14:paraId="52EADD71"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el barrido en áreas verdes de los espacios públicos municipales </w:t>
            </w:r>
          </w:p>
        </w:tc>
        <w:tc>
          <w:tcPr>
            <w:tcW w:w="733" w:type="pct"/>
            <w:hideMark/>
          </w:tcPr>
          <w:p w14:paraId="173E2320"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Barrido</w:t>
            </w:r>
          </w:p>
        </w:tc>
        <w:tc>
          <w:tcPr>
            <w:tcW w:w="610" w:type="pct"/>
            <w:hideMark/>
          </w:tcPr>
          <w:p w14:paraId="45D64BC1"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384.00</w:t>
            </w:r>
          </w:p>
        </w:tc>
        <w:tc>
          <w:tcPr>
            <w:tcW w:w="838" w:type="pct"/>
            <w:noWrap/>
            <w:hideMark/>
          </w:tcPr>
          <w:p w14:paraId="49250FBE"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384.00</w:t>
            </w:r>
          </w:p>
        </w:tc>
        <w:tc>
          <w:tcPr>
            <w:tcW w:w="768" w:type="pct"/>
            <w:noWrap/>
            <w:hideMark/>
          </w:tcPr>
          <w:p w14:paraId="2DD9C3B1"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384.00</w:t>
            </w:r>
          </w:p>
        </w:tc>
        <w:tc>
          <w:tcPr>
            <w:tcW w:w="584" w:type="pct"/>
            <w:noWrap/>
            <w:hideMark/>
          </w:tcPr>
          <w:p w14:paraId="163524B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1152.00</w:t>
            </w:r>
          </w:p>
        </w:tc>
      </w:tr>
      <w:tr w:rsidR="008B2A01" w:rsidRPr="00FC7DCB" w14:paraId="7789AE89" w14:textId="77777777" w:rsidTr="008B2A0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6F84AB09"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permisos de funcionamiento </w:t>
            </w:r>
          </w:p>
        </w:tc>
        <w:tc>
          <w:tcPr>
            <w:tcW w:w="733" w:type="pct"/>
            <w:hideMark/>
          </w:tcPr>
          <w:p w14:paraId="4FA25D6C"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Permisos </w:t>
            </w:r>
          </w:p>
        </w:tc>
        <w:tc>
          <w:tcPr>
            <w:tcW w:w="610" w:type="pct"/>
            <w:hideMark/>
          </w:tcPr>
          <w:p w14:paraId="22E6DA78"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260.00</w:t>
            </w:r>
          </w:p>
        </w:tc>
        <w:tc>
          <w:tcPr>
            <w:tcW w:w="838" w:type="pct"/>
            <w:noWrap/>
            <w:hideMark/>
          </w:tcPr>
          <w:p w14:paraId="0D57E618"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260.00</w:t>
            </w:r>
          </w:p>
        </w:tc>
        <w:tc>
          <w:tcPr>
            <w:tcW w:w="768" w:type="pct"/>
            <w:noWrap/>
            <w:hideMark/>
          </w:tcPr>
          <w:p w14:paraId="0022D88D"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260.00</w:t>
            </w:r>
          </w:p>
        </w:tc>
        <w:tc>
          <w:tcPr>
            <w:tcW w:w="584" w:type="pct"/>
            <w:noWrap/>
            <w:hideMark/>
          </w:tcPr>
          <w:p w14:paraId="53DA44AE"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780.00</w:t>
            </w:r>
          </w:p>
        </w:tc>
      </w:tr>
      <w:tr w:rsidR="00FC7DCB" w:rsidRPr="00FC7DCB" w14:paraId="6A735756" w14:textId="77777777" w:rsidTr="008B2A01">
        <w:trPr>
          <w:trHeight w:val="97"/>
        </w:trPr>
        <w:tc>
          <w:tcPr>
            <w:cnfStyle w:val="001000000000" w:firstRow="0" w:lastRow="0" w:firstColumn="1" w:lastColumn="0" w:oddVBand="0" w:evenVBand="0" w:oddHBand="0" w:evenHBand="0" w:firstRowFirstColumn="0" w:firstRowLastColumn="0" w:lastRowFirstColumn="0" w:lastRowLastColumn="0"/>
            <w:tcW w:w="1467" w:type="pct"/>
            <w:hideMark/>
          </w:tcPr>
          <w:p w14:paraId="77F9B880"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Otorgar permisos para expo feria </w:t>
            </w:r>
          </w:p>
        </w:tc>
        <w:tc>
          <w:tcPr>
            <w:tcW w:w="733" w:type="pct"/>
            <w:hideMark/>
          </w:tcPr>
          <w:p w14:paraId="4227F4B8"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Permisos </w:t>
            </w:r>
          </w:p>
        </w:tc>
        <w:tc>
          <w:tcPr>
            <w:tcW w:w="610" w:type="pct"/>
            <w:hideMark/>
          </w:tcPr>
          <w:p w14:paraId="11E4182E"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w:t>
            </w:r>
          </w:p>
        </w:tc>
        <w:tc>
          <w:tcPr>
            <w:tcW w:w="838" w:type="pct"/>
            <w:noWrap/>
            <w:hideMark/>
          </w:tcPr>
          <w:p w14:paraId="76804E4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w:t>
            </w:r>
          </w:p>
        </w:tc>
        <w:tc>
          <w:tcPr>
            <w:tcW w:w="768" w:type="pct"/>
            <w:noWrap/>
            <w:hideMark/>
          </w:tcPr>
          <w:p w14:paraId="33493658"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w:t>
            </w:r>
          </w:p>
        </w:tc>
        <w:tc>
          <w:tcPr>
            <w:tcW w:w="584" w:type="pct"/>
            <w:noWrap/>
            <w:hideMark/>
          </w:tcPr>
          <w:p w14:paraId="1AB69B5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r>
      <w:tr w:rsidR="008B2A01" w:rsidRPr="00FC7DCB" w14:paraId="7787435F" w14:textId="77777777" w:rsidTr="008B2A01">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467" w:type="pct"/>
            <w:hideMark/>
          </w:tcPr>
          <w:p w14:paraId="65EA778D"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Otorgar permisos para realizar actividades comerciales en los tianguis </w:t>
            </w:r>
          </w:p>
        </w:tc>
        <w:tc>
          <w:tcPr>
            <w:tcW w:w="733" w:type="pct"/>
            <w:hideMark/>
          </w:tcPr>
          <w:p w14:paraId="6EF938FB"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Permisos </w:t>
            </w:r>
          </w:p>
        </w:tc>
        <w:tc>
          <w:tcPr>
            <w:tcW w:w="610" w:type="pct"/>
            <w:hideMark/>
          </w:tcPr>
          <w:p w14:paraId="6A0BF070"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260.00</w:t>
            </w:r>
          </w:p>
        </w:tc>
        <w:tc>
          <w:tcPr>
            <w:tcW w:w="838" w:type="pct"/>
            <w:noWrap/>
            <w:hideMark/>
          </w:tcPr>
          <w:p w14:paraId="6713F13F"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260.00</w:t>
            </w:r>
          </w:p>
        </w:tc>
        <w:tc>
          <w:tcPr>
            <w:tcW w:w="768" w:type="pct"/>
            <w:noWrap/>
            <w:hideMark/>
          </w:tcPr>
          <w:p w14:paraId="031AE1B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260.00</w:t>
            </w:r>
          </w:p>
        </w:tc>
        <w:tc>
          <w:tcPr>
            <w:tcW w:w="584" w:type="pct"/>
            <w:noWrap/>
            <w:hideMark/>
          </w:tcPr>
          <w:p w14:paraId="39511B0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780.00</w:t>
            </w:r>
          </w:p>
        </w:tc>
      </w:tr>
      <w:tr w:rsidR="00FC7DCB" w:rsidRPr="00FC7DCB" w14:paraId="57E1C538" w14:textId="77777777" w:rsidTr="008B2A01">
        <w:trPr>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1B308435"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Otorgar los permisos de plazas especiales </w:t>
            </w:r>
          </w:p>
        </w:tc>
        <w:tc>
          <w:tcPr>
            <w:tcW w:w="733" w:type="pct"/>
            <w:hideMark/>
          </w:tcPr>
          <w:p w14:paraId="2F4C9FED"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Premios </w:t>
            </w:r>
          </w:p>
        </w:tc>
        <w:tc>
          <w:tcPr>
            <w:tcW w:w="610" w:type="pct"/>
            <w:hideMark/>
          </w:tcPr>
          <w:p w14:paraId="29A00331"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108.00</w:t>
            </w:r>
          </w:p>
        </w:tc>
        <w:tc>
          <w:tcPr>
            <w:tcW w:w="838" w:type="pct"/>
            <w:noWrap/>
            <w:hideMark/>
          </w:tcPr>
          <w:p w14:paraId="7AA73C33"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108.00</w:t>
            </w:r>
          </w:p>
        </w:tc>
        <w:tc>
          <w:tcPr>
            <w:tcW w:w="768" w:type="pct"/>
            <w:noWrap/>
            <w:hideMark/>
          </w:tcPr>
          <w:p w14:paraId="7CBD62B7"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108.00</w:t>
            </w:r>
          </w:p>
        </w:tc>
        <w:tc>
          <w:tcPr>
            <w:tcW w:w="584" w:type="pct"/>
            <w:noWrap/>
            <w:hideMark/>
          </w:tcPr>
          <w:p w14:paraId="0880FFCB"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324.00</w:t>
            </w:r>
          </w:p>
        </w:tc>
      </w:tr>
      <w:tr w:rsidR="008B2A01" w:rsidRPr="00FC7DCB" w14:paraId="325D77C0" w14:textId="77777777" w:rsidTr="008B2A01">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467" w:type="pct"/>
            <w:hideMark/>
          </w:tcPr>
          <w:p w14:paraId="0B57D136"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visitas de inspecciones plazas normales y especiales </w:t>
            </w:r>
          </w:p>
        </w:tc>
        <w:tc>
          <w:tcPr>
            <w:tcW w:w="733" w:type="pct"/>
            <w:hideMark/>
          </w:tcPr>
          <w:p w14:paraId="4301AC41"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Permisos </w:t>
            </w:r>
          </w:p>
        </w:tc>
        <w:tc>
          <w:tcPr>
            <w:tcW w:w="610" w:type="pct"/>
            <w:hideMark/>
          </w:tcPr>
          <w:p w14:paraId="323A16D3"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838" w:type="pct"/>
            <w:noWrap/>
            <w:hideMark/>
          </w:tcPr>
          <w:p w14:paraId="798A74FD"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768" w:type="pct"/>
            <w:noWrap/>
            <w:hideMark/>
          </w:tcPr>
          <w:p w14:paraId="4FB71408"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584" w:type="pct"/>
            <w:noWrap/>
            <w:hideMark/>
          </w:tcPr>
          <w:p w14:paraId="3D885624"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48.00</w:t>
            </w:r>
          </w:p>
        </w:tc>
      </w:tr>
      <w:tr w:rsidR="00FC7DCB" w:rsidRPr="00FC7DCB" w14:paraId="24011016" w14:textId="77777777" w:rsidTr="008B2A01">
        <w:trPr>
          <w:trHeight w:val="385"/>
        </w:trPr>
        <w:tc>
          <w:tcPr>
            <w:cnfStyle w:val="001000000000" w:firstRow="0" w:lastRow="0" w:firstColumn="1" w:lastColumn="0" w:oddVBand="0" w:evenVBand="0" w:oddHBand="0" w:evenHBand="0" w:firstRowFirstColumn="0" w:firstRowLastColumn="0" w:lastRowFirstColumn="0" w:lastRowLastColumn="0"/>
            <w:tcW w:w="1467" w:type="pct"/>
            <w:hideMark/>
          </w:tcPr>
          <w:p w14:paraId="46C7BDF7"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Actualizar el padrón de comerciantes de plazas normales y especiales </w:t>
            </w:r>
          </w:p>
        </w:tc>
        <w:tc>
          <w:tcPr>
            <w:tcW w:w="733" w:type="pct"/>
            <w:hideMark/>
          </w:tcPr>
          <w:p w14:paraId="77CF95ED"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Mantenimiento </w:t>
            </w:r>
          </w:p>
        </w:tc>
        <w:tc>
          <w:tcPr>
            <w:tcW w:w="610" w:type="pct"/>
            <w:hideMark/>
          </w:tcPr>
          <w:p w14:paraId="71B7A632"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838" w:type="pct"/>
            <w:noWrap/>
            <w:hideMark/>
          </w:tcPr>
          <w:p w14:paraId="2D6FCB2B"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768" w:type="pct"/>
            <w:noWrap/>
            <w:hideMark/>
          </w:tcPr>
          <w:p w14:paraId="34D205F7"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584" w:type="pct"/>
            <w:noWrap/>
            <w:hideMark/>
          </w:tcPr>
          <w:p w14:paraId="783BAA4C"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48.00</w:t>
            </w:r>
          </w:p>
        </w:tc>
      </w:tr>
      <w:tr w:rsidR="008B2A01" w:rsidRPr="00FC7DCB" w14:paraId="540653EC" w14:textId="77777777" w:rsidTr="008B2A0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57D2D3D0"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Otorgar la renovación y actualización de los permisos </w:t>
            </w:r>
          </w:p>
        </w:tc>
        <w:tc>
          <w:tcPr>
            <w:tcW w:w="733" w:type="pct"/>
            <w:hideMark/>
          </w:tcPr>
          <w:p w14:paraId="4E14B8C4"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Permisos </w:t>
            </w:r>
          </w:p>
        </w:tc>
        <w:tc>
          <w:tcPr>
            <w:tcW w:w="610" w:type="pct"/>
            <w:hideMark/>
          </w:tcPr>
          <w:p w14:paraId="0C0107C1"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w:t>
            </w:r>
          </w:p>
        </w:tc>
        <w:tc>
          <w:tcPr>
            <w:tcW w:w="838" w:type="pct"/>
            <w:noWrap/>
            <w:hideMark/>
          </w:tcPr>
          <w:p w14:paraId="1E9334B5"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w:t>
            </w:r>
          </w:p>
        </w:tc>
        <w:tc>
          <w:tcPr>
            <w:tcW w:w="768" w:type="pct"/>
            <w:noWrap/>
            <w:hideMark/>
          </w:tcPr>
          <w:p w14:paraId="1059C31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w:t>
            </w:r>
          </w:p>
        </w:tc>
        <w:tc>
          <w:tcPr>
            <w:tcW w:w="584" w:type="pct"/>
            <w:noWrap/>
            <w:hideMark/>
          </w:tcPr>
          <w:p w14:paraId="5E9D4FAC"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24.00</w:t>
            </w:r>
          </w:p>
        </w:tc>
      </w:tr>
      <w:tr w:rsidR="00FC7DCB" w:rsidRPr="00FC7DCB" w14:paraId="7F290799" w14:textId="77777777" w:rsidTr="008B2A01">
        <w:trPr>
          <w:trHeight w:val="546"/>
        </w:trPr>
        <w:tc>
          <w:tcPr>
            <w:cnfStyle w:val="001000000000" w:firstRow="0" w:lastRow="0" w:firstColumn="1" w:lastColumn="0" w:oddVBand="0" w:evenVBand="0" w:oddHBand="0" w:evenHBand="0" w:firstRowFirstColumn="0" w:firstRowLastColumn="0" w:lastRowFirstColumn="0" w:lastRowLastColumn="0"/>
            <w:tcW w:w="1467" w:type="pct"/>
            <w:hideMark/>
          </w:tcPr>
          <w:p w14:paraId="11CE67CB"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lastRenderedPageBreak/>
              <w:t xml:space="preserve">Vigilar el cumplimiento de atención del comercio de los tianguis </w:t>
            </w:r>
          </w:p>
        </w:tc>
        <w:tc>
          <w:tcPr>
            <w:tcW w:w="733" w:type="pct"/>
            <w:hideMark/>
          </w:tcPr>
          <w:p w14:paraId="36708F2B"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Vigilar </w:t>
            </w:r>
          </w:p>
        </w:tc>
        <w:tc>
          <w:tcPr>
            <w:tcW w:w="610" w:type="pct"/>
            <w:hideMark/>
          </w:tcPr>
          <w:p w14:paraId="173135D9"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838" w:type="pct"/>
            <w:noWrap/>
            <w:hideMark/>
          </w:tcPr>
          <w:p w14:paraId="55EB7569"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768" w:type="pct"/>
            <w:noWrap/>
            <w:hideMark/>
          </w:tcPr>
          <w:p w14:paraId="45042419"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584" w:type="pct"/>
            <w:noWrap/>
            <w:hideMark/>
          </w:tcPr>
          <w:p w14:paraId="4AE99C9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48.00</w:t>
            </w:r>
          </w:p>
        </w:tc>
      </w:tr>
      <w:tr w:rsidR="008B2A01" w:rsidRPr="00FC7DCB" w14:paraId="703E37E6" w14:textId="77777777" w:rsidTr="008B2A0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67" w:type="pct"/>
            <w:hideMark/>
          </w:tcPr>
          <w:p w14:paraId="64156201"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la medición a puestos de temporadas especiales </w:t>
            </w:r>
          </w:p>
        </w:tc>
        <w:tc>
          <w:tcPr>
            <w:tcW w:w="733" w:type="pct"/>
            <w:hideMark/>
          </w:tcPr>
          <w:p w14:paraId="235DB015"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Medición </w:t>
            </w:r>
          </w:p>
        </w:tc>
        <w:tc>
          <w:tcPr>
            <w:tcW w:w="610" w:type="pct"/>
            <w:hideMark/>
          </w:tcPr>
          <w:p w14:paraId="5C38E8CC"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w:t>
            </w:r>
          </w:p>
        </w:tc>
        <w:tc>
          <w:tcPr>
            <w:tcW w:w="838" w:type="pct"/>
            <w:noWrap/>
            <w:hideMark/>
          </w:tcPr>
          <w:p w14:paraId="0E47CBC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w:t>
            </w:r>
          </w:p>
        </w:tc>
        <w:tc>
          <w:tcPr>
            <w:tcW w:w="768" w:type="pct"/>
            <w:noWrap/>
            <w:hideMark/>
          </w:tcPr>
          <w:p w14:paraId="736159D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8.00</w:t>
            </w:r>
          </w:p>
        </w:tc>
        <w:tc>
          <w:tcPr>
            <w:tcW w:w="584" w:type="pct"/>
            <w:noWrap/>
            <w:hideMark/>
          </w:tcPr>
          <w:p w14:paraId="78BFC6E5"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24.00</w:t>
            </w:r>
          </w:p>
        </w:tc>
      </w:tr>
      <w:tr w:rsidR="00FC7DCB" w:rsidRPr="00FC7DCB" w14:paraId="15770285" w14:textId="77777777" w:rsidTr="008B2A01">
        <w:trPr>
          <w:trHeight w:val="238"/>
        </w:trPr>
        <w:tc>
          <w:tcPr>
            <w:cnfStyle w:val="001000000000" w:firstRow="0" w:lastRow="0" w:firstColumn="1" w:lastColumn="0" w:oddVBand="0" w:evenVBand="0" w:oddHBand="0" w:evenHBand="0" w:firstRowFirstColumn="0" w:firstRowLastColumn="0" w:lastRowFirstColumn="0" w:lastRowLastColumn="0"/>
            <w:tcW w:w="1467" w:type="pct"/>
            <w:hideMark/>
          </w:tcPr>
          <w:p w14:paraId="1DF36460"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Control y supervisión de obras publicas </w:t>
            </w:r>
          </w:p>
        </w:tc>
        <w:tc>
          <w:tcPr>
            <w:tcW w:w="733" w:type="pct"/>
            <w:hideMark/>
          </w:tcPr>
          <w:p w14:paraId="1D5E670E"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Supervisión</w:t>
            </w:r>
          </w:p>
        </w:tc>
        <w:tc>
          <w:tcPr>
            <w:tcW w:w="610" w:type="pct"/>
            <w:hideMark/>
          </w:tcPr>
          <w:p w14:paraId="49A4560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838" w:type="pct"/>
            <w:noWrap/>
            <w:hideMark/>
          </w:tcPr>
          <w:p w14:paraId="40864C59"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768" w:type="pct"/>
            <w:noWrap/>
            <w:hideMark/>
          </w:tcPr>
          <w:p w14:paraId="7B2BD66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584" w:type="pct"/>
            <w:noWrap/>
            <w:hideMark/>
          </w:tcPr>
          <w:p w14:paraId="5BCE53F0"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48.00</w:t>
            </w:r>
          </w:p>
        </w:tc>
      </w:tr>
      <w:tr w:rsidR="008B2A01" w:rsidRPr="00FC7DCB" w14:paraId="024F4038" w14:textId="77777777" w:rsidTr="008B2A01">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1467" w:type="pct"/>
            <w:hideMark/>
          </w:tcPr>
          <w:p w14:paraId="11A8641D"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Rehabilitación de edificaciones publicas</w:t>
            </w:r>
          </w:p>
        </w:tc>
        <w:tc>
          <w:tcPr>
            <w:tcW w:w="733" w:type="pct"/>
            <w:hideMark/>
          </w:tcPr>
          <w:p w14:paraId="04155E11"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Obra </w:t>
            </w:r>
          </w:p>
        </w:tc>
        <w:tc>
          <w:tcPr>
            <w:tcW w:w="610" w:type="pct"/>
            <w:hideMark/>
          </w:tcPr>
          <w:p w14:paraId="42C66820"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838" w:type="pct"/>
            <w:noWrap/>
            <w:hideMark/>
          </w:tcPr>
          <w:p w14:paraId="5095651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768" w:type="pct"/>
            <w:noWrap/>
            <w:hideMark/>
          </w:tcPr>
          <w:p w14:paraId="0E534E64"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584" w:type="pct"/>
            <w:noWrap/>
            <w:hideMark/>
          </w:tcPr>
          <w:p w14:paraId="2CF3068E"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w:t>
            </w:r>
          </w:p>
        </w:tc>
      </w:tr>
      <w:tr w:rsidR="00FC7DCB" w:rsidRPr="00FC7DCB" w14:paraId="1CE87B3E" w14:textId="77777777" w:rsidTr="008B2A01">
        <w:trPr>
          <w:trHeight w:val="202"/>
        </w:trPr>
        <w:tc>
          <w:tcPr>
            <w:cnfStyle w:val="001000000000" w:firstRow="0" w:lastRow="0" w:firstColumn="1" w:lastColumn="0" w:oddVBand="0" w:evenVBand="0" w:oddHBand="0" w:evenHBand="0" w:firstRowFirstColumn="0" w:firstRowLastColumn="0" w:lastRowFirstColumn="0" w:lastRowLastColumn="0"/>
            <w:tcW w:w="1467" w:type="pct"/>
            <w:hideMark/>
          </w:tcPr>
          <w:p w14:paraId="355F5486"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w:t>
            </w:r>
            <w:proofErr w:type="spellStart"/>
            <w:r w:rsidRPr="00FC7DCB">
              <w:rPr>
                <w:rFonts w:ascii="Century Gothic" w:eastAsia="Times New Roman" w:hAnsi="Century Gothic" w:cs="Times New Roman"/>
                <w:color w:val="000000"/>
                <w:sz w:val="18"/>
                <w:szCs w:val="18"/>
                <w:lang w:eastAsia="es-MX"/>
              </w:rPr>
              <w:t>reencarpetado</w:t>
            </w:r>
            <w:proofErr w:type="spellEnd"/>
            <w:r w:rsidRPr="00FC7DCB">
              <w:rPr>
                <w:rFonts w:ascii="Century Gothic" w:eastAsia="Times New Roman" w:hAnsi="Century Gothic" w:cs="Times New Roman"/>
                <w:color w:val="000000"/>
                <w:sz w:val="18"/>
                <w:szCs w:val="18"/>
                <w:lang w:eastAsia="es-MX"/>
              </w:rPr>
              <w:t xml:space="preserve"> </w:t>
            </w:r>
          </w:p>
        </w:tc>
        <w:tc>
          <w:tcPr>
            <w:tcW w:w="733" w:type="pct"/>
            <w:hideMark/>
          </w:tcPr>
          <w:p w14:paraId="253A6AA8"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Obra </w:t>
            </w:r>
          </w:p>
        </w:tc>
        <w:tc>
          <w:tcPr>
            <w:tcW w:w="610" w:type="pct"/>
            <w:hideMark/>
          </w:tcPr>
          <w:p w14:paraId="4D1A6E92"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c>
          <w:tcPr>
            <w:tcW w:w="838" w:type="pct"/>
            <w:noWrap/>
            <w:hideMark/>
          </w:tcPr>
          <w:p w14:paraId="0A10B215"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c>
          <w:tcPr>
            <w:tcW w:w="768" w:type="pct"/>
            <w:noWrap/>
            <w:hideMark/>
          </w:tcPr>
          <w:p w14:paraId="3D8C7757"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c>
          <w:tcPr>
            <w:tcW w:w="584" w:type="pct"/>
            <w:noWrap/>
            <w:hideMark/>
          </w:tcPr>
          <w:p w14:paraId="50CB28C9"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9.00</w:t>
            </w:r>
          </w:p>
        </w:tc>
      </w:tr>
      <w:tr w:rsidR="008B2A01" w:rsidRPr="00FC7DCB" w14:paraId="2531DA18" w14:textId="77777777" w:rsidTr="008B2A01">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67" w:type="pct"/>
            <w:hideMark/>
          </w:tcPr>
          <w:p w14:paraId="1DCCB34C"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Adecuación de la plaza Chignahuapan</w:t>
            </w:r>
          </w:p>
        </w:tc>
        <w:tc>
          <w:tcPr>
            <w:tcW w:w="733" w:type="pct"/>
            <w:hideMark/>
          </w:tcPr>
          <w:p w14:paraId="51071FCF"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Obra </w:t>
            </w:r>
          </w:p>
        </w:tc>
        <w:tc>
          <w:tcPr>
            <w:tcW w:w="610" w:type="pct"/>
            <w:hideMark/>
          </w:tcPr>
          <w:p w14:paraId="195C20B1"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w:t>
            </w:r>
          </w:p>
        </w:tc>
        <w:tc>
          <w:tcPr>
            <w:tcW w:w="838" w:type="pct"/>
            <w:noWrap/>
            <w:hideMark/>
          </w:tcPr>
          <w:p w14:paraId="7E5EEDA1"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w:t>
            </w:r>
          </w:p>
        </w:tc>
        <w:tc>
          <w:tcPr>
            <w:tcW w:w="768" w:type="pct"/>
            <w:noWrap/>
            <w:hideMark/>
          </w:tcPr>
          <w:p w14:paraId="1ACF36B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w:t>
            </w:r>
          </w:p>
        </w:tc>
        <w:tc>
          <w:tcPr>
            <w:tcW w:w="584" w:type="pct"/>
            <w:noWrap/>
            <w:hideMark/>
          </w:tcPr>
          <w:p w14:paraId="1A721239"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r>
      <w:tr w:rsidR="00FC7DCB" w:rsidRPr="00FC7DCB" w14:paraId="75EE8AE1" w14:textId="77777777" w:rsidTr="008B2A01">
        <w:trPr>
          <w:trHeight w:val="279"/>
        </w:trPr>
        <w:tc>
          <w:tcPr>
            <w:cnfStyle w:val="001000000000" w:firstRow="0" w:lastRow="0" w:firstColumn="1" w:lastColumn="0" w:oddVBand="0" w:evenVBand="0" w:oddHBand="0" w:evenHBand="0" w:firstRowFirstColumn="0" w:firstRowLastColumn="0" w:lastRowFirstColumn="0" w:lastRowLastColumn="0"/>
            <w:tcW w:w="1467" w:type="pct"/>
            <w:hideMark/>
          </w:tcPr>
          <w:p w14:paraId="048885D7"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Construcción de guarniciones y banquetas</w:t>
            </w:r>
          </w:p>
        </w:tc>
        <w:tc>
          <w:tcPr>
            <w:tcW w:w="733" w:type="pct"/>
            <w:hideMark/>
          </w:tcPr>
          <w:p w14:paraId="048348A6"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Obra </w:t>
            </w:r>
          </w:p>
        </w:tc>
        <w:tc>
          <w:tcPr>
            <w:tcW w:w="610" w:type="pct"/>
            <w:hideMark/>
          </w:tcPr>
          <w:p w14:paraId="3B86BCFB"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c>
          <w:tcPr>
            <w:tcW w:w="838" w:type="pct"/>
            <w:noWrap/>
            <w:hideMark/>
          </w:tcPr>
          <w:p w14:paraId="3B0CB742"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c>
          <w:tcPr>
            <w:tcW w:w="768" w:type="pct"/>
            <w:noWrap/>
            <w:hideMark/>
          </w:tcPr>
          <w:p w14:paraId="71DF4327"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w:t>
            </w:r>
          </w:p>
        </w:tc>
        <w:tc>
          <w:tcPr>
            <w:tcW w:w="584" w:type="pct"/>
            <w:noWrap/>
            <w:hideMark/>
          </w:tcPr>
          <w:p w14:paraId="1D2029C1"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9.00</w:t>
            </w:r>
          </w:p>
        </w:tc>
      </w:tr>
      <w:tr w:rsidR="008B2A01" w:rsidRPr="00FC7DCB" w14:paraId="3C2633FC" w14:textId="77777777" w:rsidTr="008B2A0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67" w:type="pct"/>
            <w:hideMark/>
          </w:tcPr>
          <w:p w14:paraId="5B52DBAA"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Pavimentación calles </w:t>
            </w:r>
          </w:p>
        </w:tc>
        <w:tc>
          <w:tcPr>
            <w:tcW w:w="733" w:type="pct"/>
            <w:hideMark/>
          </w:tcPr>
          <w:p w14:paraId="14C1E167"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Obra </w:t>
            </w:r>
          </w:p>
        </w:tc>
        <w:tc>
          <w:tcPr>
            <w:tcW w:w="610" w:type="pct"/>
            <w:hideMark/>
          </w:tcPr>
          <w:p w14:paraId="6CF0DB5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838" w:type="pct"/>
            <w:noWrap/>
            <w:hideMark/>
          </w:tcPr>
          <w:p w14:paraId="6F1ACDC0"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768" w:type="pct"/>
            <w:noWrap/>
            <w:hideMark/>
          </w:tcPr>
          <w:p w14:paraId="72542D6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584" w:type="pct"/>
            <w:noWrap/>
            <w:hideMark/>
          </w:tcPr>
          <w:p w14:paraId="225F46A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w:t>
            </w:r>
          </w:p>
        </w:tc>
      </w:tr>
      <w:tr w:rsidR="00FC7DCB" w:rsidRPr="00FC7DCB" w14:paraId="693A3DC5" w14:textId="77777777" w:rsidTr="008B2A01">
        <w:trPr>
          <w:trHeight w:val="414"/>
        </w:trPr>
        <w:tc>
          <w:tcPr>
            <w:cnfStyle w:val="001000000000" w:firstRow="0" w:lastRow="0" w:firstColumn="1" w:lastColumn="0" w:oddVBand="0" w:evenVBand="0" w:oddHBand="0" w:evenHBand="0" w:firstRowFirstColumn="0" w:firstRowLastColumn="0" w:lastRowFirstColumn="0" w:lastRowLastColumn="0"/>
            <w:tcW w:w="1467" w:type="pct"/>
            <w:hideMark/>
          </w:tcPr>
          <w:p w14:paraId="20A510AF"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Asesoría a contribuyentes sobre tramites referentes al desarrollo urbano </w:t>
            </w:r>
          </w:p>
        </w:tc>
        <w:tc>
          <w:tcPr>
            <w:tcW w:w="733" w:type="pct"/>
            <w:hideMark/>
          </w:tcPr>
          <w:p w14:paraId="777DBDA5"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Asesoría</w:t>
            </w:r>
          </w:p>
        </w:tc>
        <w:tc>
          <w:tcPr>
            <w:tcW w:w="610" w:type="pct"/>
            <w:hideMark/>
          </w:tcPr>
          <w:p w14:paraId="2DE16C5D"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151.00</w:t>
            </w:r>
          </w:p>
        </w:tc>
        <w:tc>
          <w:tcPr>
            <w:tcW w:w="838" w:type="pct"/>
            <w:noWrap/>
            <w:hideMark/>
          </w:tcPr>
          <w:p w14:paraId="3C06E45B"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151.00</w:t>
            </w:r>
          </w:p>
        </w:tc>
        <w:tc>
          <w:tcPr>
            <w:tcW w:w="768" w:type="pct"/>
            <w:noWrap/>
            <w:hideMark/>
          </w:tcPr>
          <w:p w14:paraId="6F735637"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151.00</w:t>
            </w:r>
          </w:p>
        </w:tc>
        <w:tc>
          <w:tcPr>
            <w:tcW w:w="584" w:type="pct"/>
            <w:noWrap/>
            <w:hideMark/>
          </w:tcPr>
          <w:p w14:paraId="36BF700C"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453.00</w:t>
            </w:r>
          </w:p>
        </w:tc>
      </w:tr>
      <w:tr w:rsidR="008B2A01" w:rsidRPr="00FC7DCB" w14:paraId="317D9F07" w14:textId="77777777" w:rsidTr="008B2A0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7A609E5B"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Emisión de licencias de anuncios publicitarios</w:t>
            </w:r>
          </w:p>
        </w:tc>
        <w:tc>
          <w:tcPr>
            <w:tcW w:w="733" w:type="pct"/>
            <w:hideMark/>
          </w:tcPr>
          <w:p w14:paraId="67A8098F"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Licencia</w:t>
            </w:r>
          </w:p>
        </w:tc>
        <w:tc>
          <w:tcPr>
            <w:tcW w:w="610" w:type="pct"/>
            <w:hideMark/>
          </w:tcPr>
          <w:p w14:paraId="3483A09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838" w:type="pct"/>
            <w:noWrap/>
            <w:hideMark/>
          </w:tcPr>
          <w:p w14:paraId="38B3D0EA"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768" w:type="pct"/>
            <w:noWrap/>
            <w:hideMark/>
          </w:tcPr>
          <w:p w14:paraId="65626C9C"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w:t>
            </w:r>
          </w:p>
        </w:tc>
        <w:tc>
          <w:tcPr>
            <w:tcW w:w="584" w:type="pct"/>
            <w:noWrap/>
            <w:hideMark/>
          </w:tcPr>
          <w:p w14:paraId="0BED8114"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w:t>
            </w:r>
          </w:p>
        </w:tc>
      </w:tr>
      <w:tr w:rsidR="00FC7DCB" w:rsidRPr="00FC7DCB" w14:paraId="461C260C" w14:textId="77777777" w:rsidTr="008B2A01">
        <w:trPr>
          <w:trHeight w:val="441"/>
        </w:trPr>
        <w:tc>
          <w:tcPr>
            <w:cnfStyle w:val="001000000000" w:firstRow="0" w:lastRow="0" w:firstColumn="1" w:lastColumn="0" w:oddVBand="0" w:evenVBand="0" w:oddHBand="0" w:evenHBand="0" w:firstRowFirstColumn="0" w:firstRowLastColumn="0" w:lastRowFirstColumn="0" w:lastRowLastColumn="0"/>
            <w:tcW w:w="1467" w:type="pct"/>
            <w:hideMark/>
          </w:tcPr>
          <w:p w14:paraId="3B4AA350"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inspecciones para identificar asentamientos humanos irregulares </w:t>
            </w:r>
          </w:p>
        </w:tc>
        <w:tc>
          <w:tcPr>
            <w:tcW w:w="733" w:type="pct"/>
            <w:hideMark/>
          </w:tcPr>
          <w:p w14:paraId="396810C0"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Inspección </w:t>
            </w:r>
          </w:p>
        </w:tc>
        <w:tc>
          <w:tcPr>
            <w:tcW w:w="610" w:type="pct"/>
            <w:hideMark/>
          </w:tcPr>
          <w:p w14:paraId="685763AC"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838" w:type="pct"/>
            <w:noWrap/>
            <w:hideMark/>
          </w:tcPr>
          <w:p w14:paraId="7B97BA1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768" w:type="pct"/>
            <w:noWrap/>
            <w:hideMark/>
          </w:tcPr>
          <w:p w14:paraId="06CAE0D2"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16.00</w:t>
            </w:r>
          </w:p>
        </w:tc>
        <w:tc>
          <w:tcPr>
            <w:tcW w:w="584" w:type="pct"/>
            <w:noWrap/>
            <w:hideMark/>
          </w:tcPr>
          <w:p w14:paraId="301F917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48.00</w:t>
            </w:r>
          </w:p>
        </w:tc>
      </w:tr>
      <w:tr w:rsidR="008B2A01" w:rsidRPr="00FC7DCB" w14:paraId="5E874353" w14:textId="77777777" w:rsidTr="008B2A01">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67" w:type="pct"/>
            <w:hideMark/>
          </w:tcPr>
          <w:p w14:paraId="40EC6D75"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Otorgar asesorías y capacitaciones en materia de desarrollo urbano a la ciudadanía y servidores públicos </w:t>
            </w:r>
          </w:p>
        </w:tc>
        <w:tc>
          <w:tcPr>
            <w:tcW w:w="733" w:type="pct"/>
            <w:hideMark/>
          </w:tcPr>
          <w:p w14:paraId="492FE5D7"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Capacitación </w:t>
            </w:r>
          </w:p>
        </w:tc>
        <w:tc>
          <w:tcPr>
            <w:tcW w:w="610" w:type="pct"/>
            <w:hideMark/>
          </w:tcPr>
          <w:p w14:paraId="4D9135C2"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4.00</w:t>
            </w:r>
          </w:p>
        </w:tc>
        <w:tc>
          <w:tcPr>
            <w:tcW w:w="838" w:type="pct"/>
            <w:noWrap/>
            <w:hideMark/>
          </w:tcPr>
          <w:p w14:paraId="56C82659"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4.00</w:t>
            </w:r>
          </w:p>
        </w:tc>
        <w:tc>
          <w:tcPr>
            <w:tcW w:w="768" w:type="pct"/>
            <w:noWrap/>
            <w:hideMark/>
          </w:tcPr>
          <w:p w14:paraId="5773FA20"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4.00</w:t>
            </w:r>
          </w:p>
        </w:tc>
        <w:tc>
          <w:tcPr>
            <w:tcW w:w="584" w:type="pct"/>
            <w:noWrap/>
            <w:hideMark/>
          </w:tcPr>
          <w:p w14:paraId="174F76A5"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12.00</w:t>
            </w:r>
          </w:p>
        </w:tc>
      </w:tr>
      <w:tr w:rsidR="00FC7DCB" w:rsidRPr="00FC7DCB" w14:paraId="09326E7E" w14:textId="77777777" w:rsidTr="008B2A01">
        <w:trPr>
          <w:trHeight w:val="345"/>
        </w:trPr>
        <w:tc>
          <w:tcPr>
            <w:cnfStyle w:val="001000000000" w:firstRow="0" w:lastRow="0" w:firstColumn="1" w:lastColumn="0" w:oddVBand="0" w:evenVBand="0" w:oddHBand="0" w:evenHBand="0" w:firstRowFirstColumn="0" w:firstRowLastColumn="0" w:lastRowFirstColumn="0" w:lastRowLastColumn="0"/>
            <w:tcW w:w="1467" w:type="pct"/>
            <w:hideMark/>
          </w:tcPr>
          <w:p w14:paraId="062EA784"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Otorgar emisión la emisión de licencias de uso de suelo </w:t>
            </w:r>
          </w:p>
        </w:tc>
        <w:tc>
          <w:tcPr>
            <w:tcW w:w="733" w:type="pct"/>
            <w:hideMark/>
          </w:tcPr>
          <w:p w14:paraId="46DD16B2"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Licencia</w:t>
            </w:r>
          </w:p>
        </w:tc>
        <w:tc>
          <w:tcPr>
            <w:tcW w:w="610" w:type="pct"/>
            <w:hideMark/>
          </w:tcPr>
          <w:p w14:paraId="2ABC76CB"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w:t>
            </w:r>
          </w:p>
        </w:tc>
        <w:tc>
          <w:tcPr>
            <w:tcW w:w="838" w:type="pct"/>
            <w:noWrap/>
            <w:hideMark/>
          </w:tcPr>
          <w:p w14:paraId="1B261234"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w:t>
            </w:r>
          </w:p>
        </w:tc>
        <w:tc>
          <w:tcPr>
            <w:tcW w:w="768" w:type="pct"/>
            <w:noWrap/>
            <w:hideMark/>
          </w:tcPr>
          <w:p w14:paraId="1E95212C"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w:t>
            </w:r>
          </w:p>
        </w:tc>
        <w:tc>
          <w:tcPr>
            <w:tcW w:w="584" w:type="pct"/>
            <w:noWrap/>
            <w:hideMark/>
          </w:tcPr>
          <w:p w14:paraId="5A264503"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30.00</w:t>
            </w:r>
          </w:p>
        </w:tc>
      </w:tr>
      <w:tr w:rsidR="008B2A01" w:rsidRPr="00FC7DCB" w14:paraId="14D84AAD" w14:textId="77777777" w:rsidTr="008B2A01">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467" w:type="pct"/>
            <w:hideMark/>
          </w:tcPr>
          <w:p w14:paraId="6EC5888D"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la emisión de licencias de construcción </w:t>
            </w:r>
          </w:p>
        </w:tc>
        <w:tc>
          <w:tcPr>
            <w:tcW w:w="733" w:type="pct"/>
            <w:hideMark/>
          </w:tcPr>
          <w:p w14:paraId="2B146C94"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Licencia</w:t>
            </w:r>
          </w:p>
        </w:tc>
        <w:tc>
          <w:tcPr>
            <w:tcW w:w="610" w:type="pct"/>
            <w:hideMark/>
          </w:tcPr>
          <w:p w14:paraId="49963E36"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w:t>
            </w:r>
          </w:p>
        </w:tc>
        <w:tc>
          <w:tcPr>
            <w:tcW w:w="838" w:type="pct"/>
            <w:noWrap/>
            <w:hideMark/>
          </w:tcPr>
          <w:p w14:paraId="23DD6C4B"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w:t>
            </w:r>
          </w:p>
        </w:tc>
        <w:tc>
          <w:tcPr>
            <w:tcW w:w="768" w:type="pct"/>
            <w:noWrap/>
            <w:hideMark/>
          </w:tcPr>
          <w:p w14:paraId="00904873"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10.00</w:t>
            </w:r>
          </w:p>
        </w:tc>
        <w:tc>
          <w:tcPr>
            <w:tcW w:w="584" w:type="pct"/>
            <w:noWrap/>
            <w:hideMark/>
          </w:tcPr>
          <w:p w14:paraId="3A381707"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30.00</w:t>
            </w:r>
          </w:p>
        </w:tc>
      </w:tr>
      <w:tr w:rsidR="00FC7DCB" w:rsidRPr="00FC7DCB" w14:paraId="1D25B2BF" w14:textId="77777777" w:rsidTr="008B2A01">
        <w:trPr>
          <w:trHeight w:val="343"/>
        </w:trPr>
        <w:tc>
          <w:tcPr>
            <w:cnfStyle w:val="001000000000" w:firstRow="0" w:lastRow="0" w:firstColumn="1" w:lastColumn="0" w:oddVBand="0" w:evenVBand="0" w:oddHBand="0" w:evenHBand="0" w:firstRowFirstColumn="0" w:firstRowLastColumn="0" w:lastRowFirstColumn="0" w:lastRowLastColumn="0"/>
            <w:tcW w:w="1467" w:type="pct"/>
            <w:hideMark/>
          </w:tcPr>
          <w:p w14:paraId="48B599B3"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la emisión de cedulas de información de zonificación </w:t>
            </w:r>
          </w:p>
        </w:tc>
        <w:tc>
          <w:tcPr>
            <w:tcW w:w="733" w:type="pct"/>
            <w:hideMark/>
          </w:tcPr>
          <w:p w14:paraId="79D65379"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Licencia</w:t>
            </w:r>
          </w:p>
        </w:tc>
        <w:tc>
          <w:tcPr>
            <w:tcW w:w="610" w:type="pct"/>
            <w:hideMark/>
          </w:tcPr>
          <w:p w14:paraId="2E4D34EE"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20.00</w:t>
            </w:r>
          </w:p>
        </w:tc>
        <w:tc>
          <w:tcPr>
            <w:tcW w:w="838" w:type="pct"/>
            <w:noWrap/>
            <w:hideMark/>
          </w:tcPr>
          <w:p w14:paraId="62F45E8F"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20.00</w:t>
            </w:r>
          </w:p>
        </w:tc>
        <w:tc>
          <w:tcPr>
            <w:tcW w:w="768" w:type="pct"/>
            <w:noWrap/>
            <w:hideMark/>
          </w:tcPr>
          <w:p w14:paraId="53DC7475"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20.00</w:t>
            </w:r>
          </w:p>
        </w:tc>
        <w:tc>
          <w:tcPr>
            <w:tcW w:w="584" w:type="pct"/>
            <w:noWrap/>
            <w:hideMark/>
          </w:tcPr>
          <w:p w14:paraId="4B6C848B"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60.00</w:t>
            </w:r>
          </w:p>
        </w:tc>
      </w:tr>
      <w:tr w:rsidR="008B2A01" w:rsidRPr="00FC7DCB" w14:paraId="5F14CA66" w14:textId="77777777" w:rsidTr="008B2A01">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1467" w:type="pct"/>
            <w:hideMark/>
          </w:tcPr>
          <w:p w14:paraId="4A471297"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Realizar la emisión de constancias de alineamiento y numero oficial </w:t>
            </w:r>
          </w:p>
        </w:tc>
        <w:tc>
          <w:tcPr>
            <w:tcW w:w="733" w:type="pct"/>
            <w:hideMark/>
          </w:tcPr>
          <w:p w14:paraId="23A11674" w14:textId="77777777" w:rsidR="00FC7DCB" w:rsidRPr="00FC7DCB"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Constancias </w:t>
            </w:r>
          </w:p>
        </w:tc>
        <w:tc>
          <w:tcPr>
            <w:tcW w:w="610" w:type="pct"/>
            <w:hideMark/>
          </w:tcPr>
          <w:p w14:paraId="75E733AF"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w:t>
            </w:r>
          </w:p>
        </w:tc>
        <w:tc>
          <w:tcPr>
            <w:tcW w:w="838" w:type="pct"/>
            <w:noWrap/>
            <w:hideMark/>
          </w:tcPr>
          <w:p w14:paraId="41B6AEB8"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w:t>
            </w:r>
          </w:p>
        </w:tc>
        <w:tc>
          <w:tcPr>
            <w:tcW w:w="768" w:type="pct"/>
            <w:noWrap/>
            <w:hideMark/>
          </w:tcPr>
          <w:p w14:paraId="1859A349"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w:t>
            </w:r>
          </w:p>
        </w:tc>
        <w:tc>
          <w:tcPr>
            <w:tcW w:w="584" w:type="pct"/>
            <w:noWrap/>
            <w:hideMark/>
          </w:tcPr>
          <w:p w14:paraId="41D9E436" w14:textId="77777777" w:rsidR="00FC7DCB" w:rsidRPr="00FC7DCB" w:rsidRDefault="00FC7DCB" w:rsidP="008035D9">
            <w:pPr>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45.00</w:t>
            </w:r>
          </w:p>
        </w:tc>
      </w:tr>
      <w:tr w:rsidR="00FC7DCB" w:rsidRPr="00FC7DCB" w14:paraId="62D74C1D" w14:textId="77777777" w:rsidTr="008B2A01">
        <w:trPr>
          <w:trHeight w:val="546"/>
        </w:trPr>
        <w:tc>
          <w:tcPr>
            <w:cnfStyle w:val="001000000000" w:firstRow="0" w:lastRow="0" w:firstColumn="1" w:lastColumn="0" w:oddVBand="0" w:evenVBand="0" w:oddHBand="0" w:evenHBand="0" w:firstRowFirstColumn="0" w:firstRowLastColumn="0" w:lastRowFirstColumn="0" w:lastRowLastColumn="0"/>
            <w:tcW w:w="1467" w:type="pct"/>
            <w:hideMark/>
          </w:tcPr>
          <w:p w14:paraId="3BA5A2A4" w14:textId="77777777" w:rsidR="00FC7DCB" w:rsidRPr="00FC7DCB" w:rsidRDefault="00FC7DCB" w:rsidP="008035D9">
            <w:pPr>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 xml:space="preserve">Entregar notificaciones de obra en proceso de construcción </w:t>
            </w:r>
          </w:p>
        </w:tc>
        <w:tc>
          <w:tcPr>
            <w:tcW w:w="733" w:type="pct"/>
            <w:hideMark/>
          </w:tcPr>
          <w:p w14:paraId="5C5D4385" w14:textId="77777777" w:rsidR="00FC7DCB" w:rsidRPr="00FC7DCB"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Notificaciones</w:t>
            </w:r>
          </w:p>
        </w:tc>
        <w:tc>
          <w:tcPr>
            <w:tcW w:w="610" w:type="pct"/>
            <w:hideMark/>
          </w:tcPr>
          <w:p w14:paraId="00F42C4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50.00</w:t>
            </w:r>
          </w:p>
        </w:tc>
        <w:tc>
          <w:tcPr>
            <w:tcW w:w="838" w:type="pct"/>
            <w:noWrap/>
            <w:hideMark/>
          </w:tcPr>
          <w:p w14:paraId="32531C92"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50.00</w:t>
            </w:r>
          </w:p>
        </w:tc>
        <w:tc>
          <w:tcPr>
            <w:tcW w:w="768" w:type="pct"/>
            <w:noWrap/>
            <w:hideMark/>
          </w:tcPr>
          <w:p w14:paraId="397BEE26"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50.00</w:t>
            </w:r>
          </w:p>
        </w:tc>
        <w:tc>
          <w:tcPr>
            <w:tcW w:w="584" w:type="pct"/>
            <w:noWrap/>
            <w:hideMark/>
          </w:tcPr>
          <w:p w14:paraId="626BF65D" w14:textId="77777777" w:rsidR="00FC7DCB" w:rsidRPr="00FC7DCB"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color w:val="000000"/>
                <w:sz w:val="18"/>
                <w:szCs w:val="18"/>
                <w:lang w:eastAsia="es-MX"/>
              </w:rPr>
            </w:pPr>
            <w:r w:rsidRPr="00FC7DCB">
              <w:rPr>
                <w:rFonts w:ascii="Century Gothic" w:eastAsia="Times New Roman" w:hAnsi="Century Gothic" w:cs="Times New Roman"/>
                <w:color w:val="000000"/>
                <w:sz w:val="18"/>
                <w:szCs w:val="18"/>
                <w:lang w:eastAsia="es-MX"/>
              </w:rPr>
              <w:t>150.00</w:t>
            </w:r>
          </w:p>
        </w:tc>
      </w:tr>
    </w:tbl>
    <w:p w14:paraId="507AAE30" w14:textId="01C7D815" w:rsidR="00FC7DCB" w:rsidRDefault="00FC7DCB" w:rsidP="00FC7DCB">
      <w:pPr>
        <w:widowControl w:val="0"/>
        <w:autoSpaceDE w:val="0"/>
        <w:autoSpaceDN w:val="0"/>
        <w:spacing w:after="0" w:line="240" w:lineRule="auto"/>
        <w:contextualSpacing/>
        <w:jc w:val="both"/>
        <w:rPr>
          <w:rFonts w:ascii="Century Gothic" w:eastAsia="Verdana" w:hAnsi="Century Gothic" w:cs="Verdana"/>
          <w:b/>
          <w:color w:val="000000" w:themeColor="text1"/>
          <w:sz w:val="22"/>
          <w:szCs w:val="22"/>
          <w:lang w:val="es-ES"/>
        </w:rPr>
      </w:pPr>
    </w:p>
    <w:p w14:paraId="6AB948C9" w14:textId="77777777" w:rsidR="00FC7DCB" w:rsidRDefault="00FC7DCB">
      <w:pPr>
        <w:rPr>
          <w:rFonts w:ascii="Century Gothic" w:eastAsia="Verdana" w:hAnsi="Century Gothic" w:cs="Verdana"/>
          <w:b/>
          <w:color w:val="000000" w:themeColor="text1"/>
          <w:sz w:val="22"/>
          <w:szCs w:val="22"/>
          <w:lang w:val="es-ES"/>
        </w:rPr>
      </w:pPr>
      <w:r>
        <w:rPr>
          <w:rFonts w:ascii="Century Gothic" w:eastAsia="Verdana" w:hAnsi="Century Gothic" w:cs="Verdana"/>
          <w:b/>
          <w:color w:val="000000" w:themeColor="text1"/>
          <w:sz w:val="22"/>
          <w:szCs w:val="22"/>
          <w:lang w:val="es-ES"/>
        </w:rPr>
        <w:br w:type="page"/>
      </w:r>
    </w:p>
    <w:p w14:paraId="32B91783" w14:textId="1AB088A5" w:rsidR="00FC7DCB" w:rsidRPr="005A1ADF" w:rsidRDefault="00FC7DCB" w:rsidP="005A1ADF">
      <w:pPr>
        <w:spacing w:after="160" w:line="278" w:lineRule="auto"/>
        <w:contextualSpacing/>
        <w:rPr>
          <w:rFonts w:ascii="Century Gothic" w:eastAsia="Verdana" w:hAnsi="Century Gothic" w:cs="Verdana"/>
          <w:b/>
          <w:color w:val="025850"/>
          <w:sz w:val="24"/>
          <w:szCs w:val="24"/>
          <w:lang w:val="es-ES"/>
        </w:rPr>
      </w:pPr>
      <w:r w:rsidRPr="00FC7DCB">
        <w:rPr>
          <w:rFonts w:ascii="Century Gothic" w:eastAsia="Verdana" w:hAnsi="Century Gothic" w:cs="Verdana"/>
          <w:b/>
          <w:color w:val="025850"/>
          <w:sz w:val="24"/>
          <w:szCs w:val="24"/>
          <w:lang w:val="es-ES"/>
        </w:rPr>
        <w:lastRenderedPageBreak/>
        <w:t>Acciones Insignias Municipales</w:t>
      </w:r>
    </w:p>
    <w:tbl>
      <w:tblPr>
        <w:tblStyle w:val="Tablaconcuadrcula4-nfasis2"/>
        <w:tblW w:w="5000" w:type="pct"/>
        <w:tblLook w:val="04A0" w:firstRow="1" w:lastRow="0" w:firstColumn="1" w:lastColumn="0" w:noHBand="0" w:noVBand="1"/>
      </w:tblPr>
      <w:tblGrid>
        <w:gridCol w:w="2072"/>
        <w:gridCol w:w="49"/>
        <w:gridCol w:w="710"/>
        <w:gridCol w:w="6946"/>
        <w:gridCol w:w="3173"/>
      </w:tblGrid>
      <w:tr w:rsidR="00FC7DCB" w:rsidRPr="005A1ADF" w14:paraId="26EC150C" w14:textId="77777777" w:rsidTr="008B2A01">
        <w:trPr>
          <w:cnfStyle w:val="100000000000" w:firstRow="1" w:lastRow="0" w:firstColumn="0" w:lastColumn="0" w:oddVBand="0" w:evenVBand="0" w:oddHBand="0" w:evenHBand="0" w:firstRowFirstColumn="0" w:firstRowLastColumn="0" w:lastRowFirstColumn="0" w:lastRowLastColumn="0"/>
          <w:trHeight w:val="1076"/>
        </w:trPr>
        <w:tc>
          <w:tcPr>
            <w:cnfStyle w:val="001000000000" w:firstRow="0" w:lastRow="0" w:firstColumn="1" w:lastColumn="0" w:oddVBand="0" w:evenVBand="0" w:oddHBand="0" w:evenHBand="0" w:firstRowFirstColumn="0" w:firstRowLastColumn="0" w:lastRowFirstColumn="0" w:lastRowLastColumn="0"/>
            <w:tcW w:w="1093" w:type="pct"/>
            <w:gridSpan w:val="3"/>
          </w:tcPr>
          <w:p w14:paraId="51FF9AC5" w14:textId="77777777" w:rsidR="00FC7DCB" w:rsidRPr="005A1ADF" w:rsidRDefault="00FC7DCB" w:rsidP="008035D9">
            <w:pPr>
              <w:rPr>
                <w:rFonts w:ascii="Corbel" w:eastAsia="Verdana" w:hAnsi="Corbel" w:cs="Verdana"/>
                <w:sz w:val="20"/>
                <w:szCs w:val="20"/>
                <w:lang w:val="es-ES"/>
              </w:rPr>
            </w:pPr>
            <w:bookmarkStart w:id="8" w:name="_Hlk189052930"/>
            <w:r w:rsidRPr="005A1ADF">
              <w:rPr>
                <w:rFonts w:ascii="Corbel" w:eastAsia="Verdana" w:hAnsi="Corbel" w:cs="Verdana"/>
                <w:noProof/>
                <w:sz w:val="20"/>
                <w:szCs w:val="20"/>
              </w:rPr>
              <w:drawing>
                <wp:inline distT="0" distB="0" distL="0" distR="0" wp14:anchorId="2E9A1A12" wp14:editId="76C48C5C">
                  <wp:extent cx="762000" cy="724730"/>
                  <wp:effectExtent l="0" t="0" r="0" b="0"/>
                  <wp:docPr id="1196544832" name="Imagen 119654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3233" cy="735414"/>
                          </a:xfrm>
                          <a:prstGeom prst="rect">
                            <a:avLst/>
                          </a:prstGeom>
                          <a:noFill/>
                          <a:ln>
                            <a:noFill/>
                          </a:ln>
                        </pic:spPr>
                      </pic:pic>
                    </a:graphicData>
                  </a:graphic>
                </wp:inline>
              </w:drawing>
            </w:r>
          </w:p>
        </w:tc>
        <w:tc>
          <w:tcPr>
            <w:tcW w:w="3907" w:type="pct"/>
            <w:gridSpan w:val="2"/>
          </w:tcPr>
          <w:p w14:paraId="55E14C62" w14:textId="77777777" w:rsidR="00FC7DCB" w:rsidRPr="005A1ADF" w:rsidRDefault="00FC7DCB" w:rsidP="008035D9">
            <w:pPr>
              <w:jc w:val="both"/>
              <w:cnfStyle w:val="100000000000" w:firstRow="1" w:lastRow="0" w:firstColumn="0" w:lastColumn="0" w:oddVBand="0" w:evenVBand="0" w:oddHBand="0" w:evenHBand="0" w:firstRowFirstColumn="0" w:firstRowLastColumn="0" w:lastRowFirstColumn="0" w:lastRowLastColumn="0"/>
              <w:rPr>
                <w:rFonts w:ascii="Corbel" w:eastAsia="Verdana" w:hAnsi="Corbel" w:cs="Verdana"/>
                <w:sz w:val="20"/>
                <w:szCs w:val="20"/>
                <w:lang w:val="es-ES"/>
              </w:rPr>
            </w:pPr>
          </w:p>
          <w:p w14:paraId="3F3C3D1E" w14:textId="77777777" w:rsidR="00FC7DCB" w:rsidRPr="005A1ADF" w:rsidRDefault="00FC7DCB" w:rsidP="008035D9">
            <w:pPr>
              <w:jc w:val="both"/>
              <w:cnfStyle w:val="100000000000" w:firstRow="1" w:lastRow="0" w:firstColumn="0" w:lastColumn="0" w:oddVBand="0" w:evenVBand="0" w:oddHBand="0" w:evenHBand="0" w:firstRowFirstColumn="0" w:firstRowLastColumn="0" w:lastRowFirstColumn="0" w:lastRowLastColumn="0"/>
              <w:rPr>
                <w:rFonts w:ascii="Corbel" w:eastAsia="Verdana" w:hAnsi="Corbel" w:cs="Verdana"/>
                <w:sz w:val="20"/>
                <w:szCs w:val="20"/>
                <w:lang w:val="es-US"/>
              </w:rPr>
            </w:pPr>
            <w:r w:rsidRPr="005A1ADF">
              <w:rPr>
                <w:rFonts w:ascii="Corbel" w:eastAsia="Verdana" w:hAnsi="Corbel" w:cs="Verdana"/>
                <w:sz w:val="20"/>
                <w:szCs w:val="20"/>
                <w:lang w:val="es-US"/>
              </w:rPr>
              <w:t>ACCESO A OPORTUNIDADES DE EMPLEO Y DESARROLLO ECONÓMICO.</w:t>
            </w:r>
          </w:p>
          <w:p w14:paraId="050188DC" w14:textId="77777777" w:rsidR="00FC7DCB" w:rsidRPr="005A1ADF" w:rsidRDefault="00FC7DCB" w:rsidP="008035D9">
            <w:pPr>
              <w:jc w:val="both"/>
              <w:cnfStyle w:val="100000000000" w:firstRow="1" w:lastRow="0" w:firstColumn="0" w:lastColumn="0" w:oddVBand="0" w:evenVBand="0" w:oddHBand="0" w:evenHBand="0" w:firstRowFirstColumn="0" w:firstRowLastColumn="0" w:lastRowFirstColumn="0" w:lastRowLastColumn="0"/>
              <w:rPr>
                <w:rFonts w:ascii="Corbel" w:eastAsia="Verdana" w:hAnsi="Corbel" w:cs="Verdana"/>
                <w:sz w:val="20"/>
                <w:szCs w:val="20"/>
                <w:lang w:val="es-ES"/>
              </w:rPr>
            </w:pPr>
          </w:p>
        </w:tc>
      </w:tr>
      <w:tr w:rsidR="00FC7DCB" w:rsidRPr="005A1ADF" w14:paraId="20A92F8E"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49F03EE2" w14:textId="77777777" w:rsidR="00FC7DCB" w:rsidRPr="005A1ADF" w:rsidRDefault="00FC7DCB" w:rsidP="008035D9">
            <w:pPr>
              <w:jc w:val="both"/>
              <w:rPr>
                <w:rFonts w:ascii="Corbel" w:eastAsia="Verdana" w:hAnsi="Corbel" w:cs="Verdana"/>
                <w:sz w:val="20"/>
                <w:szCs w:val="20"/>
                <w:lang w:val="es-ES"/>
              </w:rPr>
            </w:pPr>
            <w:r w:rsidRPr="005A1ADF">
              <w:rPr>
                <w:rFonts w:ascii="Corbel" w:eastAsia="Verdana" w:hAnsi="Corbel" w:cs="Verdana"/>
                <w:sz w:val="20"/>
                <w:szCs w:val="20"/>
                <w:lang w:val="es-ES"/>
              </w:rPr>
              <w:t>Objetivo:  Acelerar la transformación económica para consolidar la productividad y competitividad, propiciando empleos dignos que permitan el desarrollo profesional y laboral de las personas.</w:t>
            </w:r>
          </w:p>
        </w:tc>
      </w:tr>
      <w:tr w:rsidR="00FC7DCB" w:rsidRPr="005A1ADF" w14:paraId="2470B117" w14:textId="77777777" w:rsidTr="008B2A01">
        <w:trPr>
          <w:trHeight w:val="204"/>
        </w:trPr>
        <w:tc>
          <w:tcPr>
            <w:cnfStyle w:val="001000000000" w:firstRow="0" w:lastRow="0" w:firstColumn="1" w:lastColumn="0" w:oddVBand="0" w:evenVBand="0" w:oddHBand="0" w:evenHBand="0" w:firstRowFirstColumn="0" w:firstRowLastColumn="0" w:lastRowFirstColumn="0" w:lastRowLastColumn="0"/>
            <w:tcW w:w="5000" w:type="pct"/>
            <w:gridSpan w:val="5"/>
          </w:tcPr>
          <w:p w14:paraId="1592310E" w14:textId="77777777" w:rsidR="00FC7DCB" w:rsidRPr="005A1ADF" w:rsidRDefault="00FC7DCB" w:rsidP="008035D9">
            <w:pPr>
              <w:jc w:val="center"/>
              <w:rPr>
                <w:rFonts w:ascii="Corbel" w:eastAsia="Verdana" w:hAnsi="Corbel" w:cs="Verdana"/>
                <w:sz w:val="20"/>
                <w:szCs w:val="20"/>
                <w:lang w:val="es-ES"/>
              </w:rPr>
            </w:pPr>
            <w:r w:rsidRPr="005A1ADF">
              <w:rPr>
                <w:rFonts w:ascii="Corbel" w:eastAsia="Verdana" w:hAnsi="Corbel" w:cs="Verdana"/>
                <w:sz w:val="20"/>
                <w:szCs w:val="20"/>
                <w:lang w:val="es-ES"/>
              </w:rPr>
              <w:t>Alineación</w:t>
            </w:r>
          </w:p>
        </w:tc>
      </w:tr>
      <w:tr w:rsidR="00FC7DCB" w:rsidRPr="005A1ADF" w14:paraId="36DAB7CF" w14:textId="77777777" w:rsidTr="008B2A01">
        <w:trPr>
          <w:cnfStyle w:val="000000100000" w:firstRow="0" w:lastRow="0" w:firstColumn="0" w:lastColumn="0" w:oddVBand="0" w:evenVBand="0" w:oddHBand="1" w:evenHBand="0" w:firstRowFirstColumn="0" w:firstRowLastColumn="0" w:lastRowFirstColumn="0" w:lastRowLastColumn="0"/>
          <w:trHeight w:val="490"/>
        </w:trPr>
        <w:tc>
          <w:tcPr>
            <w:cnfStyle w:val="001000000000" w:firstRow="0" w:lastRow="0" w:firstColumn="1" w:lastColumn="0" w:oddVBand="0" w:evenVBand="0" w:oddHBand="0" w:evenHBand="0" w:firstRowFirstColumn="0" w:firstRowLastColumn="0" w:lastRowFirstColumn="0" w:lastRowLastColumn="0"/>
            <w:tcW w:w="800" w:type="pct"/>
          </w:tcPr>
          <w:p w14:paraId="12469261" w14:textId="77777777" w:rsidR="00FC7DCB" w:rsidRPr="005A1ADF" w:rsidRDefault="00FC7DCB" w:rsidP="008035D9">
            <w:pPr>
              <w:jc w:val="both"/>
              <w:rPr>
                <w:rFonts w:ascii="Corbel" w:eastAsia="Verdana" w:hAnsi="Corbel" w:cs="Verdana"/>
                <w:sz w:val="20"/>
                <w:szCs w:val="20"/>
                <w:lang w:val="es-ES"/>
              </w:rPr>
            </w:pPr>
          </w:p>
          <w:p w14:paraId="386A509B" w14:textId="77777777" w:rsidR="00FC7DCB" w:rsidRPr="005A1ADF" w:rsidRDefault="00FC7DCB" w:rsidP="008035D9">
            <w:pPr>
              <w:jc w:val="center"/>
              <w:rPr>
                <w:rFonts w:ascii="Corbel" w:eastAsia="Verdana" w:hAnsi="Corbel" w:cs="Verdana"/>
                <w:sz w:val="20"/>
                <w:szCs w:val="20"/>
                <w:lang w:val="es-ES"/>
              </w:rPr>
            </w:pPr>
            <w:r w:rsidRPr="005A1ADF">
              <w:rPr>
                <w:rFonts w:ascii="Corbel" w:eastAsia="Verdana" w:hAnsi="Corbel" w:cs="Verdana"/>
                <w:sz w:val="20"/>
                <w:szCs w:val="20"/>
                <w:lang w:val="es-ES"/>
              </w:rPr>
              <w:t>ODS</w:t>
            </w:r>
          </w:p>
        </w:tc>
        <w:tc>
          <w:tcPr>
            <w:tcW w:w="4200" w:type="pct"/>
            <w:gridSpan w:val="4"/>
          </w:tcPr>
          <w:p w14:paraId="61A31B14" w14:textId="3FCA1C62" w:rsidR="00FC7DCB" w:rsidRPr="005A1ADF" w:rsidRDefault="005A1ADF"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noProof/>
                <w:sz w:val="20"/>
                <w:szCs w:val="20"/>
                <w:lang w:val="es-ES"/>
              </w:rPr>
              <w:drawing>
                <wp:anchor distT="0" distB="0" distL="114300" distR="114300" simplePos="0" relativeHeight="251713536" behindDoc="0" locked="0" layoutInCell="1" allowOverlap="1" wp14:anchorId="7F2591BA" wp14:editId="58C41E20">
                  <wp:simplePos x="0" y="0"/>
                  <wp:positionH relativeFrom="column">
                    <wp:posOffset>3086504</wp:posOffset>
                  </wp:positionH>
                  <wp:positionV relativeFrom="page">
                    <wp:posOffset>72217</wp:posOffset>
                  </wp:positionV>
                  <wp:extent cx="359410" cy="359410"/>
                  <wp:effectExtent l="0" t="0" r="2540" b="2540"/>
                  <wp:wrapNone/>
                  <wp:docPr id="1196544838" name="Imagen 15" descr="Objetivo 12 - PRODUCCIÓN Y CONSUMOS RESPON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jetivo 12 - PRODUCCIÓN Y CONSUMOS RESPONSABLE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DF">
              <w:rPr>
                <w:rFonts w:ascii="Corbel" w:eastAsia="Verdana" w:hAnsi="Corbel" w:cs="Verdana"/>
                <w:bCs/>
                <w:noProof/>
                <w:sz w:val="20"/>
                <w:szCs w:val="20"/>
                <w:lang w:val="es-ES"/>
              </w:rPr>
              <w:drawing>
                <wp:anchor distT="0" distB="0" distL="114300" distR="114300" simplePos="0" relativeHeight="251712512" behindDoc="0" locked="0" layoutInCell="1" allowOverlap="1" wp14:anchorId="29ADEC6E" wp14:editId="71294EE2">
                  <wp:simplePos x="0" y="0"/>
                  <wp:positionH relativeFrom="column">
                    <wp:posOffset>2333510</wp:posOffset>
                  </wp:positionH>
                  <wp:positionV relativeFrom="page">
                    <wp:posOffset>99926</wp:posOffset>
                  </wp:positionV>
                  <wp:extent cx="359410" cy="359410"/>
                  <wp:effectExtent l="0" t="0" r="2540" b="2540"/>
                  <wp:wrapNone/>
                  <wp:docPr id="1196544837" name="Imagen 14" descr="Objetivo 11 - CIUDADES Y COMUNIDADES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jetivo 11 - CIUDADES Y COMUNIDADES SOSTENIBLE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DF">
              <w:rPr>
                <w:rFonts w:ascii="Corbel" w:eastAsia="Verdana" w:hAnsi="Corbel" w:cs="Verdana"/>
                <w:bCs/>
                <w:noProof/>
                <w:sz w:val="20"/>
                <w:szCs w:val="20"/>
                <w:lang w:val="es-ES"/>
              </w:rPr>
              <w:drawing>
                <wp:anchor distT="0" distB="0" distL="114300" distR="114300" simplePos="0" relativeHeight="251711488" behindDoc="0" locked="0" layoutInCell="1" allowOverlap="1" wp14:anchorId="385E667C" wp14:editId="6B0670FB">
                  <wp:simplePos x="0" y="0"/>
                  <wp:positionH relativeFrom="column">
                    <wp:posOffset>1515052</wp:posOffset>
                  </wp:positionH>
                  <wp:positionV relativeFrom="page">
                    <wp:posOffset>98541</wp:posOffset>
                  </wp:positionV>
                  <wp:extent cx="359410" cy="359410"/>
                  <wp:effectExtent l="0" t="0" r="2540" b="2540"/>
                  <wp:wrapNone/>
                  <wp:docPr id="1196544836" name="Imagen 12" descr="Objetivo 9 - AGUA INDUSTRIA, INNOVACIÓN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jetivo 9 - AGUA INDUSTRIA, INNOVACIÓN E INFRAESTRUCTU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A1ADF">
              <w:rPr>
                <w:rFonts w:ascii="Corbel" w:eastAsia="Verdana" w:hAnsi="Corbel" w:cs="Verdana"/>
                <w:bCs/>
                <w:noProof/>
                <w:sz w:val="20"/>
                <w:szCs w:val="20"/>
                <w:lang w:val="es-ES"/>
              </w:rPr>
              <w:drawing>
                <wp:anchor distT="0" distB="0" distL="114300" distR="114300" simplePos="0" relativeHeight="251710464" behindDoc="0" locked="0" layoutInCell="1" allowOverlap="1" wp14:anchorId="7F8EAE5B" wp14:editId="16A32C5B">
                  <wp:simplePos x="0" y="0"/>
                  <wp:positionH relativeFrom="margin">
                    <wp:posOffset>762173</wp:posOffset>
                  </wp:positionH>
                  <wp:positionV relativeFrom="page">
                    <wp:posOffset>90920</wp:posOffset>
                  </wp:positionV>
                  <wp:extent cx="359410" cy="359410"/>
                  <wp:effectExtent l="0" t="0" r="2540" b="2540"/>
                  <wp:wrapNone/>
                  <wp:docPr id="1196544835" name="Imagen 11" descr="Objetivo 8 - AGUA TRABAJO DECENTE Y CRECIMIENTO ECONÓMICO.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jetivo 8 - AGUA TRABAJO DECENTE Y CRECIMIENTO ECONÓMICO. Foto O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2C720" w14:textId="11220D7E"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07ADEFF1"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tc>
      </w:tr>
      <w:tr w:rsidR="00FC7DCB" w:rsidRPr="005A1ADF" w14:paraId="250F9D58" w14:textId="77777777" w:rsidTr="008B2A01">
        <w:tc>
          <w:tcPr>
            <w:cnfStyle w:val="001000000000" w:firstRow="0" w:lastRow="0" w:firstColumn="1" w:lastColumn="0" w:oddVBand="0" w:evenVBand="0" w:oddHBand="0" w:evenHBand="0" w:firstRowFirstColumn="0" w:firstRowLastColumn="0" w:lastRowFirstColumn="0" w:lastRowLastColumn="0"/>
            <w:tcW w:w="1093" w:type="pct"/>
            <w:gridSpan w:val="3"/>
          </w:tcPr>
          <w:p w14:paraId="7FCA5012" w14:textId="77777777" w:rsidR="00FC7DCB" w:rsidRPr="005A1ADF" w:rsidRDefault="00FC7DCB" w:rsidP="008035D9">
            <w:pPr>
              <w:jc w:val="both"/>
              <w:rPr>
                <w:rFonts w:ascii="Corbel" w:eastAsia="Verdana" w:hAnsi="Corbel" w:cs="Verdana"/>
                <w:sz w:val="20"/>
                <w:szCs w:val="20"/>
                <w:lang w:val="es-ES"/>
              </w:rPr>
            </w:pPr>
            <w:r w:rsidRPr="005A1ADF">
              <w:rPr>
                <w:rFonts w:ascii="Corbel" w:eastAsia="Verdana" w:hAnsi="Corbel" w:cs="Verdana"/>
                <w:sz w:val="20"/>
                <w:szCs w:val="20"/>
                <w:lang w:val="es-ES"/>
              </w:rPr>
              <w:t>Plan Nacional de Desarrollo</w:t>
            </w:r>
          </w:p>
        </w:tc>
        <w:tc>
          <w:tcPr>
            <w:tcW w:w="3907" w:type="pct"/>
            <w:gridSpan w:val="2"/>
          </w:tcPr>
          <w:p w14:paraId="0F6EB482" w14:textId="3B29A6AF" w:rsidR="00FC7DCB" w:rsidRPr="005A1ADF" w:rsidRDefault="00FC7DCB" w:rsidP="008035D9">
            <w:pPr>
              <w:jc w:val="both"/>
              <w:cnfStyle w:val="000000000000" w:firstRow="0" w:lastRow="0" w:firstColumn="0" w:lastColumn="0" w:oddVBand="0" w:evenVBand="0" w:oddHBand="0" w:evenHBand="0" w:firstRowFirstColumn="0" w:firstRowLastColumn="0" w:lastRowFirstColumn="0" w:lastRowLastColumn="0"/>
              <w:rPr>
                <w:rFonts w:ascii="Corbel" w:eastAsia="Verdana" w:hAnsi="Corbel" w:cs="Verdana"/>
                <w:b/>
                <w:sz w:val="20"/>
                <w:szCs w:val="20"/>
                <w:lang w:val="es-ES"/>
              </w:rPr>
            </w:pPr>
            <w:r w:rsidRPr="005A1ADF">
              <w:rPr>
                <w:rFonts w:ascii="Corbel" w:eastAsia="Verdana" w:hAnsi="Corbel" w:cs="Verdana"/>
                <w:b/>
                <w:sz w:val="20"/>
                <w:szCs w:val="20"/>
                <w:lang w:val="es-ES"/>
              </w:rPr>
              <w:t>PDEM 2023-2027</w:t>
            </w:r>
          </w:p>
        </w:tc>
      </w:tr>
      <w:tr w:rsidR="00DD1E72" w:rsidRPr="005A1ADF" w14:paraId="032EAD42" w14:textId="77777777" w:rsidTr="008B2A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pct"/>
            <w:gridSpan w:val="3"/>
          </w:tcPr>
          <w:p w14:paraId="631402B2" w14:textId="77777777" w:rsidR="00FC7DCB" w:rsidRPr="005A1ADF" w:rsidRDefault="00FC7DCB" w:rsidP="008035D9">
            <w:pPr>
              <w:jc w:val="both"/>
              <w:rPr>
                <w:rFonts w:ascii="Corbel" w:eastAsia="Verdana" w:hAnsi="Corbel" w:cs="Verdana"/>
                <w:sz w:val="20"/>
                <w:szCs w:val="20"/>
                <w:lang w:val="es-ES"/>
              </w:rPr>
            </w:pPr>
            <w:r w:rsidRPr="005A1ADF">
              <w:rPr>
                <w:rFonts w:ascii="Corbel" w:eastAsia="Verdana" w:hAnsi="Corbel" w:cs="Verdana"/>
                <w:sz w:val="20"/>
                <w:szCs w:val="20"/>
                <w:lang w:val="es-ES"/>
              </w:rPr>
              <w:t>Tema. 01</w:t>
            </w:r>
          </w:p>
          <w:p w14:paraId="11B85CAE" w14:textId="77777777" w:rsidR="00FC7DCB" w:rsidRPr="005A1ADF" w:rsidRDefault="00FC7DCB" w:rsidP="008035D9">
            <w:pPr>
              <w:jc w:val="both"/>
              <w:rPr>
                <w:rFonts w:ascii="Corbel" w:eastAsia="Verdana" w:hAnsi="Corbel" w:cs="Verdana"/>
                <w:sz w:val="20"/>
                <w:szCs w:val="20"/>
                <w:lang w:val="es-ES"/>
              </w:rPr>
            </w:pPr>
            <w:r w:rsidRPr="005A1ADF">
              <w:rPr>
                <w:rFonts w:ascii="Corbel" w:eastAsia="Verdana" w:hAnsi="Corbel" w:cs="Verdana"/>
                <w:sz w:val="20"/>
                <w:szCs w:val="20"/>
                <w:lang w:val="es-ES"/>
              </w:rPr>
              <w:t>Subtema</w:t>
            </w:r>
          </w:p>
        </w:tc>
        <w:tc>
          <w:tcPr>
            <w:tcW w:w="3907" w:type="pct"/>
            <w:gridSpan w:val="2"/>
          </w:tcPr>
          <w:p w14:paraId="68C835E8"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Objetivo</w:t>
            </w:r>
          </w:p>
          <w:p w14:paraId="63C8F60C"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sz w:val="20"/>
                <w:szCs w:val="20"/>
                <w:lang w:val="es-ES"/>
              </w:rPr>
            </w:pPr>
            <w:r w:rsidRPr="005A1ADF">
              <w:rPr>
                <w:rFonts w:ascii="Corbel" w:eastAsia="Verdana" w:hAnsi="Corbel" w:cs="Verdana"/>
                <w:sz w:val="20"/>
                <w:szCs w:val="20"/>
                <w:lang w:val="es-ES"/>
              </w:rPr>
              <w:t>3.1 Impulsar el empleo digno y el desarrollo económico para mejorar el ingreso y el bienestar de la población, especialmente de los grupos vulnerables.</w:t>
            </w:r>
          </w:p>
          <w:p w14:paraId="2F94125C"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Estrategia</w:t>
            </w:r>
          </w:p>
          <w:p w14:paraId="5E9131C1"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Estrategia 3.1.1 Contribuir en la generación de oportunidades laborales dignas para todas y todos.</w:t>
            </w:r>
          </w:p>
        </w:tc>
      </w:tr>
      <w:tr w:rsidR="00FC7DCB" w:rsidRPr="005A1ADF" w14:paraId="5DA2C88A" w14:textId="77777777" w:rsidTr="008B2A01">
        <w:tc>
          <w:tcPr>
            <w:cnfStyle w:val="001000000000" w:firstRow="0" w:lastRow="0" w:firstColumn="1" w:lastColumn="0" w:oddVBand="0" w:evenVBand="0" w:oddHBand="0" w:evenHBand="0" w:firstRowFirstColumn="0" w:firstRowLastColumn="0" w:lastRowFirstColumn="0" w:lastRowLastColumn="0"/>
            <w:tcW w:w="3775" w:type="pct"/>
            <w:gridSpan w:val="4"/>
          </w:tcPr>
          <w:p w14:paraId="30B95EEC" w14:textId="77777777" w:rsidR="00FC7DCB" w:rsidRPr="005A1ADF" w:rsidRDefault="00FC7DCB" w:rsidP="008035D9">
            <w:pPr>
              <w:jc w:val="both"/>
              <w:rPr>
                <w:rFonts w:ascii="Corbel" w:eastAsia="Verdana" w:hAnsi="Corbel" w:cs="Verdana"/>
                <w:sz w:val="20"/>
                <w:szCs w:val="20"/>
                <w:lang w:val="es-ES"/>
              </w:rPr>
            </w:pPr>
            <w:r w:rsidRPr="005A1ADF">
              <w:rPr>
                <w:rFonts w:ascii="Corbel" w:eastAsia="Verdana" w:hAnsi="Corbel" w:cs="Verdana"/>
                <w:sz w:val="20"/>
                <w:szCs w:val="20"/>
                <w:lang w:val="es-ES"/>
              </w:rPr>
              <w:t>Componente 1 Promover acciones para la inclusión laboral de grupos vulnerables, jóvenes y personas en situación de discapacidad</w:t>
            </w:r>
          </w:p>
        </w:tc>
        <w:tc>
          <w:tcPr>
            <w:tcW w:w="1225" w:type="pct"/>
          </w:tcPr>
          <w:p w14:paraId="527B4214" w14:textId="77777777" w:rsidR="00FC7DCB" w:rsidRPr="005A1ADF" w:rsidRDefault="00FC7DCB" w:rsidP="008035D9">
            <w:pPr>
              <w:jc w:val="center"/>
              <w:cnfStyle w:val="000000000000" w:firstRow="0" w:lastRow="0" w:firstColumn="0" w:lastColumn="0" w:oddVBand="0" w:evenVBand="0" w:oddHBand="0" w:evenHBand="0" w:firstRowFirstColumn="0" w:firstRowLastColumn="0" w:lastRowFirstColumn="0" w:lastRowLastColumn="0"/>
              <w:rPr>
                <w:rFonts w:ascii="Corbel" w:eastAsia="Verdana" w:hAnsi="Corbel" w:cs="Verdana"/>
                <w:b/>
                <w:sz w:val="20"/>
                <w:szCs w:val="20"/>
                <w:lang w:val="es-ES"/>
              </w:rPr>
            </w:pPr>
            <w:r w:rsidRPr="005A1ADF">
              <w:rPr>
                <w:rFonts w:ascii="Corbel" w:eastAsia="Verdana" w:hAnsi="Corbel" w:cs="Verdana"/>
                <w:b/>
                <w:sz w:val="20"/>
                <w:szCs w:val="20"/>
                <w:lang w:val="es-ES"/>
              </w:rPr>
              <w:t>Dependencia Responsable</w:t>
            </w:r>
          </w:p>
        </w:tc>
      </w:tr>
      <w:tr w:rsidR="008B2A01" w:rsidRPr="005A1ADF" w14:paraId="6B4E1C21" w14:textId="77777777" w:rsidTr="008B2A0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819" w:type="pct"/>
            <w:gridSpan w:val="2"/>
          </w:tcPr>
          <w:p w14:paraId="48F436B7" w14:textId="77777777" w:rsidR="00FC7DCB" w:rsidRPr="005A1ADF" w:rsidRDefault="00FC7DCB" w:rsidP="008035D9">
            <w:pPr>
              <w:jc w:val="both"/>
              <w:rPr>
                <w:rFonts w:ascii="Corbel" w:eastAsia="Verdana" w:hAnsi="Corbel" w:cs="Verdana"/>
                <w:sz w:val="20"/>
                <w:szCs w:val="20"/>
                <w:lang w:val="es-ES"/>
              </w:rPr>
            </w:pPr>
          </w:p>
          <w:p w14:paraId="5BE3E97D" w14:textId="77777777" w:rsidR="00FC7DCB" w:rsidRPr="005A1ADF" w:rsidRDefault="00FC7DCB" w:rsidP="008035D9">
            <w:pPr>
              <w:jc w:val="both"/>
              <w:rPr>
                <w:rFonts w:ascii="Corbel" w:eastAsia="Verdana" w:hAnsi="Corbel" w:cs="Verdana"/>
                <w:sz w:val="20"/>
                <w:szCs w:val="20"/>
                <w:lang w:val="es-ES"/>
              </w:rPr>
            </w:pPr>
          </w:p>
          <w:p w14:paraId="51814689" w14:textId="77777777" w:rsidR="00FC7DCB" w:rsidRPr="005A1ADF" w:rsidRDefault="00FC7DCB" w:rsidP="008035D9">
            <w:pPr>
              <w:jc w:val="both"/>
              <w:rPr>
                <w:rFonts w:ascii="Corbel" w:eastAsia="Verdana" w:hAnsi="Corbel" w:cs="Verdana"/>
                <w:sz w:val="20"/>
                <w:szCs w:val="20"/>
                <w:lang w:val="es-ES"/>
              </w:rPr>
            </w:pPr>
          </w:p>
          <w:p w14:paraId="677BE5B6" w14:textId="77777777" w:rsidR="00FC7DCB" w:rsidRPr="005A1ADF" w:rsidRDefault="00FC7DCB" w:rsidP="008035D9">
            <w:pPr>
              <w:jc w:val="both"/>
              <w:rPr>
                <w:rFonts w:ascii="Corbel" w:eastAsia="Verdana" w:hAnsi="Corbel" w:cs="Verdana"/>
                <w:sz w:val="20"/>
                <w:szCs w:val="20"/>
                <w:lang w:val="es-ES"/>
              </w:rPr>
            </w:pPr>
            <w:r w:rsidRPr="005A1ADF">
              <w:rPr>
                <w:rFonts w:ascii="Corbel" w:eastAsia="Verdana" w:hAnsi="Corbel" w:cs="Verdana"/>
                <w:sz w:val="20"/>
                <w:szCs w:val="20"/>
                <w:lang w:val="es-ES"/>
              </w:rPr>
              <w:t>Acciones Especificas</w:t>
            </w:r>
          </w:p>
        </w:tc>
        <w:tc>
          <w:tcPr>
            <w:tcW w:w="2956" w:type="pct"/>
            <w:gridSpan w:val="2"/>
          </w:tcPr>
          <w:p w14:paraId="17285F32" w14:textId="77777777" w:rsidR="00FC7DCB" w:rsidRPr="005A1ADF" w:rsidRDefault="00FC7DCB" w:rsidP="005A1ADF">
            <w:pPr>
              <w:widowControl w:val="0"/>
              <w:numPr>
                <w:ilvl w:val="0"/>
                <w:numId w:val="19"/>
              </w:numPr>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Realizar convocatorias de programas para emprendedores</w:t>
            </w:r>
          </w:p>
          <w:p w14:paraId="02D8C01C" w14:textId="77777777" w:rsidR="00FC7DCB" w:rsidRPr="005A1ADF" w:rsidRDefault="00FC7DCB" w:rsidP="005A1ADF">
            <w:pPr>
              <w:widowControl w:val="0"/>
              <w:numPr>
                <w:ilvl w:val="0"/>
                <w:numId w:val="19"/>
              </w:numPr>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 xml:space="preserve">Realizar jornadas del empleo </w:t>
            </w:r>
          </w:p>
          <w:p w14:paraId="504E9576" w14:textId="77777777" w:rsidR="00FC7DCB" w:rsidRPr="005A1ADF" w:rsidRDefault="00FC7DCB" w:rsidP="005A1ADF">
            <w:pPr>
              <w:widowControl w:val="0"/>
              <w:numPr>
                <w:ilvl w:val="0"/>
                <w:numId w:val="19"/>
              </w:numPr>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Atender a buscadores de empleo</w:t>
            </w:r>
          </w:p>
          <w:p w14:paraId="71C8BEE9" w14:textId="77777777" w:rsidR="00FC7DCB" w:rsidRPr="005A1ADF" w:rsidRDefault="00FC7DCB" w:rsidP="005A1ADF">
            <w:pPr>
              <w:widowControl w:val="0"/>
              <w:numPr>
                <w:ilvl w:val="0"/>
                <w:numId w:val="19"/>
              </w:numPr>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 xml:space="preserve">Vincular, informar y orientar laboralmente a la población </w:t>
            </w:r>
          </w:p>
          <w:p w14:paraId="3D50E8D4" w14:textId="77777777" w:rsidR="00FC7DCB" w:rsidRPr="005A1ADF" w:rsidRDefault="00FC7DCB" w:rsidP="005A1ADF">
            <w:pPr>
              <w:widowControl w:val="0"/>
              <w:numPr>
                <w:ilvl w:val="0"/>
                <w:numId w:val="19"/>
              </w:numPr>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Elaborar y actualizar los catálogos de empresas y de vacantes</w:t>
            </w:r>
          </w:p>
          <w:p w14:paraId="6400F457"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13AA99F4" w14:textId="77777777" w:rsidR="00FC7DCB" w:rsidRPr="005A1ADF" w:rsidRDefault="00FC7DCB" w:rsidP="005A1ADF">
            <w:pPr>
              <w:widowControl w:val="0"/>
              <w:numPr>
                <w:ilvl w:val="0"/>
                <w:numId w:val="34"/>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Gestionar espacios para exposición y venta de artesanía</w:t>
            </w:r>
          </w:p>
          <w:p w14:paraId="12E0F225" w14:textId="77777777" w:rsidR="00FC7DCB" w:rsidRPr="005A1ADF" w:rsidRDefault="00FC7DCB" w:rsidP="005A1ADF">
            <w:pPr>
              <w:widowControl w:val="0"/>
              <w:numPr>
                <w:ilvl w:val="0"/>
                <w:numId w:val="34"/>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Elaborar catálogo de artesanías para su promoción</w:t>
            </w:r>
          </w:p>
          <w:p w14:paraId="5AB63A60" w14:textId="77777777" w:rsidR="00FC7DCB" w:rsidRPr="005A1ADF" w:rsidRDefault="00FC7DCB" w:rsidP="005A1ADF">
            <w:pPr>
              <w:widowControl w:val="0"/>
              <w:numPr>
                <w:ilvl w:val="0"/>
                <w:numId w:val="34"/>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Realizar concursos artesanales</w:t>
            </w:r>
          </w:p>
          <w:p w14:paraId="1BEA52EA" w14:textId="77777777" w:rsidR="00FC7DCB" w:rsidRPr="005A1ADF" w:rsidRDefault="00FC7DCB" w:rsidP="005A1ADF">
            <w:pPr>
              <w:widowControl w:val="0"/>
              <w:numPr>
                <w:ilvl w:val="0"/>
                <w:numId w:val="34"/>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Actualizar el padrón artesanal</w:t>
            </w:r>
          </w:p>
          <w:p w14:paraId="077B8CEA" w14:textId="77777777" w:rsidR="00FC7DCB" w:rsidRPr="005A1ADF" w:rsidRDefault="00FC7DCB" w:rsidP="005A1ADF">
            <w:pPr>
              <w:widowControl w:val="0"/>
              <w:numPr>
                <w:ilvl w:val="0"/>
                <w:numId w:val="34"/>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Credencializar a los artesanos registrados en el padrón artesanal</w:t>
            </w:r>
          </w:p>
          <w:p w14:paraId="29D99F70"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1CC64888" w14:textId="77777777" w:rsidR="00FC7DCB" w:rsidRPr="005A1ADF" w:rsidRDefault="00FC7DCB" w:rsidP="005A1ADF">
            <w:pPr>
              <w:widowControl w:val="0"/>
              <w:numPr>
                <w:ilvl w:val="0"/>
                <w:numId w:val="36"/>
              </w:numPr>
              <w:autoSpaceDE w:val="0"/>
              <w:autoSpaceDN w:val="0"/>
              <w:contextualSpacing/>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sz w:val="20"/>
                <w:szCs w:val="20"/>
                <w:lang w:val="es-ES"/>
              </w:rPr>
            </w:pPr>
            <w:r w:rsidRPr="005A1ADF">
              <w:rPr>
                <w:rFonts w:ascii="Corbel" w:eastAsia="Verdana" w:hAnsi="Corbel" w:cs="Verdana"/>
                <w:sz w:val="20"/>
                <w:szCs w:val="20"/>
                <w:lang w:val="es-ES"/>
              </w:rPr>
              <w:t>Capacitar y asesorar a los campesinos</w:t>
            </w:r>
          </w:p>
          <w:p w14:paraId="7DD94FC3"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tc>
        <w:tc>
          <w:tcPr>
            <w:tcW w:w="1225" w:type="pct"/>
          </w:tcPr>
          <w:p w14:paraId="0866AEDB"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Dirección de Desarrollo Económico y Medio Ambiente</w:t>
            </w:r>
          </w:p>
          <w:p w14:paraId="771386CC"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432743C2"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545F48DC"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Dirección Artesanal</w:t>
            </w:r>
          </w:p>
          <w:p w14:paraId="667B0287"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181CD062"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p>
          <w:p w14:paraId="24730330" w14:textId="77777777" w:rsidR="00FC7DCB" w:rsidRPr="005A1ADF" w:rsidRDefault="00FC7DCB" w:rsidP="008035D9">
            <w:pPr>
              <w:jc w:val="both"/>
              <w:cnfStyle w:val="000000100000" w:firstRow="0" w:lastRow="0" w:firstColumn="0" w:lastColumn="0" w:oddVBand="0" w:evenVBand="0" w:oddHBand="1" w:evenHBand="0" w:firstRowFirstColumn="0" w:firstRowLastColumn="0" w:lastRowFirstColumn="0" w:lastRowLastColumn="0"/>
              <w:rPr>
                <w:rFonts w:ascii="Corbel" w:eastAsia="Verdana" w:hAnsi="Corbel" w:cs="Verdana"/>
                <w:bCs/>
                <w:sz w:val="20"/>
                <w:szCs w:val="20"/>
                <w:lang w:val="es-ES"/>
              </w:rPr>
            </w:pPr>
            <w:r w:rsidRPr="005A1ADF">
              <w:rPr>
                <w:rFonts w:ascii="Corbel" w:eastAsia="Verdana" w:hAnsi="Corbel" w:cs="Verdana"/>
                <w:bCs/>
                <w:sz w:val="20"/>
                <w:szCs w:val="20"/>
                <w:lang w:val="es-ES"/>
              </w:rPr>
              <w:t>Dirección del Campo</w:t>
            </w:r>
          </w:p>
        </w:tc>
      </w:tr>
      <w:bookmarkEnd w:id="8"/>
    </w:tbl>
    <w:p w14:paraId="0FE2ABF5" w14:textId="6FEA059E" w:rsidR="005A1ADF" w:rsidRDefault="005A1ADF" w:rsidP="000B531E">
      <w:pPr>
        <w:rPr>
          <w:rFonts w:ascii="Century Gothic" w:hAnsi="Century Gothic"/>
          <w:bCs/>
          <w:sz w:val="22"/>
          <w:szCs w:val="22"/>
          <w:lang w:val="es-ES"/>
        </w:rPr>
      </w:pPr>
    </w:p>
    <w:p w14:paraId="7FE6754E" w14:textId="77777777" w:rsidR="005A1ADF" w:rsidRDefault="005A1ADF">
      <w:pPr>
        <w:rPr>
          <w:rFonts w:ascii="Century Gothic" w:hAnsi="Century Gothic"/>
          <w:bCs/>
          <w:sz w:val="22"/>
          <w:szCs w:val="22"/>
          <w:lang w:val="es-ES"/>
        </w:rPr>
      </w:pPr>
      <w:r>
        <w:rPr>
          <w:rFonts w:ascii="Century Gothic" w:hAnsi="Century Gothic"/>
          <w:bCs/>
          <w:sz w:val="22"/>
          <w:szCs w:val="22"/>
          <w:lang w:val="es-ES"/>
        </w:rPr>
        <w:br w:type="page"/>
      </w:r>
    </w:p>
    <w:p w14:paraId="7A133B4A" w14:textId="77777777" w:rsidR="005A1ADF" w:rsidRDefault="005A1ADF" w:rsidP="000B531E">
      <w:pPr>
        <w:rPr>
          <w:rFonts w:ascii="Century Gothic" w:hAnsi="Century Gothic"/>
          <w:bCs/>
          <w:sz w:val="22"/>
          <w:szCs w:val="22"/>
          <w:lang w:val="es-ES"/>
        </w:rPr>
        <w:sectPr w:rsidR="005A1ADF" w:rsidSect="00CE2E14">
          <w:pgSz w:w="15840" w:h="12240" w:orient="landscape"/>
          <w:pgMar w:top="1440" w:right="1440" w:bottom="1440" w:left="1440" w:header="709" w:footer="709" w:gutter="0"/>
          <w:cols w:space="708"/>
          <w:docGrid w:linePitch="360"/>
        </w:sectPr>
      </w:pPr>
    </w:p>
    <w:p w14:paraId="44A06821"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7DB82414"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5252C6F6"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5A25A9A3"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2BAE4FF1"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2B8B2959"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5B7E47CF"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0A40E9ED"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71939EAE"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4B695A66"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448EC783"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7B76BB0E"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4B18EAA0"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61F3C25B"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00C4F0DB"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4E78F12C"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0A30E2DD"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7D5B2625"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444253C1" w14:textId="77777777" w:rsidR="00900D40" w:rsidRDefault="00900D40" w:rsidP="00900D40">
      <w:pPr>
        <w:spacing w:before="166" w:line="360" w:lineRule="auto"/>
        <w:jc w:val="right"/>
        <w:rPr>
          <w:rFonts w:ascii="Century Gothic" w:hAnsi="Century Gothic"/>
          <w:b/>
          <w:bCs/>
          <w:color w:val="8DD873" w:themeColor="accent6" w:themeTint="99"/>
          <w:sz w:val="22"/>
          <w:szCs w:val="22"/>
        </w:rPr>
      </w:pPr>
    </w:p>
    <w:p w14:paraId="72BFBB52" w14:textId="2CD36123" w:rsidR="00900D40" w:rsidRPr="000D3365" w:rsidRDefault="00900D40" w:rsidP="00900D40">
      <w:pPr>
        <w:spacing w:before="166" w:line="360" w:lineRule="auto"/>
        <w:rPr>
          <w:rFonts w:ascii="Century Gothic" w:hAnsi="Century Gothic"/>
          <w:b/>
          <w:bCs/>
          <w:color w:val="025850"/>
          <w:sz w:val="24"/>
          <w:szCs w:val="24"/>
        </w:rPr>
      </w:pPr>
      <w:r w:rsidRPr="000D3365">
        <w:rPr>
          <w:rFonts w:ascii="Century Gothic" w:hAnsi="Century Gothic"/>
          <w:b/>
          <w:bCs/>
          <w:color w:val="025850"/>
          <w:sz w:val="24"/>
          <w:szCs w:val="24"/>
        </w:rPr>
        <w:t>EJE 4: BIENESTAR SOCIAL</w:t>
      </w:r>
    </w:p>
    <w:p w14:paraId="408226C9" w14:textId="77777777" w:rsidR="00900D40" w:rsidRPr="000D3365" w:rsidRDefault="00900D40" w:rsidP="00900D40">
      <w:pPr>
        <w:spacing w:before="166" w:line="360" w:lineRule="auto"/>
        <w:rPr>
          <w:rFonts w:ascii="Century Gothic" w:hAnsi="Century Gothic"/>
          <w:b/>
          <w:bCs/>
          <w:color w:val="025850"/>
          <w:sz w:val="24"/>
          <w:szCs w:val="24"/>
        </w:rPr>
      </w:pPr>
      <w:r w:rsidRPr="000D3365">
        <w:rPr>
          <w:rFonts w:ascii="Century Gothic" w:hAnsi="Century Gothic"/>
          <w:b/>
          <w:bCs/>
          <w:color w:val="025850"/>
          <w:sz w:val="24"/>
          <w:szCs w:val="24"/>
        </w:rPr>
        <w:t>“Combate a la pobreza y atención a grupos en situación de vulnerabilidad”</w:t>
      </w:r>
    </w:p>
    <w:p w14:paraId="5C16B95F" w14:textId="77777777" w:rsidR="00900D40" w:rsidRPr="00900D40" w:rsidRDefault="00900D40" w:rsidP="00900D40">
      <w:pPr>
        <w:spacing w:before="166" w:line="360" w:lineRule="auto"/>
        <w:jc w:val="right"/>
        <w:rPr>
          <w:rFonts w:ascii="Century Gothic" w:hAnsi="Century Gothic"/>
          <w:b/>
          <w:bCs/>
          <w:color w:val="025850"/>
          <w:sz w:val="22"/>
          <w:szCs w:val="22"/>
        </w:rPr>
      </w:pPr>
    </w:p>
    <w:p w14:paraId="6ED24EDF" w14:textId="77777777" w:rsidR="00900D40" w:rsidRPr="00900D40" w:rsidRDefault="00900D40" w:rsidP="000D3365">
      <w:pPr>
        <w:spacing w:line="360" w:lineRule="auto"/>
        <w:jc w:val="center"/>
        <w:rPr>
          <w:rFonts w:ascii="Century Gothic" w:hAnsi="Century Gothic"/>
          <w:b/>
          <w:bCs/>
          <w:color w:val="025850"/>
          <w:sz w:val="22"/>
          <w:szCs w:val="22"/>
          <w:lang w:val="es-US"/>
        </w:rPr>
      </w:pPr>
      <w:r w:rsidRPr="00900D40">
        <w:rPr>
          <w:rFonts w:ascii="Century Gothic" w:hAnsi="Century Gothic"/>
          <w:b/>
          <w:bCs/>
          <w:color w:val="025850"/>
          <w:sz w:val="22"/>
          <w:szCs w:val="22"/>
          <w:lang w:val="es-US"/>
        </w:rPr>
        <w:t xml:space="preserve">“La pobreza no es solo una cuestión de falta de recursos económicos, sino también de exclusión social y política, y es fundamental abordarla desde una perspectiva integral que incluya la </w:t>
      </w:r>
      <w:proofErr w:type="gramStart"/>
      <w:r w:rsidRPr="00900D40">
        <w:rPr>
          <w:rFonts w:ascii="Century Gothic" w:hAnsi="Century Gothic"/>
          <w:b/>
          <w:bCs/>
          <w:color w:val="025850"/>
          <w:sz w:val="22"/>
          <w:szCs w:val="22"/>
          <w:lang w:val="es-US"/>
        </w:rPr>
        <w:t>participación activa</w:t>
      </w:r>
      <w:proofErr w:type="gramEnd"/>
      <w:r w:rsidRPr="00900D40">
        <w:rPr>
          <w:rFonts w:ascii="Century Gothic" w:hAnsi="Century Gothic"/>
          <w:b/>
          <w:bCs/>
          <w:color w:val="025850"/>
          <w:sz w:val="22"/>
          <w:szCs w:val="22"/>
          <w:lang w:val="es-US"/>
        </w:rPr>
        <w:t xml:space="preserve"> de las comunidades afectadas”.</w:t>
      </w:r>
    </w:p>
    <w:p w14:paraId="1528A74B" w14:textId="5B325281" w:rsidR="00900D40" w:rsidRPr="00900D40" w:rsidRDefault="00900D40" w:rsidP="000D3365">
      <w:pPr>
        <w:spacing w:line="360" w:lineRule="auto"/>
        <w:jc w:val="center"/>
        <w:rPr>
          <w:rFonts w:ascii="Century Gothic" w:hAnsi="Century Gothic"/>
          <w:b/>
          <w:bCs/>
          <w:color w:val="025850"/>
          <w:sz w:val="22"/>
          <w:szCs w:val="22"/>
          <w:lang w:val="es-US"/>
        </w:rPr>
      </w:pPr>
      <w:r w:rsidRPr="00900D40">
        <w:rPr>
          <w:rFonts w:ascii="Century Gothic" w:hAnsi="Century Gothic"/>
          <w:b/>
          <w:bCs/>
          <w:color w:val="025850"/>
          <w:sz w:val="22"/>
          <w:szCs w:val="22"/>
          <w:lang w:val="es-US"/>
        </w:rPr>
        <w:t>Antropólogo y Premio Nobel de Economía, Amartya Sen</w:t>
      </w:r>
    </w:p>
    <w:p w14:paraId="349418C6" w14:textId="77777777" w:rsidR="00900D40" w:rsidRDefault="00900D40">
      <w:pPr>
        <w:rPr>
          <w:rFonts w:ascii="Century Gothic" w:hAnsi="Century Gothic"/>
          <w:b/>
          <w:bCs/>
          <w:color w:val="8DD873" w:themeColor="accent6" w:themeTint="99"/>
          <w:sz w:val="22"/>
          <w:szCs w:val="22"/>
          <w:lang w:val="es-US"/>
        </w:rPr>
      </w:pPr>
      <w:r>
        <w:rPr>
          <w:rFonts w:ascii="Century Gothic" w:hAnsi="Century Gothic"/>
          <w:b/>
          <w:bCs/>
          <w:color w:val="8DD873" w:themeColor="accent6" w:themeTint="99"/>
          <w:sz w:val="22"/>
          <w:szCs w:val="22"/>
          <w:lang w:val="es-US"/>
        </w:rPr>
        <w:br w:type="page"/>
      </w:r>
    </w:p>
    <w:p w14:paraId="219EE76F" w14:textId="752DC454" w:rsidR="000D3365" w:rsidRPr="000D3365" w:rsidRDefault="000D3365" w:rsidP="000D3365">
      <w:pPr>
        <w:spacing w:after="160" w:line="360" w:lineRule="auto"/>
        <w:jc w:val="both"/>
        <w:rPr>
          <w:rFonts w:ascii="Century Gothic" w:hAnsi="Century Gothic"/>
          <w:b/>
          <w:color w:val="025850"/>
          <w:sz w:val="22"/>
          <w:szCs w:val="22"/>
        </w:rPr>
      </w:pPr>
      <w:r w:rsidRPr="000D3365">
        <w:rPr>
          <w:rFonts w:ascii="Century Gothic" w:hAnsi="Century Gothic"/>
          <w:b/>
          <w:color w:val="025850"/>
          <w:sz w:val="22"/>
          <w:szCs w:val="22"/>
        </w:rPr>
        <w:lastRenderedPageBreak/>
        <w:t>Combate a la pobreza y reducción de carencias sociales</w:t>
      </w:r>
    </w:p>
    <w:p w14:paraId="68215315" w14:textId="77777777" w:rsidR="000D3365" w:rsidRPr="000D3365" w:rsidRDefault="000D3365" w:rsidP="000D3365">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D3365">
        <w:rPr>
          <w:rFonts w:ascii="Century Gothic" w:eastAsia="Times New Roman" w:hAnsi="Century Gothic" w:cs="Times New Roman"/>
          <w:sz w:val="22"/>
          <w:szCs w:val="22"/>
          <w:lang w:eastAsia="es-MX"/>
        </w:rPr>
        <w:t>Es común pensar que los municipios pueden resolver todos los problemas y desafíos que enfrenta su población, debido a que son el nivel de gobierno más cercano a la gente, lo que les permite conocer de manera detallada las causas de las problemáticas locales y, en teoría, implementar soluciones efectivas. Sin embargo, la realidad es que, para abordar problemas sociales, se requiere más que solo conocimiento de la situación; es necesario contar con recursos económicos suficientes, capacidades técnicas, y atribuciones claras para actuar.</w:t>
      </w:r>
    </w:p>
    <w:p w14:paraId="617D2A96" w14:textId="77777777" w:rsidR="000D3365" w:rsidRPr="000D3365" w:rsidRDefault="000D3365" w:rsidP="000D3365">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D3365">
        <w:rPr>
          <w:rFonts w:ascii="Century Gothic" w:eastAsia="Times New Roman" w:hAnsi="Century Gothic" w:cs="Times New Roman"/>
          <w:sz w:val="22"/>
          <w:szCs w:val="22"/>
          <w:lang w:eastAsia="es-MX"/>
        </w:rPr>
        <w:t>Cada municipio enfrenta realidades muy distintas. Existe una gran heterogeneidad territorial, poblacional, económica, y en cuanto a capacidades y recursos disponibles. Por ejemplo, los municipios con mayores capacidades suelen tener una población cercana al millón de habitantes, con un índice de pobreza promedio del 28.8% y un bajo grado de rezago social.</w:t>
      </w:r>
    </w:p>
    <w:p w14:paraId="19D7B428" w14:textId="77777777" w:rsidR="000D3365" w:rsidRPr="000D3365" w:rsidRDefault="000D3365" w:rsidP="000D3365">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D3365">
        <w:rPr>
          <w:rFonts w:ascii="Century Gothic" w:eastAsia="Times New Roman" w:hAnsi="Century Gothic" w:cs="Times New Roman"/>
          <w:sz w:val="22"/>
          <w:szCs w:val="22"/>
          <w:lang w:eastAsia="es-MX"/>
        </w:rPr>
        <w:t xml:space="preserve">En contraste, los municipios con menores capacidades se caracterizan por tener poblaciones pequeñas (alrededor de 19,800 habitantes en promedio), </w:t>
      </w:r>
      <w:r w:rsidRPr="000D3365">
        <w:rPr>
          <w:rFonts w:ascii="Century Gothic" w:eastAsia="Times New Roman" w:hAnsi="Century Gothic" w:cs="Times New Roman"/>
          <w:sz w:val="22"/>
          <w:szCs w:val="22"/>
          <w:lang w:eastAsia="es-MX"/>
        </w:rPr>
        <w:t>con una pobreza promedio del 94.5% y niveles de rezago social muy altos. En este contexto, la superación de la pobreza requiere la colaboración coordinada entre los tres órdenes de gobierno. Sin embargo, la realidad actual muestra una fragmentación de las políticas sociales, lo que dificulta una acción eficaz. Esto es fundamental, ya que con frecuencia se presentan esfuerzos duplicados, donde las intervenciones de los tres niveles de gobierno no se complementan adecuadamente, sino que, en ocasiones, atienden a la misma población con los mismos bienes o servicios para resolver un mismo problema público.</w:t>
      </w:r>
    </w:p>
    <w:p w14:paraId="62A53AEE" w14:textId="77777777" w:rsidR="000D3365" w:rsidRDefault="000D3365" w:rsidP="000D3365">
      <w:pPr>
        <w:spacing w:after="0" w:line="240" w:lineRule="auto"/>
        <w:jc w:val="center"/>
        <w:rPr>
          <w:rFonts w:ascii="Century Gothic" w:hAnsi="Century Gothic"/>
          <w:b/>
          <w:sz w:val="22"/>
          <w:szCs w:val="22"/>
          <w:lang w:val="es-US"/>
        </w:rPr>
      </w:pPr>
      <w:r w:rsidRPr="00023A4E">
        <w:rPr>
          <w:rFonts w:ascii="Century Gothic" w:hAnsi="Century Gothic"/>
          <w:b/>
          <w:sz w:val="22"/>
          <w:szCs w:val="22"/>
          <w:lang w:val="es-US"/>
        </w:rPr>
        <w:t xml:space="preserve">Pobreza </w:t>
      </w:r>
      <w:r>
        <w:rPr>
          <w:rFonts w:ascii="Century Gothic" w:hAnsi="Century Gothic"/>
          <w:b/>
          <w:sz w:val="22"/>
          <w:szCs w:val="22"/>
          <w:lang w:val="es-US"/>
        </w:rPr>
        <w:t>p</w:t>
      </w:r>
      <w:r w:rsidRPr="00023A4E">
        <w:rPr>
          <w:rFonts w:ascii="Century Gothic" w:hAnsi="Century Gothic"/>
          <w:b/>
          <w:sz w:val="22"/>
          <w:szCs w:val="22"/>
          <w:lang w:val="es-US"/>
        </w:rPr>
        <w:t xml:space="preserve">or Ingresos </w:t>
      </w:r>
      <w:r>
        <w:rPr>
          <w:rFonts w:ascii="Century Gothic" w:hAnsi="Century Gothic"/>
          <w:b/>
          <w:sz w:val="22"/>
          <w:szCs w:val="22"/>
          <w:lang w:val="es-US"/>
        </w:rPr>
        <w:t>e</w:t>
      </w:r>
      <w:r w:rsidRPr="00023A4E">
        <w:rPr>
          <w:rFonts w:ascii="Century Gothic" w:hAnsi="Century Gothic"/>
          <w:b/>
          <w:sz w:val="22"/>
          <w:szCs w:val="22"/>
          <w:lang w:val="es-US"/>
        </w:rPr>
        <w:t xml:space="preserve">n </w:t>
      </w:r>
      <w:r>
        <w:rPr>
          <w:rFonts w:ascii="Century Gothic" w:hAnsi="Century Gothic"/>
          <w:b/>
          <w:sz w:val="22"/>
          <w:szCs w:val="22"/>
          <w:lang w:val="es-US"/>
        </w:rPr>
        <w:t>e</w:t>
      </w:r>
      <w:r w:rsidRPr="00023A4E">
        <w:rPr>
          <w:rFonts w:ascii="Century Gothic" w:hAnsi="Century Gothic"/>
          <w:b/>
          <w:sz w:val="22"/>
          <w:szCs w:val="22"/>
          <w:lang w:val="es-US"/>
        </w:rPr>
        <w:t xml:space="preserve">l Municipio </w:t>
      </w:r>
      <w:r>
        <w:rPr>
          <w:rFonts w:ascii="Century Gothic" w:hAnsi="Century Gothic"/>
          <w:b/>
          <w:sz w:val="22"/>
          <w:szCs w:val="22"/>
          <w:lang w:val="es-US"/>
        </w:rPr>
        <w:t>d</w:t>
      </w:r>
      <w:r w:rsidRPr="00023A4E">
        <w:rPr>
          <w:rFonts w:ascii="Century Gothic" w:hAnsi="Century Gothic"/>
          <w:b/>
          <w:sz w:val="22"/>
          <w:szCs w:val="22"/>
          <w:lang w:val="es-US"/>
        </w:rPr>
        <w:t xml:space="preserve">e </w:t>
      </w:r>
    </w:p>
    <w:p w14:paraId="0A49DCF0" w14:textId="014AF31F" w:rsidR="000D3365" w:rsidRDefault="000D3365" w:rsidP="000D3365">
      <w:pPr>
        <w:spacing w:after="0" w:line="240" w:lineRule="auto"/>
        <w:jc w:val="center"/>
        <w:rPr>
          <w:rFonts w:ascii="Century Gothic" w:hAnsi="Century Gothic"/>
          <w:b/>
          <w:sz w:val="22"/>
          <w:szCs w:val="22"/>
          <w:lang w:val="es-US"/>
        </w:rPr>
      </w:pPr>
      <w:r w:rsidRPr="00023A4E">
        <w:rPr>
          <w:rFonts w:ascii="Century Gothic" w:hAnsi="Century Gothic"/>
          <w:b/>
          <w:sz w:val="22"/>
          <w:szCs w:val="22"/>
          <w:lang w:val="es-US"/>
        </w:rPr>
        <w:t xml:space="preserve">San Antonio </w:t>
      </w:r>
      <w:r>
        <w:rPr>
          <w:rFonts w:ascii="Century Gothic" w:hAnsi="Century Gothic"/>
          <w:b/>
          <w:sz w:val="22"/>
          <w:szCs w:val="22"/>
          <w:lang w:val="es-US"/>
        </w:rPr>
        <w:t>l</w:t>
      </w:r>
      <w:r w:rsidRPr="00023A4E">
        <w:rPr>
          <w:rFonts w:ascii="Century Gothic" w:hAnsi="Century Gothic"/>
          <w:b/>
          <w:sz w:val="22"/>
          <w:szCs w:val="22"/>
          <w:lang w:val="es-US"/>
        </w:rPr>
        <w:t>a Isla</w:t>
      </w:r>
    </w:p>
    <w:p w14:paraId="335DA67B" w14:textId="2AC89BB2" w:rsidR="000D3365" w:rsidRDefault="000D3365" w:rsidP="000D3365">
      <w:pPr>
        <w:spacing w:after="0" w:line="240" w:lineRule="auto"/>
        <w:jc w:val="center"/>
        <w:rPr>
          <w:rFonts w:ascii="Century Gothic" w:hAnsi="Century Gothic"/>
          <w:b/>
          <w:sz w:val="22"/>
          <w:szCs w:val="22"/>
          <w:lang w:val="es-US"/>
        </w:rPr>
      </w:pPr>
    </w:p>
    <w:tbl>
      <w:tblPr>
        <w:tblStyle w:val="Tabladelista4-nfasis2"/>
        <w:tblW w:w="0" w:type="auto"/>
        <w:jc w:val="center"/>
        <w:tblLook w:val="04A0" w:firstRow="1" w:lastRow="0" w:firstColumn="1" w:lastColumn="0" w:noHBand="0" w:noVBand="1"/>
      </w:tblPr>
      <w:tblGrid>
        <w:gridCol w:w="2158"/>
        <w:gridCol w:w="840"/>
        <w:gridCol w:w="843"/>
        <w:gridCol w:w="843"/>
      </w:tblGrid>
      <w:tr w:rsidR="000D3365" w:rsidRPr="000D3365" w14:paraId="1E893CF3" w14:textId="77777777" w:rsidTr="007C27F6">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158" w:type="dxa"/>
          </w:tcPr>
          <w:p w14:paraId="42BABDD7" w14:textId="77777777" w:rsidR="000D3365" w:rsidRPr="000D3365" w:rsidRDefault="000D3365" w:rsidP="00E6209B">
            <w:pPr>
              <w:spacing w:line="360" w:lineRule="auto"/>
              <w:rPr>
                <w:rFonts w:ascii="Century Gothic" w:hAnsi="Century Gothic"/>
                <w:sz w:val="20"/>
                <w:szCs w:val="20"/>
              </w:rPr>
            </w:pPr>
            <w:r w:rsidRPr="000D3365">
              <w:rPr>
                <w:rFonts w:ascii="Century Gothic" w:hAnsi="Century Gothic"/>
                <w:sz w:val="20"/>
                <w:szCs w:val="20"/>
              </w:rPr>
              <w:t>Concepto</w:t>
            </w:r>
          </w:p>
        </w:tc>
        <w:tc>
          <w:tcPr>
            <w:tcW w:w="840" w:type="dxa"/>
          </w:tcPr>
          <w:p w14:paraId="1111BED8" w14:textId="77777777" w:rsidR="000D3365" w:rsidRPr="000D3365" w:rsidRDefault="000D3365"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1990</w:t>
            </w:r>
          </w:p>
        </w:tc>
        <w:tc>
          <w:tcPr>
            <w:tcW w:w="843" w:type="dxa"/>
          </w:tcPr>
          <w:p w14:paraId="70D320DC" w14:textId="77777777" w:rsidR="000D3365" w:rsidRPr="000D3365" w:rsidRDefault="000D3365"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2000</w:t>
            </w:r>
          </w:p>
        </w:tc>
        <w:tc>
          <w:tcPr>
            <w:tcW w:w="843" w:type="dxa"/>
          </w:tcPr>
          <w:p w14:paraId="6EA08132" w14:textId="77777777" w:rsidR="000D3365" w:rsidRPr="000D3365" w:rsidRDefault="000D3365"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2010</w:t>
            </w:r>
          </w:p>
        </w:tc>
      </w:tr>
      <w:tr w:rsidR="000D3365" w:rsidRPr="000D3365" w14:paraId="2DF54E62" w14:textId="77777777" w:rsidTr="007C27F6">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2158" w:type="dxa"/>
          </w:tcPr>
          <w:p w14:paraId="11F3EB68" w14:textId="77777777" w:rsidR="000D3365" w:rsidRPr="000D3365" w:rsidRDefault="000D3365" w:rsidP="00E6209B">
            <w:pPr>
              <w:spacing w:line="360" w:lineRule="auto"/>
              <w:rPr>
                <w:rFonts w:ascii="Century Gothic" w:hAnsi="Century Gothic"/>
                <w:sz w:val="20"/>
                <w:szCs w:val="20"/>
              </w:rPr>
            </w:pPr>
            <w:r w:rsidRPr="000D3365">
              <w:rPr>
                <w:rFonts w:ascii="Century Gothic" w:hAnsi="Century Gothic"/>
                <w:sz w:val="20"/>
                <w:szCs w:val="20"/>
              </w:rPr>
              <w:t>Alimentaria</w:t>
            </w:r>
          </w:p>
        </w:tc>
        <w:tc>
          <w:tcPr>
            <w:tcW w:w="840" w:type="dxa"/>
          </w:tcPr>
          <w:p w14:paraId="559A9FF0" w14:textId="77777777" w:rsidR="000D3365" w:rsidRPr="000D3365" w:rsidRDefault="000D3365"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18.8</w:t>
            </w:r>
          </w:p>
        </w:tc>
        <w:tc>
          <w:tcPr>
            <w:tcW w:w="843" w:type="dxa"/>
          </w:tcPr>
          <w:p w14:paraId="27F6AC01" w14:textId="77777777" w:rsidR="000D3365" w:rsidRPr="000D3365" w:rsidRDefault="000D3365"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19.0</w:t>
            </w:r>
          </w:p>
        </w:tc>
        <w:tc>
          <w:tcPr>
            <w:tcW w:w="843" w:type="dxa"/>
          </w:tcPr>
          <w:p w14:paraId="3D3178D5" w14:textId="77777777" w:rsidR="000D3365" w:rsidRPr="000D3365" w:rsidRDefault="000D3365"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12.9</w:t>
            </w:r>
          </w:p>
        </w:tc>
      </w:tr>
      <w:tr w:rsidR="000D3365" w:rsidRPr="000D3365" w14:paraId="2EF6621E" w14:textId="77777777" w:rsidTr="007C27F6">
        <w:trPr>
          <w:trHeight w:val="273"/>
          <w:jc w:val="center"/>
        </w:trPr>
        <w:tc>
          <w:tcPr>
            <w:cnfStyle w:val="001000000000" w:firstRow="0" w:lastRow="0" w:firstColumn="1" w:lastColumn="0" w:oddVBand="0" w:evenVBand="0" w:oddHBand="0" w:evenHBand="0" w:firstRowFirstColumn="0" w:firstRowLastColumn="0" w:lastRowFirstColumn="0" w:lastRowLastColumn="0"/>
            <w:tcW w:w="2158" w:type="dxa"/>
          </w:tcPr>
          <w:p w14:paraId="36CCD89F" w14:textId="77777777" w:rsidR="000D3365" w:rsidRPr="000D3365" w:rsidRDefault="000D3365" w:rsidP="00E6209B">
            <w:pPr>
              <w:spacing w:line="360" w:lineRule="auto"/>
              <w:rPr>
                <w:rFonts w:ascii="Century Gothic" w:hAnsi="Century Gothic"/>
                <w:sz w:val="20"/>
                <w:szCs w:val="20"/>
              </w:rPr>
            </w:pPr>
            <w:r w:rsidRPr="000D3365">
              <w:rPr>
                <w:rFonts w:ascii="Century Gothic" w:hAnsi="Century Gothic"/>
                <w:sz w:val="20"/>
                <w:szCs w:val="20"/>
              </w:rPr>
              <w:t>Capacidades</w:t>
            </w:r>
          </w:p>
        </w:tc>
        <w:tc>
          <w:tcPr>
            <w:tcW w:w="840" w:type="dxa"/>
          </w:tcPr>
          <w:p w14:paraId="6B9F2F7D" w14:textId="77777777" w:rsidR="000D3365" w:rsidRPr="000D3365" w:rsidRDefault="000D3365"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26.1</w:t>
            </w:r>
          </w:p>
        </w:tc>
        <w:tc>
          <w:tcPr>
            <w:tcW w:w="843" w:type="dxa"/>
          </w:tcPr>
          <w:p w14:paraId="54EDC58C" w14:textId="77777777" w:rsidR="000D3365" w:rsidRPr="000D3365" w:rsidRDefault="000D3365"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24.1</w:t>
            </w:r>
          </w:p>
        </w:tc>
        <w:tc>
          <w:tcPr>
            <w:tcW w:w="843" w:type="dxa"/>
          </w:tcPr>
          <w:p w14:paraId="40C05E81" w14:textId="77777777" w:rsidR="000D3365" w:rsidRPr="000D3365" w:rsidRDefault="000D3365"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19.9</w:t>
            </w:r>
          </w:p>
        </w:tc>
      </w:tr>
      <w:tr w:rsidR="000D3365" w:rsidRPr="000D3365" w14:paraId="237557E6" w14:textId="77777777" w:rsidTr="007C27F6">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2158" w:type="dxa"/>
          </w:tcPr>
          <w:p w14:paraId="3D1ED7EA" w14:textId="77777777" w:rsidR="000D3365" w:rsidRPr="000D3365" w:rsidRDefault="000D3365" w:rsidP="00E6209B">
            <w:pPr>
              <w:spacing w:line="360" w:lineRule="auto"/>
              <w:rPr>
                <w:rFonts w:ascii="Century Gothic" w:hAnsi="Century Gothic"/>
                <w:sz w:val="20"/>
                <w:szCs w:val="20"/>
              </w:rPr>
            </w:pPr>
            <w:r w:rsidRPr="000D3365">
              <w:rPr>
                <w:rFonts w:ascii="Century Gothic" w:hAnsi="Century Gothic"/>
                <w:sz w:val="20"/>
                <w:szCs w:val="20"/>
              </w:rPr>
              <w:t>Patrimonio</w:t>
            </w:r>
          </w:p>
        </w:tc>
        <w:tc>
          <w:tcPr>
            <w:tcW w:w="840" w:type="dxa"/>
          </w:tcPr>
          <w:p w14:paraId="634DFCA1" w14:textId="77777777" w:rsidR="000D3365" w:rsidRPr="000D3365" w:rsidRDefault="000D3365"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49.6</w:t>
            </w:r>
          </w:p>
        </w:tc>
        <w:tc>
          <w:tcPr>
            <w:tcW w:w="843" w:type="dxa"/>
          </w:tcPr>
          <w:p w14:paraId="41E19769" w14:textId="77777777" w:rsidR="000D3365" w:rsidRPr="000D3365" w:rsidRDefault="000D3365"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39.6</w:t>
            </w:r>
          </w:p>
        </w:tc>
        <w:tc>
          <w:tcPr>
            <w:tcW w:w="843" w:type="dxa"/>
          </w:tcPr>
          <w:p w14:paraId="067A78B4" w14:textId="77777777" w:rsidR="000D3365" w:rsidRPr="000D3365" w:rsidRDefault="000D3365"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44.4</w:t>
            </w:r>
          </w:p>
        </w:tc>
      </w:tr>
      <w:tr w:rsidR="000D3365" w:rsidRPr="000D3365" w14:paraId="51DA20C3" w14:textId="77777777" w:rsidTr="007C27F6">
        <w:trPr>
          <w:trHeight w:val="172"/>
          <w:jc w:val="center"/>
        </w:trPr>
        <w:tc>
          <w:tcPr>
            <w:cnfStyle w:val="001000000000" w:firstRow="0" w:lastRow="0" w:firstColumn="1" w:lastColumn="0" w:oddVBand="0" w:evenVBand="0" w:oddHBand="0" w:evenHBand="0" w:firstRowFirstColumn="0" w:firstRowLastColumn="0" w:lastRowFirstColumn="0" w:lastRowLastColumn="0"/>
            <w:tcW w:w="2158" w:type="dxa"/>
          </w:tcPr>
          <w:p w14:paraId="67B9E978" w14:textId="77777777" w:rsidR="000D3365" w:rsidRPr="000D3365" w:rsidRDefault="000D3365" w:rsidP="00E6209B">
            <w:pPr>
              <w:spacing w:line="360" w:lineRule="auto"/>
              <w:rPr>
                <w:rFonts w:ascii="Century Gothic" w:hAnsi="Century Gothic"/>
                <w:sz w:val="20"/>
                <w:szCs w:val="20"/>
              </w:rPr>
            </w:pPr>
            <w:r w:rsidRPr="000D3365">
              <w:rPr>
                <w:rFonts w:ascii="Century Gothic" w:hAnsi="Century Gothic"/>
                <w:sz w:val="20"/>
                <w:szCs w:val="20"/>
              </w:rPr>
              <w:t>Coeficiente de Gini</w:t>
            </w:r>
          </w:p>
        </w:tc>
        <w:tc>
          <w:tcPr>
            <w:tcW w:w="840" w:type="dxa"/>
          </w:tcPr>
          <w:p w14:paraId="623E9568" w14:textId="77777777" w:rsidR="000D3365" w:rsidRPr="000D3365" w:rsidRDefault="000D3365"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03882</w:t>
            </w:r>
          </w:p>
        </w:tc>
        <w:tc>
          <w:tcPr>
            <w:tcW w:w="843" w:type="dxa"/>
          </w:tcPr>
          <w:p w14:paraId="15F69771" w14:textId="77777777" w:rsidR="000D3365" w:rsidRPr="000D3365" w:rsidRDefault="000D3365"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0.5689</w:t>
            </w:r>
          </w:p>
        </w:tc>
        <w:tc>
          <w:tcPr>
            <w:tcW w:w="843" w:type="dxa"/>
          </w:tcPr>
          <w:p w14:paraId="301C89AB" w14:textId="77777777" w:rsidR="000D3365" w:rsidRPr="000D3365" w:rsidRDefault="000D3365"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0D3365">
              <w:rPr>
                <w:rFonts w:ascii="Century Gothic" w:hAnsi="Century Gothic"/>
                <w:sz w:val="20"/>
                <w:szCs w:val="20"/>
              </w:rPr>
              <w:t>0.4057</w:t>
            </w:r>
          </w:p>
        </w:tc>
      </w:tr>
    </w:tbl>
    <w:p w14:paraId="69C97067" w14:textId="7635DABF" w:rsidR="00114376" w:rsidRDefault="000D3365" w:rsidP="00114376">
      <w:pPr>
        <w:spacing w:after="160" w:line="240" w:lineRule="auto"/>
        <w:jc w:val="both"/>
        <w:rPr>
          <w:rFonts w:ascii="Century Gothic" w:hAnsi="Century Gothic"/>
          <w:bCs/>
          <w:sz w:val="14"/>
          <w:szCs w:val="14"/>
          <w:lang w:val="es-US"/>
        </w:rPr>
      </w:pPr>
      <w:r w:rsidRPr="000D3365">
        <w:rPr>
          <w:rFonts w:ascii="Century Gothic" w:hAnsi="Century Gothic"/>
          <w:bCs/>
          <w:sz w:val="14"/>
          <w:szCs w:val="14"/>
          <w:lang w:val="es-US"/>
        </w:rPr>
        <w:t xml:space="preserve">Fuente: Consejo Nacional de Evaluación de la Política de Desarrollo Social. "Evolución de la pobreza por ingresos 1990-2010". </w:t>
      </w:r>
    </w:p>
    <w:p w14:paraId="0B15CD52" w14:textId="77777777" w:rsidR="00114376" w:rsidRDefault="00114376">
      <w:pPr>
        <w:rPr>
          <w:rFonts w:ascii="Century Gothic" w:hAnsi="Century Gothic"/>
          <w:bCs/>
          <w:sz w:val="14"/>
          <w:szCs w:val="14"/>
          <w:lang w:val="es-US"/>
        </w:rPr>
      </w:pPr>
      <w:r>
        <w:rPr>
          <w:rFonts w:ascii="Century Gothic" w:hAnsi="Century Gothic"/>
          <w:bCs/>
          <w:sz w:val="14"/>
          <w:szCs w:val="14"/>
          <w:lang w:val="es-US"/>
        </w:rPr>
        <w:br w:type="page"/>
      </w:r>
    </w:p>
    <w:p w14:paraId="5FC847E9" w14:textId="20952A90" w:rsidR="00114376" w:rsidRPr="00114376" w:rsidRDefault="00114376" w:rsidP="00114376">
      <w:pPr>
        <w:spacing w:after="160" w:line="240" w:lineRule="auto"/>
        <w:jc w:val="both"/>
        <w:rPr>
          <w:rFonts w:ascii="Century Gothic" w:hAnsi="Century Gothic"/>
          <w:bCs/>
          <w:sz w:val="14"/>
          <w:szCs w:val="14"/>
          <w:lang w:val="es-US"/>
        </w:rPr>
      </w:pPr>
      <w:r w:rsidRPr="00023A4E">
        <w:rPr>
          <w:noProof/>
          <w:sz w:val="22"/>
          <w:szCs w:val="22"/>
        </w:rPr>
        <w:lastRenderedPageBreak/>
        <w:drawing>
          <wp:inline distT="0" distB="0" distL="0" distR="0" wp14:anchorId="6AB3C367" wp14:editId="08AC9477">
            <wp:extent cx="3890010" cy="1944776"/>
            <wp:effectExtent l="0" t="0" r="15240" b="17780"/>
            <wp:docPr id="11" name="Gráfico 1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114376">
        <w:rPr>
          <w:rFonts w:ascii="Century Gothic" w:hAnsi="Century Gothic"/>
          <w:bCs/>
          <w:sz w:val="14"/>
          <w:szCs w:val="14"/>
          <w:lang w:val="es-US"/>
        </w:rPr>
        <w:t xml:space="preserve">Fuente: Consejo Nacional de Evaluación de la Política de Desarrollo Social. "Evolución de la pobreza por ingresos 1990-2010". </w:t>
      </w:r>
    </w:p>
    <w:p w14:paraId="0BC8D713" w14:textId="37E7EA9D" w:rsidR="00114376" w:rsidRDefault="00114376" w:rsidP="00114376">
      <w:pPr>
        <w:spacing w:after="160" w:line="240" w:lineRule="auto"/>
        <w:jc w:val="both"/>
        <w:rPr>
          <w:rFonts w:ascii="Century Gothic" w:hAnsi="Century Gothic"/>
          <w:bCs/>
          <w:sz w:val="14"/>
          <w:szCs w:val="14"/>
          <w:lang w:val="es-US"/>
        </w:rPr>
      </w:pPr>
    </w:p>
    <w:p w14:paraId="40FC68FB" w14:textId="52E1CF05" w:rsidR="00114376" w:rsidRPr="00114376" w:rsidRDefault="00114376" w:rsidP="00114376">
      <w:pPr>
        <w:spacing w:after="160" w:line="240" w:lineRule="auto"/>
        <w:jc w:val="both"/>
        <w:rPr>
          <w:rFonts w:ascii="Century Gothic" w:hAnsi="Century Gothic"/>
          <w:bCs/>
          <w:sz w:val="14"/>
          <w:szCs w:val="14"/>
          <w:lang w:val="es-US"/>
        </w:rPr>
      </w:pPr>
      <w:r w:rsidRPr="00023A4E">
        <w:rPr>
          <w:noProof/>
          <w:sz w:val="22"/>
          <w:szCs w:val="22"/>
        </w:rPr>
        <w:drawing>
          <wp:inline distT="0" distB="0" distL="0" distR="0" wp14:anchorId="52254B26" wp14:editId="2C979A03">
            <wp:extent cx="3890010" cy="1944776"/>
            <wp:effectExtent l="0" t="0" r="15240" b="17780"/>
            <wp:docPr id="15" name="Gráfico 1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114376">
        <w:rPr>
          <w:rFonts w:ascii="Century Gothic" w:hAnsi="Century Gothic"/>
          <w:bCs/>
          <w:sz w:val="14"/>
          <w:szCs w:val="14"/>
          <w:lang w:val="es-US"/>
        </w:rPr>
        <w:t xml:space="preserve">Fuente: Consejo Nacional de Evaluación de la </w:t>
      </w:r>
      <w:proofErr w:type="spellStart"/>
      <w:r w:rsidRPr="00114376">
        <w:rPr>
          <w:rFonts w:ascii="Century Gothic" w:hAnsi="Century Gothic"/>
          <w:bCs/>
          <w:sz w:val="14"/>
          <w:szCs w:val="14"/>
          <w:lang w:val="es-US"/>
        </w:rPr>
        <w:t>Politica</w:t>
      </w:r>
      <w:proofErr w:type="spellEnd"/>
      <w:r w:rsidRPr="00114376">
        <w:rPr>
          <w:rFonts w:ascii="Century Gothic" w:hAnsi="Century Gothic"/>
          <w:bCs/>
          <w:sz w:val="14"/>
          <w:szCs w:val="14"/>
          <w:lang w:val="es-US"/>
        </w:rPr>
        <w:t xml:space="preserve"> de Desarrollo Social. "Evolución de la pobreza por ingresos 1990-2010". </w:t>
      </w:r>
    </w:p>
    <w:p w14:paraId="735875E9" w14:textId="6D433CDE" w:rsidR="00114376" w:rsidRDefault="00114376" w:rsidP="00114376">
      <w:pPr>
        <w:spacing w:after="160" w:line="240" w:lineRule="auto"/>
        <w:jc w:val="both"/>
        <w:rPr>
          <w:rFonts w:ascii="Century Gothic" w:hAnsi="Century Gothic"/>
          <w:bCs/>
          <w:sz w:val="14"/>
          <w:szCs w:val="14"/>
          <w:lang w:val="es-US"/>
        </w:rPr>
      </w:pPr>
    </w:p>
    <w:p w14:paraId="5508FB00"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La duplicidad de esfuerzos gubernamentales evidencia la falta de políticas sociales integradas que puedan incidir efectivamente en la reducción de la </w:t>
      </w:r>
      <w:r w:rsidRPr="00023A4E">
        <w:rPr>
          <w:rFonts w:ascii="Century Gothic" w:eastAsia="Times New Roman" w:hAnsi="Century Gothic" w:cs="Times New Roman"/>
          <w:sz w:val="22"/>
          <w:szCs w:val="22"/>
          <w:lang w:eastAsia="es-MX"/>
        </w:rPr>
        <w:t>pobreza. Aunque las capacidades municipales por sí solas no son suficientes para disminuir la pobreza, su fortalecimiento es esencial. Dado que la pobreza es una atribución concurrente de los tres niveles de gobierno, las intervenciones municipales pueden no tener un efecto directo sin una coordinación adecuada.</w:t>
      </w:r>
    </w:p>
    <w:p w14:paraId="5492101B"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La pobreza es un fenómeno multidimensional que ha sido complejo de medir históricamente. Sin embargo, en 1997, la Organización de las Naciones Unidas (ONU) estableció parámetros estadísticos para evaluar el nivel de vida de las naciones, proporcionando una mejor comprensión de las carencias que el Índice de Desarrollo Humano (IDH) por sí solo no reflejaba.</w:t>
      </w:r>
    </w:p>
    <w:p w14:paraId="0280C53D"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El IDH se calcula a partir de tres componentes: esperanza de vida al nacer, tasa de alfabetización de adultos y Producto Interno Bruto (PIB) per cápita. Publicado anualmente en los Informes sobre Desarrollo Humano del Programa de las Naciones Unidas para el Desarrollo (PNUD), el IDH clasifica a los países en grupos según su nivel de desarrollo: muy alto, alto, medio y bajo.</w:t>
      </w:r>
    </w:p>
    <w:p w14:paraId="211B5814"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lastRenderedPageBreak/>
        <w:t>En el Estado de México, de los 125 municipios, tres (Cuautitlán Izcalli, Metepec y Lerma) tienen un IDH muy alto, 91 presentan un IDH alto y 31 un IDH medio. La media estatal es de 0.754. San Antonio la Isla tiene un IDH de 0.771, lo que indica un nivel de desarrollo alto.</w:t>
      </w:r>
    </w:p>
    <w:p w14:paraId="310EC379" w14:textId="77777777" w:rsidR="00114376" w:rsidRPr="00023A4E" w:rsidRDefault="00114376" w:rsidP="00114376">
      <w:p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En 2022, la situación de pobreza en San Antonio la Isla era la siguiente:</w:t>
      </w:r>
    </w:p>
    <w:p w14:paraId="1E6DB906" w14:textId="77777777" w:rsidR="00114376" w:rsidRPr="00023A4E" w:rsidRDefault="00114376" w:rsidP="00E50CE9">
      <w:pPr>
        <w:numPr>
          <w:ilvl w:val="0"/>
          <w:numId w:val="43"/>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40.9% de la población en pobreza moderada.</w:t>
      </w:r>
    </w:p>
    <w:p w14:paraId="725FDA44" w14:textId="77777777" w:rsidR="00114376" w:rsidRPr="00023A4E" w:rsidRDefault="00114376" w:rsidP="00E50CE9">
      <w:pPr>
        <w:numPr>
          <w:ilvl w:val="0"/>
          <w:numId w:val="43"/>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4.0% en pobreza extrema.</w:t>
      </w:r>
    </w:p>
    <w:p w14:paraId="624560A8" w14:textId="77777777" w:rsidR="00114376" w:rsidRPr="00023A4E" w:rsidRDefault="00114376" w:rsidP="00E50CE9">
      <w:pPr>
        <w:numPr>
          <w:ilvl w:val="0"/>
          <w:numId w:val="43"/>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50.8% vulnerable por carencias sociales.</w:t>
      </w:r>
    </w:p>
    <w:p w14:paraId="1A99F3E9" w14:textId="77777777" w:rsidR="00114376" w:rsidRPr="00023A4E" w:rsidRDefault="00114376" w:rsidP="00E50CE9">
      <w:pPr>
        <w:numPr>
          <w:ilvl w:val="0"/>
          <w:numId w:val="43"/>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42.5% vulnerable por ingresos.</w:t>
      </w:r>
    </w:p>
    <w:p w14:paraId="1F2EF42F" w14:textId="77777777" w:rsidR="00114376" w:rsidRPr="00023A4E" w:rsidRDefault="00114376" w:rsidP="00114376">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Las principales carencias sociales identificadas fueron: acceso a la seguridad social, servicios de salud y alimentación. Además, algunos indicadores de rezago social en las viviendas incluían: falta de agua entubada, piso de tierra, espacios reducidos, ausencia de drenaje y carencia de energía eléctrica.</w:t>
      </w:r>
    </w:p>
    <w:p w14:paraId="675A6DF0" w14:textId="5C22ADC0" w:rsidR="00114376" w:rsidRDefault="00114376" w:rsidP="00114376">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Estos datos destacan la necesidad de fortalecer las políticas públicas y las capacidades institucionales para </w:t>
      </w:r>
      <w:r w:rsidRPr="00023A4E">
        <w:rPr>
          <w:rFonts w:ascii="Century Gothic" w:eastAsia="Times New Roman" w:hAnsi="Century Gothic" w:cs="Times New Roman"/>
          <w:sz w:val="22"/>
          <w:szCs w:val="22"/>
          <w:lang w:eastAsia="es-MX"/>
        </w:rPr>
        <w:t>abordar de manera efectiva las múltiples dimensiones de la pobreza y el rezago social en el municipio.</w:t>
      </w:r>
    </w:p>
    <w:p w14:paraId="47959ECB" w14:textId="77777777" w:rsidR="00114376" w:rsidRPr="00114376" w:rsidRDefault="00114376" w:rsidP="00114376">
      <w:pPr>
        <w:spacing w:after="160" w:line="360" w:lineRule="auto"/>
        <w:jc w:val="both"/>
        <w:rPr>
          <w:rFonts w:ascii="Century Gothic" w:hAnsi="Century Gothic"/>
          <w:b/>
          <w:color w:val="025850"/>
          <w:sz w:val="22"/>
          <w:szCs w:val="22"/>
        </w:rPr>
      </w:pPr>
      <w:r w:rsidRPr="00114376">
        <w:rPr>
          <w:rFonts w:ascii="Century Gothic" w:hAnsi="Century Gothic"/>
          <w:b/>
          <w:color w:val="025850"/>
          <w:sz w:val="22"/>
          <w:szCs w:val="22"/>
        </w:rPr>
        <w:t>Mujeres con bienestar integral</w:t>
      </w:r>
    </w:p>
    <w:p w14:paraId="51F99ACD"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Muchas niñas y mujeres aún enfrentan barreras para ejercer su derecho al bienestar integral, debido a la persistente desigualdad de género y prácticas discriminatorias. Factores como la pobreza, el matrimonio precoz y la violencia de género son algunas de las causas que explican el alto porcentaje de mujeres y niñas sin escolaridad y analfabetas en todo el mundo.</w:t>
      </w:r>
    </w:p>
    <w:p w14:paraId="6FB48821"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La perspectiva de género nos proporciona herramientas clave para identificar las diferencias entre mujeres y hombres, diferencias que a menudo se transforman en desigualdades estructurales. Estas desigualdades otorgan a los hombres un espacio de poder y autoridad, mientras que a las mujeres se les asigna un rol subordinado de servicio y sometimiento. Las convenciones internacionales exigen al Estado reconocer y proteger los derechos humanos de las mujeres, mejorar sus condiciones de vida, erradicar toda </w:t>
      </w:r>
      <w:r w:rsidRPr="00023A4E">
        <w:rPr>
          <w:rFonts w:ascii="Century Gothic" w:eastAsia="Times New Roman" w:hAnsi="Century Gothic" w:cs="Times New Roman"/>
          <w:sz w:val="22"/>
          <w:szCs w:val="22"/>
          <w:lang w:eastAsia="es-MX"/>
        </w:rPr>
        <w:lastRenderedPageBreak/>
        <w:t>forma de discriminación de género y crear mecanismos eficaces para garantizar la igualdad sustantiva.</w:t>
      </w:r>
    </w:p>
    <w:p w14:paraId="7BD75C23"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Los proyectos destinados a satisfacer las necesidades fundamentales de las mujeres deben centrarse en metas claras, como: aumentar las oportunidades educativas, garantizar el acceso a la propiedad y fomentar la autonomía económica, asegurar la igualdad de oportunidades laborales en relación con los hombres, promover el acceso igualitario a cargos de representación popular y toma de decisiones, así como asegurar el ejercicio pleno de todos los derechos humanos y ciudadanos, incluyendo las garantías individuales.</w:t>
      </w:r>
    </w:p>
    <w:p w14:paraId="0FF69830"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Según la UNESCO, la igualdad de género es esencial para el empoderamiento social y económico de las personas y sus comunidades, pues brinda más opciones y recursos, además de una mayor autonomía para elegir el tipo de vida que desean. A pesar de los avances en la participación femenina en las últimas tres décadas, las disparidades de género siguen siendo profundas. Aunque las mujeres representan más del 40% de la población activa, siguen enfrentando barreras </w:t>
      </w:r>
      <w:r w:rsidRPr="00023A4E">
        <w:rPr>
          <w:rFonts w:ascii="Century Gothic" w:eastAsia="Times New Roman" w:hAnsi="Century Gothic" w:cs="Times New Roman"/>
          <w:sz w:val="22"/>
          <w:szCs w:val="22"/>
          <w:lang w:eastAsia="es-MX"/>
        </w:rPr>
        <w:t>invisibles en cuanto a ingresos, salarios y acceso a puestos directivos. Además, es común que estén sobrerrepresentadas en sectores económicos de baja productividad y/o en la economía informal.</w:t>
      </w:r>
    </w:p>
    <w:p w14:paraId="02392B74"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En México, la discriminación estructural hacia las mujeres sigue siendo una realidad, con el 51.4% de las mujeres siendo víctimas de exclusión en diversas áreas, como la escuela, el trabajo, el hogar, las calles, la política, los medios de comunicación y muchos otros espacios.</w:t>
      </w:r>
    </w:p>
    <w:p w14:paraId="6644B597"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Según datos del INEGI, el porcentaje de mujeres ocupadas en San Antonio la Isla es del 98.12%. Esto resalta la importancia de crear y fortalecer una legislación que favorezca la integración adecuada de las mujeres en diversos sectores, como la industria, el campo, las empresas y los servicios.</w:t>
      </w:r>
    </w:p>
    <w:p w14:paraId="7BCA3087" w14:textId="77777777" w:rsidR="00114376"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En San Antonio la Isla, las mujeres están desempeñando un papel cada vez más relevante en el ámbito laboral, particularmente en el comercio y en trabajos informales. Su participación y contribución son fundamentales para la economía del municipio y su desarrollo.</w:t>
      </w:r>
    </w:p>
    <w:p w14:paraId="39707A77" w14:textId="233678EF" w:rsidR="00114376" w:rsidRPr="00023A4E" w:rsidRDefault="00114376" w:rsidP="00114376">
      <w:pPr>
        <w:spacing w:before="100" w:beforeAutospacing="1" w:after="100" w:afterAutospacing="1" w:line="360" w:lineRule="auto"/>
        <w:ind w:firstLine="708"/>
        <w:rPr>
          <w:rFonts w:ascii="Century Gothic" w:eastAsia="Times New Roman" w:hAnsi="Century Gothic" w:cs="Times New Roman"/>
          <w:sz w:val="22"/>
          <w:szCs w:val="22"/>
          <w:lang w:eastAsia="es-MX"/>
        </w:rPr>
      </w:pPr>
      <w:r w:rsidRPr="00023A4E">
        <w:rPr>
          <w:rFonts w:ascii="Century Gothic" w:eastAsia="Times New Roman" w:hAnsi="Century Gothic" w:cs="Times New Roman"/>
          <w:noProof/>
          <w:sz w:val="22"/>
          <w:szCs w:val="22"/>
          <w:lang w:eastAsia="es-MX"/>
        </w:rPr>
        <w:lastRenderedPageBreak/>
        <w:drawing>
          <wp:inline distT="0" distB="0" distL="0" distR="0" wp14:anchorId="62C22BD7" wp14:editId="201768D5">
            <wp:extent cx="3538220" cy="1617345"/>
            <wp:effectExtent l="0" t="0" r="508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538220" cy="1617345"/>
                    </a:xfrm>
                    <a:prstGeom prst="rect">
                      <a:avLst/>
                    </a:prstGeom>
                    <a:noFill/>
                  </pic:spPr>
                </pic:pic>
              </a:graphicData>
            </a:graphic>
          </wp:inline>
        </w:drawing>
      </w:r>
    </w:p>
    <w:p w14:paraId="6905F000" w14:textId="77777777" w:rsidR="00114376" w:rsidRPr="00114376" w:rsidRDefault="00114376" w:rsidP="00114376">
      <w:pPr>
        <w:spacing w:after="160" w:line="360" w:lineRule="auto"/>
        <w:jc w:val="both"/>
        <w:rPr>
          <w:rFonts w:ascii="Century Gothic" w:hAnsi="Century Gothic"/>
          <w:b/>
          <w:color w:val="025850"/>
          <w:sz w:val="22"/>
          <w:szCs w:val="22"/>
        </w:rPr>
      </w:pPr>
      <w:r w:rsidRPr="00114376">
        <w:rPr>
          <w:rFonts w:ascii="Century Gothic" w:hAnsi="Century Gothic"/>
          <w:b/>
          <w:color w:val="025850"/>
          <w:sz w:val="22"/>
          <w:szCs w:val="22"/>
        </w:rPr>
        <w:t>Atención a grupos vulnerables</w:t>
      </w:r>
    </w:p>
    <w:p w14:paraId="23D52DCF" w14:textId="77777777" w:rsidR="00114376" w:rsidRPr="00165269" w:rsidRDefault="00114376" w:rsidP="00114376">
      <w:pPr>
        <w:pStyle w:val="NormalWeb"/>
        <w:spacing w:line="360" w:lineRule="auto"/>
        <w:ind w:firstLine="708"/>
        <w:jc w:val="both"/>
        <w:rPr>
          <w:rFonts w:ascii="Century Gothic" w:hAnsi="Century Gothic"/>
          <w:bCs/>
          <w:sz w:val="22"/>
          <w:szCs w:val="22"/>
        </w:rPr>
      </w:pPr>
      <w:r w:rsidRPr="00165269">
        <w:rPr>
          <w:rFonts w:ascii="Century Gothic" w:hAnsi="Century Gothic"/>
          <w:bCs/>
          <w:sz w:val="22"/>
          <w:szCs w:val="22"/>
        </w:rPr>
        <w:t>El concepto de vulnerabilidad ha sido ampliamente explorado en diversas disciplinas como la antropología, sociología y geociencias. En este contexto, los grupos vulnerables son aquellos que, debido a sus condiciones sociales, económicas, culturales o psicológicas, pueden ser objeto de maltratos y violaciones de sus derechos humanos. Este concepto se aplica especialmente a sectores o grupos de la población, como niños, mujeres, personas de diferentes edades, etnias, y condiciones de salud, que enfrentan circunstancias que los colocan en situación de riesgo, limitando su capacidad para incorporarse al desarrollo y acceder a condiciones de bienestar más dignas.</w:t>
      </w:r>
    </w:p>
    <w:p w14:paraId="444B10B3" w14:textId="77777777" w:rsidR="00114376" w:rsidRPr="00165269" w:rsidRDefault="00114376" w:rsidP="00114376">
      <w:pPr>
        <w:pStyle w:val="NormalWeb"/>
        <w:spacing w:line="360" w:lineRule="auto"/>
        <w:jc w:val="both"/>
        <w:rPr>
          <w:rFonts w:ascii="Century Gothic" w:hAnsi="Century Gothic"/>
          <w:bCs/>
          <w:sz w:val="22"/>
          <w:szCs w:val="22"/>
        </w:rPr>
      </w:pPr>
      <w:r w:rsidRPr="00165269">
        <w:rPr>
          <w:rFonts w:ascii="Century Gothic" w:hAnsi="Century Gothic"/>
          <w:bCs/>
          <w:sz w:val="22"/>
          <w:szCs w:val="22"/>
        </w:rPr>
        <w:t>San Antonio la Isla, al igual que muchas otras comunidades, alberga a diversos grupos vulnerables que requieren atención y apoyo especializado. A continuación, se describen algunos de los principales grupos en situación de vulnerabilidad en el municipio:</w:t>
      </w:r>
    </w:p>
    <w:p w14:paraId="0ECC8D34" w14:textId="2401BEB0" w:rsidR="00114376" w:rsidRPr="00114376" w:rsidRDefault="00114376" w:rsidP="00114376">
      <w:pPr>
        <w:spacing w:line="360" w:lineRule="auto"/>
        <w:jc w:val="both"/>
        <w:rPr>
          <w:rFonts w:ascii="Century Gothic" w:hAnsi="Century Gothic"/>
          <w:bCs/>
          <w:color w:val="025850"/>
          <w:sz w:val="22"/>
          <w:szCs w:val="22"/>
        </w:rPr>
      </w:pPr>
      <w:r w:rsidRPr="00114376">
        <w:rPr>
          <w:rFonts w:ascii="Century Gothic" w:hAnsi="Century Gothic"/>
          <w:bCs/>
          <w:color w:val="025850"/>
          <w:sz w:val="22"/>
          <w:szCs w:val="22"/>
        </w:rPr>
        <w:t>Mujeres y niñas</w:t>
      </w:r>
    </w:p>
    <w:p w14:paraId="5851C620" w14:textId="77777777" w:rsidR="00114376" w:rsidRPr="00165269" w:rsidRDefault="00114376" w:rsidP="00114376">
      <w:pPr>
        <w:pStyle w:val="NormalWeb"/>
        <w:spacing w:line="360" w:lineRule="auto"/>
        <w:ind w:firstLine="708"/>
        <w:jc w:val="both"/>
        <w:rPr>
          <w:rFonts w:ascii="Century Gothic" w:hAnsi="Century Gothic"/>
          <w:bCs/>
          <w:sz w:val="22"/>
          <w:szCs w:val="22"/>
        </w:rPr>
      </w:pPr>
      <w:r w:rsidRPr="00165269">
        <w:rPr>
          <w:rFonts w:ascii="Century Gothic" w:hAnsi="Century Gothic"/>
          <w:bCs/>
          <w:sz w:val="22"/>
          <w:szCs w:val="22"/>
        </w:rPr>
        <w:t>En San Antonio la Isla, las mujeres y niñas enfrentan desafíos como la violencia de género, la discriminación y la falta de acceso a oportunidades educativas y laborales. La pobreza infantil es particularmente preocupante, ya que las probabilidades de que se perpetúe y las consecuencias asociadas son irreversibles. La pobreza compromete el desarrollo físico y cognitivo de la niñez, exponiéndolos al abandono escolar, mayores tasas de mortalidad por enfermedades prevenibles y malnutrición.</w:t>
      </w:r>
    </w:p>
    <w:p w14:paraId="542AA958" w14:textId="77777777" w:rsidR="00114376" w:rsidRPr="00165269" w:rsidRDefault="00114376" w:rsidP="00114376">
      <w:pPr>
        <w:pStyle w:val="NormalWeb"/>
        <w:spacing w:line="360" w:lineRule="auto"/>
        <w:ind w:firstLine="708"/>
        <w:jc w:val="both"/>
        <w:rPr>
          <w:rFonts w:ascii="Century Gothic" w:hAnsi="Century Gothic"/>
          <w:bCs/>
          <w:sz w:val="22"/>
          <w:szCs w:val="22"/>
        </w:rPr>
      </w:pPr>
      <w:r w:rsidRPr="00165269">
        <w:rPr>
          <w:rFonts w:ascii="Century Gothic" w:hAnsi="Century Gothic"/>
          <w:bCs/>
          <w:sz w:val="22"/>
          <w:szCs w:val="22"/>
        </w:rPr>
        <w:t xml:space="preserve">La atención en la primera infancia (0-5 años) es crucial para el desarrollo futuro, ya que durante esta etapa el cerebro se desarrolla rápidamente y se experimentan procesos de maduración física, emocional y cognitiva. Sin embargo, a nivel nacional, alrededor del </w:t>
      </w:r>
      <w:r w:rsidRPr="00165269">
        <w:rPr>
          <w:rFonts w:ascii="Century Gothic" w:hAnsi="Century Gothic"/>
          <w:bCs/>
          <w:sz w:val="22"/>
          <w:szCs w:val="22"/>
        </w:rPr>
        <w:lastRenderedPageBreak/>
        <w:t>12% de los niños y niñas menores de 5 años padecen desnutrición crónica. Además, solo el 30% reciben lactancia materna exclusiva durante los primeros 6 meses de vida, y el 65% no tiene acceso a libros infantiles, lo cual afecta su desarrollo en lectura y escritura.</w:t>
      </w:r>
    </w:p>
    <w:p w14:paraId="03AF6825" w14:textId="5C5D7AE4" w:rsidR="00114376" w:rsidRPr="00114376" w:rsidRDefault="00114376" w:rsidP="00114376">
      <w:pPr>
        <w:spacing w:line="360" w:lineRule="auto"/>
        <w:jc w:val="both"/>
        <w:rPr>
          <w:rFonts w:ascii="Century Gothic" w:hAnsi="Century Gothic"/>
          <w:b/>
          <w:color w:val="025850"/>
          <w:sz w:val="22"/>
          <w:szCs w:val="22"/>
        </w:rPr>
      </w:pPr>
      <w:r w:rsidRPr="00114376">
        <w:rPr>
          <w:rFonts w:ascii="Century Gothic" w:hAnsi="Century Gothic"/>
          <w:b/>
          <w:color w:val="025850"/>
          <w:sz w:val="22"/>
          <w:szCs w:val="22"/>
        </w:rPr>
        <w:t>Niños y adolescentes</w:t>
      </w:r>
    </w:p>
    <w:p w14:paraId="7B3AF861"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Los niños y adolescentes de San Antonio la Isla enfrentan diversos desafíos, como la pobreza, la falta de acceso a educación y servicios de salud, así como la exposición a la violencia y delincuencia. Estos problemas afectan su desarrollo y bienestar, limitando sus oportunidades de crecimiento y calidad de vida.</w:t>
      </w:r>
    </w:p>
    <w:p w14:paraId="20579022"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 xml:space="preserve">A nivel nacional, según UNICEF, de los 40 millones de niños, niñas y adolescentes en México, el 51.1% vive en pobreza, lo que equivale a más de 21 millones de jóvenes. Esta situación es aún más crítica entre los hablantes de lenguas indígenas, donde el 91% se encuentra en situación de pobreza. En San Antonio la Isla, una proporción significativa de la población infantil también enfrenta estas dificultades, lo que subraya la necesidad </w:t>
      </w:r>
      <w:r w:rsidRPr="00165269">
        <w:rPr>
          <w:rFonts w:ascii="Century Gothic" w:eastAsia="Times New Roman" w:hAnsi="Century Gothic" w:cs="Times New Roman"/>
          <w:bCs/>
          <w:sz w:val="22"/>
          <w:szCs w:val="22"/>
          <w:lang w:eastAsia="es-MX"/>
        </w:rPr>
        <w:t>urgente de políticas y programas enfocados en mejorar su acceso a educación, salud y seguridad.</w:t>
      </w:r>
    </w:p>
    <w:p w14:paraId="5A413B98"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Es fundamental promover un entorno más seguro y equitativo para los niños y adolescentes del municipio, ofreciendo soluciones para erradicar la pobreza infantil, garantizar el acceso a servicios esenciales y fomentar su desarrollo integral.</w:t>
      </w:r>
    </w:p>
    <w:p w14:paraId="13982EDB" w14:textId="6A71C1FF" w:rsidR="00114376" w:rsidRPr="00114376" w:rsidRDefault="00114376" w:rsidP="00114376">
      <w:pPr>
        <w:spacing w:line="360" w:lineRule="auto"/>
        <w:jc w:val="both"/>
        <w:rPr>
          <w:rFonts w:ascii="Century Gothic" w:hAnsi="Century Gothic"/>
          <w:b/>
          <w:color w:val="025850"/>
          <w:sz w:val="22"/>
          <w:szCs w:val="22"/>
        </w:rPr>
      </w:pPr>
      <w:r w:rsidRPr="00114376">
        <w:rPr>
          <w:rFonts w:ascii="Century Gothic" w:hAnsi="Century Gothic"/>
          <w:b/>
          <w:color w:val="025850"/>
          <w:sz w:val="22"/>
          <w:szCs w:val="22"/>
        </w:rPr>
        <w:t>Personas adultas mayores</w:t>
      </w:r>
    </w:p>
    <w:p w14:paraId="504A4BF8"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Las personas adultas mayores en San Antonio la Isla enfrentan varios retos, como la soledad, la pobreza, la falta de acceso a servicios de salud y el abandono familiar. Este grupo representa el 67.1% de la población del municipio y, en muchos casos, carecen de sustento o apoyo, siendo percibidos erróneamente como una "carga" social.</w:t>
      </w:r>
    </w:p>
    <w:p w14:paraId="4D513CB7"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 xml:space="preserve">Es esencial desarrollar programas y espacios que mejoren su calidad de vida. Los espacios de recreación y socialización, como las dos casas de día en el municipio, son fundamentales para combatir la soledad y promover su bienestar físico y emocional. Además, deben </w:t>
      </w:r>
      <w:r w:rsidRPr="00165269">
        <w:rPr>
          <w:rFonts w:ascii="Century Gothic" w:eastAsia="Times New Roman" w:hAnsi="Century Gothic" w:cs="Times New Roman"/>
          <w:bCs/>
          <w:sz w:val="22"/>
          <w:szCs w:val="22"/>
          <w:lang w:eastAsia="es-MX"/>
        </w:rPr>
        <w:lastRenderedPageBreak/>
        <w:t>implementarse más programas de apoyo económico, atención médica accesible y proyectos de autoempleo.</w:t>
      </w:r>
    </w:p>
    <w:p w14:paraId="4093073B"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Para garantizar una vida plena y digna a las personas adultas mayores, es necesario mejorar su acceso a servicios médicos, fortalecer los programas de pensiones y fomentar el respeto y la integración social de este sector tan importante para la comunidad.</w:t>
      </w:r>
    </w:p>
    <w:p w14:paraId="63893899" w14:textId="6522C7ED" w:rsidR="00114376" w:rsidRPr="00114376" w:rsidRDefault="00114376" w:rsidP="00114376">
      <w:pPr>
        <w:spacing w:line="360" w:lineRule="auto"/>
        <w:jc w:val="both"/>
        <w:rPr>
          <w:rFonts w:ascii="Century Gothic" w:hAnsi="Century Gothic"/>
          <w:b/>
          <w:color w:val="025850"/>
          <w:sz w:val="22"/>
          <w:szCs w:val="22"/>
        </w:rPr>
      </w:pPr>
      <w:r w:rsidRPr="00114376">
        <w:rPr>
          <w:rFonts w:ascii="Century Gothic" w:hAnsi="Century Gothic"/>
          <w:b/>
          <w:color w:val="025850"/>
          <w:sz w:val="22"/>
          <w:szCs w:val="22"/>
        </w:rPr>
        <w:t>Personas con discapacidad</w:t>
      </w:r>
    </w:p>
    <w:p w14:paraId="224D4171" w14:textId="77777777" w:rsidR="00114376" w:rsidRPr="00165269" w:rsidRDefault="00114376" w:rsidP="00114376">
      <w:pPr>
        <w:spacing w:before="100" w:beforeAutospacing="1" w:after="100" w:afterAutospacing="1" w:line="360" w:lineRule="auto"/>
        <w:ind w:firstLine="708"/>
        <w:jc w:val="both"/>
        <w:rPr>
          <w:rFonts w:ascii="Century Gothic" w:eastAsia="Times New Roman" w:hAnsi="Century Gothic" w:cs="Times New Roman"/>
          <w:bCs/>
          <w:sz w:val="22"/>
          <w:szCs w:val="22"/>
          <w:lang w:eastAsia="es-MX"/>
        </w:rPr>
      </w:pPr>
      <w:r w:rsidRPr="00165269">
        <w:rPr>
          <w:rFonts w:ascii="Century Gothic" w:eastAsia="Times New Roman" w:hAnsi="Century Gothic" w:cs="Times New Roman"/>
          <w:bCs/>
          <w:sz w:val="22"/>
          <w:szCs w:val="22"/>
          <w:lang w:eastAsia="es-MX"/>
        </w:rPr>
        <w:t>Las personas con discapacidad en San Antonio la Isla enfrentan desafíos importantes, como la falta de acceso a servicios, la discriminación y la escasez de oportunidades laborales. La discapacidad no solo involucra deficiencias físicas o sensoriales, sino también las barreras sociales y ambientales que limitan la participación plena de las personas en la sociedad. Es fundamental entender que la discapacidad surge de la interacción entre la condición de salud y los factores contextuales que impiden la inclusión activa.</w:t>
      </w:r>
    </w:p>
    <w:p w14:paraId="08D44932"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165269">
        <w:rPr>
          <w:rFonts w:ascii="Century Gothic" w:eastAsia="Times New Roman" w:hAnsi="Century Gothic" w:cs="Times New Roman"/>
          <w:bCs/>
          <w:sz w:val="22"/>
          <w:szCs w:val="22"/>
          <w:lang w:eastAsia="es-MX"/>
        </w:rPr>
        <w:t xml:space="preserve">De acuerdo con datos de 2020, las principales discapacidades en el municipio fueron visual (607 </w:t>
      </w:r>
      <w:r w:rsidRPr="00165269">
        <w:rPr>
          <w:rFonts w:ascii="Century Gothic" w:eastAsia="Times New Roman" w:hAnsi="Century Gothic" w:cs="Times New Roman"/>
          <w:bCs/>
          <w:sz w:val="22"/>
          <w:szCs w:val="22"/>
          <w:lang w:eastAsia="es-MX"/>
        </w:rPr>
        <w:t>personas), física (416 personas) y auditiva (229 personas). En el caso de la discapacidad visual, el 53.2% de las personas afectadas eran mujeres y el 46.8% hombres. Las mujeres de 50 a 54 años representaron el 5.44% de la población con discapacidad visual,</w:t>
      </w:r>
      <w:r w:rsidRPr="00023A4E">
        <w:rPr>
          <w:rFonts w:ascii="Century Gothic" w:eastAsia="Times New Roman" w:hAnsi="Century Gothic" w:cs="Times New Roman"/>
          <w:sz w:val="22"/>
          <w:szCs w:val="22"/>
          <w:lang w:eastAsia="es-MX"/>
        </w:rPr>
        <w:t xml:space="preserve"> mientras que los hombres en el mismo rango de edad representaron el 4.94%.</w:t>
      </w:r>
    </w:p>
    <w:p w14:paraId="5308BF08"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El municipio cuenta con la Unidad de Rehabilitación e Integración Social (URIS) en San Lucas Tepemajalco, que ofrece atención integral a personas con discapacidad, así como con un Centro de Atención Múltiple (CAM) que brinda servicios educativos a niños y adolescentes en situación de discapacidad. Sin embargo, aún persisten retos significativos en términos de accesibilidad y equidad para este grupo, lo que requiere esfuerzos continuos para garantizar su plena inclusión y participación en todos los aspectos de la vida comunitaria.</w:t>
      </w:r>
    </w:p>
    <w:p w14:paraId="119574C5" w14:textId="6F5C3187" w:rsidR="00114376" w:rsidRPr="00114376" w:rsidRDefault="00114376" w:rsidP="00114376">
      <w:pPr>
        <w:spacing w:line="360" w:lineRule="auto"/>
        <w:jc w:val="both"/>
        <w:rPr>
          <w:rFonts w:ascii="Century Gothic" w:hAnsi="Century Gothic"/>
          <w:b/>
          <w:bCs/>
          <w:color w:val="025850"/>
          <w:sz w:val="22"/>
          <w:szCs w:val="22"/>
        </w:rPr>
      </w:pPr>
      <w:r w:rsidRPr="00114376">
        <w:rPr>
          <w:rFonts w:ascii="Century Gothic" w:hAnsi="Century Gothic"/>
          <w:b/>
          <w:bCs/>
          <w:color w:val="025850"/>
          <w:sz w:val="22"/>
          <w:szCs w:val="22"/>
        </w:rPr>
        <w:t>Población indígena</w:t>
      </w:r>
    </w:p>
    <w:p w14:paraId="2DAD5B65" w14:textId="77777777" w:rsidR="00114376" w:rsidRPr="00023A4E" w:rsidRDefault="00114376" w:rsidP="00114376">
      <w:pPr>
        <w:pStyle w:val="NormalWeb"/>
        <w:spacing w:line="360" w:lineRule="auto"/>
        <w:ind w:firstLine="708"/>
        <w:jc w:val="both"/>
        <w:rPr>
          <w:rFonts w:ascii="Century Gothic" w:hAnsi="Century Gothic"/>
          <w:sz w:val="22"/>
          <w:szCs w:val="22"/>
        </w:rPr>
      </w:pPr>
      <w:r w:rsidRPr="00023A4E">
        <w:rPr>
          <w:rFonts w:ascii="Century Gothic" w:hAnsi="Century Gothic"/>
          <w:sz w:val="22"/>
          <w:szCs w:val="22"/>
        </w:rPr>
        <w:t xml:space="preserve">La población indígena de San Antonio la Isla, como en muchas otras partes de México, enfrenta desventajas </w:t>
      </w:r>
      <w:r w:rsidRPr="00023A4E">
        <w:rPr>
          <w:rFonts w:ascii="Century Gothic" w:hAnsi="Century Gothic"/>
          <w:sz w:val="22"/>
          <w:szCs w:val="22"/>
        </w:rPr>
        <w:lastRenderedPageBreak/>
        <w:t>socioeconómicas producto de la histórica desigualdad y discriminación. Esta población ha sido históricamente marginada por sus rasgos físicos, lengua, costumbres y tradiciones. Sin embargo, estas características deben ser reconocidas y valoradas, ya que constituyen una parte importante de la riqueza cultural del municipio.</w:t>
      </w:r>
    </w:p>
    <w:p w14:paraId="6E980383" w14:textId="77777777" w:rsidR="00114376" w:rsidRPr="00023A4E" w:rsidRDefault="00114376" w:rsidP="00114376">
      <w:pPr>
        <w:pStyle w:val="NormalWeb"/>
        <w:spacing w:line="360" w:lineRule="auto"/>
        <w:ind w:firstLine="708"/>
        <w:jc w:val="both"/>
        <w:rPr>
          <w:rFonts w:ascii="Century Gothic" w:hAnsi="Century Gothic"/>
          <w:sz w:val="22"/>
          <w:szCs w:val="22"/>
        </w:rPr>
      </w:pPr>
      <w:r w:rsidRPr="00023A4E">
        <w:rPr>
          <w:rFonts w:ascii="Century Gothic" w:hAnsi="Century Gothic"/>
          <w:sz w:val="22"/>
          <w:szCs w:val="22"/>
        </w:rPr>
        <w:t>Los Objetivos de Desarrollo Sostenible (ODS) no pueden alcanzarse sin reconocer que las sociedades son multiculturales. En este contexto, el cumplimiento de los derechos de los pueblos indígenas es fundamental. La Agenda 2030 de la ONU establece metas claras para la protección y promoción de los derechos de la población indígena, en línea con el lema "no dejar a nadie atrás", que aboga por la igualdad y la no discriminación.</w:t>
      </w:r>
    </w:p>
    <w:p w14:paraId="58CB9FEA" w14:textId="77777777" w:rsidR="00114376" w:rsidRPr="00114376" w:rsidRDefault="00114376" w:rsidP="00114376">
      <w:pPr>
        <w:spacing w:line="360" w:lineRule="auto"/>
        <w:jc w:val="both"/>
        <w:rPr>
          <w:rFonts w:ascii="Century Gothic" w:hAnsi="Century Gothic"/>
          <w:b/>
          <w:bCs/>
          <w:color w:val="025850"/>
          <w:sz w:val="22"/>
          <w:szCs w:val="22"/>
        </w:rPr>
      </w:pPr>
      <w:r w:rsidRPr="00114376">
        <w:rPr>
          <w:rFonts w:ascii="Century Gothic" w:hAnsi="Century Gothic"/>
          <w:b/>
          <w:bCs/>
          <w:color w:val="025850"/>
          <w:sz w:val="22"/>
          <w:szCs w:val="22"/>
        </w:rPr>
        <w:t>Factores que aumentan la vulnerabilidad</w:t>
      </w:r>
    </w:p>
    <w:p w14:paraId="16C2C06F" w14:textId="77777777" w:rsidR="00114376" w:rsidRPr="00023A4E" w:rsidRDefault="00114376" w:rsidP="00114376">
      <w:pPr>
        <w:pStyle w:val="NormalWeb"/>
        <w:spacing w:line="360" w:lineRule="auto"/>
        <w:ind w:firstLine="360"/>
        <w:jc w:val="both"/>
        <w:rPr>
          <w:rFonts w:ascii="Century Gothic" w:hAnsi="Century Gothic"/>
          <w:sz w:val="22"/>
          <w:szCs w:val="22"/>
        </w:rPr>
      </w:pPr>
      <w:r w:rsidRPr="00023A4E">
        <w:rPr>
          <w:rFonts w:ascii="Century Gothic" w:hAnsi="Century Gothic"/>
          <w:sz w:val="22"/>
          <w:szCs w:val="22"/>
        </w:rPr>
        <w:t>La vulnerabilidad en cualquier grupo puede verse incrementada por una variedad de factores estructurales, individuales y sociales, como los siguientes:</w:t>
      </w:r>
    </w:p>
    <w:p w14:paraId="485D0F6E"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Fonts w:ascii="Century Gothic" w:hAnsi="Century Gothic"/>
          <w:sz w:val="22"/>
          <w:szCs w:val="22"/>
        </w:rPr>
        <w:t xml:space="preserve">La </w:t>
      </w:r>
      <w:r w:rsidRPr="00023A4E">
        <w:rPr>
          <w:rStyle w:val="Textoennegrita"/>
          <w:rFonts w:ascii="Century Gothic" w:hAnsi="Century Gothic"/>
          <w:sz w:val="22"/>
          <w:szCs w:val="22"/>
        </w:rPr>
        <w:t>falta de recursos económicos</w:t>
      </w:r>
      <w:r w:rsidRPr="00023A4E">
        <w:rPr>
          <w:rFonts w:ascii="Century Gothic" w:hAnsi="Century Gothic"/>
          <w:sz w:val="22"/>
          <w:szCs w:val="22"/>
        </w:rPr>
        <w:t xml:space="preserve"> y la desigualdad en la distribución de la riqueza limitan el acceso a servicios básicos, como la educación y la salud.</w:t>
      </w:r>
    </w:p>
    <w:p w14:paraId="3525D623"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Fonts w:ascii="Century Gothic" w:hAnsi="Century Gothic"/>
          <w:sz w:val="22"/>
          <w:szCs w:val="22"/>
        </w:rPr>
        <w:t xml:space="preserve">La </w:t>
      </w:r>
      <w:r w:rsidRPr="00023A4E">
        <w:rPr>
          <w:rStyle w:val="Textoennegrita"/>
          <w:rFonts w:ascii="Century Gothic" w:hAnsi="Century Gothic"/>
          <w:sz w:val="22"/>
          <w:szCs w:val="22"/>
        </w:rPr>
        <w:t>discriminación y la exclusión social</w:t>
      </w:r>
      <w:r w:rsidRPr="00023A4E">
        <w:rPr>
          <w:rFonts w:ascii="Century Gothic" w:hAnsi="Century Gothic"/>
          <w:sz w:val="22"/>
          <w:szCs w:val="22"/>
        </w:rPr>
        <w:t xml:space="preserve"> conducen a la marginación y la falta de acceso a oportunidades.</w:t>
      </w:r>
    </w:p>
    <w:p w14:paraId="0794DB21"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Style w:val="Textoennegrita"/>
          <w:rFonts w:ascii="Century Gothic" w:hAnsi="Century Gothic"/>
          <w:sz w:val="22"/>
          <w:szCs w:val="22"/>
        </w:rPr>
        <w:t>La falta de acceso a educación y salud</w:t>
      </w:r>
      <w:r w:rsidRPr="00023A4E">
        <w:rPr>
          <w:rFonts w:ascii="Century Gothic" w:hAnsi="Century Gothic"/>
          <w:sz w:val="22"/>
          <w:szCs w:val="22"/>
        </w:rPr>
        <w:t xml:space="preserve"> limita las oportunidades y aumenta la vulnerabilidad.</w:t>
      </w:r>
    </w:p>
    <w:p w14:paraId="74A72F5E"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Fonts w:ascii="Century Gothic" w:hAnsi="Century Gothic"/>
          <w:sz w:val="22"/>
          <w:szCs w:val="22"/>
        </w:rPr>
        <w:t xml:space="preserve">Las </w:t>
      </w:r>
      <w:r w:rsidRPr="00023A4E">
        <w:rPr>
          <w:rStyle w:val="Textoennegrita"/>
          <w:rFonts w:ascii="Century Gothic" w:hAnsi="Century Gothic"/>
          <w:sz w:val="22"/>
          <w:szCs w:val="22"/>
        </w:rPr>
        <w:t>personas mayores o con discapacidades</w:t>
      </w:r>
      <w:r w:rsidRPr="00023A4E">
        <w:rPr>
          <w:rFonts w:ascii="Century Gothic" w:hAnsi="Century Gothic"/>
          <w:sz w:val="22"/>
          <w:szCs w:val="22"/>
        </w:rPr>
        <w:t xml:space="preserve"> son más vulnerables debido a su condición física.</w:t>
      </w:r>
    </w:p>
    <w:p w14:paraId="4CD113B2"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Fonts w:ascii="Century Gothic" w:hAnsi="Century Gothic"/>
          <w:sz w:val="22"/>
          <w:szCs w:val="22"/>
        </w:rPr>
        <w:t xml:space="preserve">Las </w:t>
      </w:r>
      <w:r w:rsidRPr="00023A4E">
        <w:rPr>
          <w:rStyle w:val="Textoennegrita"/>
          <w:rFonts w:ascii="Century Gothic" w:hAnsi="Century Gothic"/>
          <w:sz w:val="22"/>
          <w:szCs w:val="22"/>
        </w:rPr>
        <w:t>mujeres y personas LGBTIQ+</w:t>
      </w:r>
      <w:r w:rsidRPr="00023A4E">
        <w:rPr>
          <w:rFonts w:ascii="Century Gothic" w:hAnsi="Century Gothic"/>
          <w:sz w:val="22"/>
          <w:szCs w:val="22"/>
        </w:rPr>
        <w:t xml:space="preserve"> son más vulnerables debido a la discriminación y violencia estructural.</w:t>
      </w:r>
    </w:p>
    <w:p w14:paraId="0BED78E5"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Fonts w:ascii="Century Gothic" w:hAnsi="Century Gothic"/>
          <w:sz w:val="22"/>
          <w:szCs w:val="22"/>
        </w:rPr>
        <w:t xml:space="preserve">Las </w:t>
      </w:r>
      <w:r w:rsidRPr="00023A4E">
        <w:rPr>
          <w:rStyle w:val="Textoennegrita"/>
          <w:rFonts w:ascii="Century Gothic" w:hAnsi="Century Gothic"/>
          <w:sz w:val="22"/>
          <w:szCs w:val="22"/>
        </w:rPr>
        <w:t>personas que han experimentado trauma o abuso</w:t>
      </w:r>
      <w:r w:rsidRPr="00023A4E">
        <w:rPr>
          <w:rFonts w:ascii="Century Gothic" w:hAnsi="Century Gothic"/>
          <w:sz w:val="22"/>
          <w:szCs w:val="22"/>
        </w:rPr>
        <w:t xml:space="preserve"> pueden ser más vulnerables debido a sus afectaciones emocionales y psicológicas.</w:t>
      </w:r>
    </w:p>
    <w:p w14:paraId="3043ABE1" w14:textId="77777777" w:rsidR="00114376" w:rsidRPr="00023A4E"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Style w:val="Textoennegrita"/>
          <w:rFonts w:ascii="Century Gothic" w:hAnsi="Century Gothic"/>
          <w:sz w:val="22"/>
          <w:szCs w:val="22"/>
        </w:rPr>
        <w:t>La falta de apoyo social y comunitario</w:t>
      </w:r>
      <w:r w:rsidRPr="00023A4E">
        <w:rPr>
          <w:rFonts w:ascii="Century Gothic" w:hAnsi="Century Gothic"/>
          <w:sz w:val="22"/>
          <w:szCs w:val="22"/>
        </w:rPr>
        <w:t xml:space="preserve"> aumenta la vulnerabilidad de los individuos.</w:t>
      </w:r>
    </w:p>
    <w:p w14:paraId="2F25A38B" w14:textId="3EE4EDF2" w:rsidR="00114376" w:rsidRDefault="00114376" w:rsidP="00E50CE9">
      <w:pPr>
        <w:numPr>
          <w:ilvl w:val="0"/>
          <w:numId w:val="44"/>
        </w:numPr>
        <w:spacing w:before="100" w:beforeAutospacing="1" w:after="100" w:afterAutospacing="1" w:line="360" w:lineRule="auto"/>
        <w:jc w:val="both"/>
        <w:rPr>
          <w:rFonts w:ascii="Century Gothic" w:hAnsi="Century Gothic"/>
          <w:sz w:val="22"/>
          <w:szCs w:val="22"/>
        </w:rPr>
      </w:pPr>
      <w:r w:rsidRPr="00023A4E">
        <w:rPr>
          <w:rFonts w:ascii="Century Gothic" w:hAnsi="Century Gothic"/>
          <w:sz w:val="22"/>
          <w:szCs w:val="22"/>
        </w:rPr>
        <w:t xml:space="preserve">La </w:t>
      </w:r>
      <w:r w:rsidRPr="00023A4E">
        <w:rPr>
          <w:rStyle w:val="Textoennegrita"/>
          <w:rFonts w:ascii="Century Gothic" w:hAnsi="Century Gothic"/>
          <w:sz w:val="22"/>
          <w:szCs w:val="22"/>
        </w:rPr>
        <w:t>falta de acceso a servicios sociales</w:t>
      </w:r>
      <w:r w:rsidRPr="00023A4E">
        <w:rPr>
          <w:rFonts w:ascii="Century Gothic" w:hAnsi="Century Gothic"/>
          <w:sz w:val="22"/>
          <w:szCs w:val="22"/>
        </w:rPr>
        <w:t xml:space="preserve"> como asistencia médica y protección social intensifica la situación de vulnerabilidad.</w:t>
      </w:r>
    </w:p>
    <w:p w14:paraId="6F8937F3" w14:textId="7E3459B6" w:rsidR="00114376" w:rsidRDefault="00114376" w:rsidP="00114376">
      <w:pPr>
        <w:spacing w:before="100" w:beforeAutospacing="1" w:after="100" w:afterAutospacing="1" w:line="360" w:lineRule="auto"/>
        <w:jc w:val="both"/>
        <w:rPr>
          <w:rFonts w:ascii="Century Gothic" w:hAnsi="Century Gothic"/>
          <w:sz w:val="22"/>
          <w:szCs w:val="22"/>
        </w:rPr>
      </w:pPr>
    </w:p>
    <w:p w14:paraId="52E8DAB9" w14:textId="77777777" w:rsidR="00114376" w:rsidRPr="00114376" w:rsidRDefault="00114376" w:rsidP="00114376">
      <w:pPr>
        <w:spacing w:after="160" w:line="360" w:lineRule="auto"/>
        <w:jc w:val="both"/>
        <w:rPr>
          <w:rFonts w:ascii="Century Gothic" w:hAnsi="Century Gothic"/>
          <w:b/>
          <w:color w:val="025850"/>
          <w:sz w:val="22"/>
          <w:szCs w:val="22"/>
        </w:rPr>
      </w:pPr>
      <w:r w:rsidRPr="00114376">
        <w:rPr>
          <w:rFonts w:ascii="Century Gothic" w:hAnsi="Century Gothic"/>
          <w:b/>
          <w:color w:val="025850"/>
          <w:sz w:val="22"/>
          <w:szCs w:val="22"/>
        </w:rPr>
        <w:lastRenderedPageBreak/>
        <w:t>Educación de excelencia y humanista para el bienestar de las niñas, niños, adolescentes, jóvenes y adultos</w:t>
      </w:r>
    </w:p>
    <w:p w14:paraId="4A1BD322"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La accesibilidad económica a la educación es un derecho fundamental que debe ser garantizado para todas las personas, sin que factores económicos sean una barrera para su acceso. En este sentido, uno de nuestros principales retos y objetivos es garantizar que las comunidades, especialmente aquellas con altos índices de marginación, tengan acceso a espacios educativos adecuados.</w:t>
      </w:r>
    </w:p>
    <w:p w14:paraId="287F96B8" w14:textId="77777777" w:rsidR="00114376" w:rsidRPr="00023A4E" w:rsidRDefault="00114376" w:rsidP="00114376">
      <w:pPr>
        <w:spacing w:before="100" w:beforeAutospacing="1" w:after="100" w:afterAutospacing="1" w:line="360" w:lineRule="auto"/>
        <w:ind w:firstLine="708"/>
        <w:jc w:val="both"/>
        <w:rPr>
          <w:rFonts w:ascii="Century Gothic" w:hAnsi="Century Gothic"/>
          <w:sz w:val="22"/>
          <w:szCs w:val="22"/>
        </w:rPr>
      </w:pPr>
      <w:r w:rsidRPr="00023A4E">
        <w:rPr>
          <w:rFonts w:ascii="Century Gothic" w:hAnsi="Century Gothic"/>
          <w:sz w:val="22"/>
          <w:szCs w:val="22"/>
        </w:rPr>
        <w:t xml:space="preserve">En San Antonio la Isla, los datos de rezago educativo muestran avances significativos. Según el Censo de Población y Vivienda 2020 del INEGI, el porcentaje de analfabetismo en el municipio es del 1.7%, lo que está por debajo del promedio estatal del 3% en el Estado de México. Esta cifra refleja que el municipio ha logrado avances positivos en la reducción de este rezago educativo. A nivel nacional, la tasa de analfabetismo se ha reducido al 4.7% en 2020, mejorando respecto al 6.9% en 2010 y al 9.5% en 2000. Estos datos destacan que, aunque aún hay retos por enfrentar, San Antonio la Isla </w:t>
      </w:r>
      <w:r w:rsidRPr="00023A4E">
        <w:rPr>
          <w:rFonts w:ascii="Century Gothic" w:hAnsi="Century Gothic"/>
          <w:sz w:val="22"/>
          <w:szCs w:val="22"/>
        </w:rPr>
        <w:t>está avanzando en el camino hacia una mayor inclusión educativa y reducción de la desigualdad.</w:t>
      </w:r>
    </w:p>
    <w:p w14:paraId="41C5E2BE"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Es crucial dotar a los estudiantes de un entorno seguro, funcional y confortable que cubra las necesidades de la comunidad educativa. Para ello, es fundamental atender los problemas relacionados con la construcción, rehabilitación, adaptación y mantenimiento de las infraestructuras escolares. Esto incluye la mejora de aulas, pasillos, escaleras, patios de recreo, canchas deportivas, sanitarios, bibliotecas y bardas perimetrales. Las acciones de remodelación y mantenimiento preventivo y correctivo son esenciales para asegurar que los espacios educativos estén en condiciones óptimas.</w:t>
      </w:r>
    </w:p>
    <w:p w14:paraId="5F985AF4" w14:textId="77777777" w:rsidR="00114376" w:rsidRPr="00023A4E"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Contar con instalaciones adecuadas y suficientes para el desarrollo de actividades formativas no solo garantiza la calidad de los servicios educativos, sino que también respalda la igualdad de oportunidades de acceso para todos los estudiantes. Aunque San Antonio la Isla cuenta con la infraestructura básica para atender a la población estudiantil, aún existen necesidades que </w:t>
      </w:r>
      <w:r w:rsidRPr="00023A4E">
        <w:rPr>
          <w:rFonts w:ascii="Century Gothic" w:eastAsia="Times New Roman" w:hAnsi="Century Gothic" w:cs="Times New Roman"/>
          <w:sz w:val="22"/>
          <w:szCs w:val="22"/>
          <w:lang w:eastAsia="es-MX"/>
        </w:rPr>
        <w:lastRenderedPageBreak/>
        <w:t>deben ser abordadas para asegurar una operación eficiente y un desarrollo adecuado de capacidades.</w:t>
      </w:r>
    </w:p>
    <w:p w14:paraId="72E62ADD" w14:textId="2355EC52" w:rsidR="00114376"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Este esfuerzo es parte de nuestro compromiso con la prestación de servicios educativos de calidad y equidad, en alineación con los objetivos de desarrollo establecidos en la Agenda 2030, especialmente la meta 9.1, que busca garantizar el acceso universal a una educación inclusiva, equitativa y de calidad.</w:t>
      </w:r>
    </w:p>
    <w:p w14:paraId="3257CED8" w14:textId="77777777" w:rsidR="00114376" w:rsidRDefault="00114376">
      <w:pPr>
        <w:rPr>
          <w:rFonts w:ascii="Century Gothic" w:eastAsia="Times New Roman" w:hAnsi="Century Gothic" w:cs="Times New Roman"/>
          <w:sz w:val="22"/>
          <w:szCs w:val="22"/>
          <w:lang w:eastAsia="es-MX"/>
        </w:rPr>
      </w:pPr>
      <w:r>
        <w:rPr>
          <w:rFonts w:ascii="Century Gothic" w:eastAsia="Times New Roman" w:hAnsi="Century Gothic" w:cs="Times New Roman"/>
          <w:sz w:val="22"/>
          <w:szCs w:val="22"/>
          <w:lang w:eastAsia="es-MX"/>
        </w:rPr>
        <w:br w:type="page"/>
      </w:r>
    </w:p>
    <w:p w14:paraId="73873466" w14:textId="77777777" w:rsidR="00114376" w:rsidRDefault="00114376" w:rsidP="00114376">
      <w:pPr>
        <w:spacing w:before="100" w:beforeAutospacing="1" w:after="100" w:afterAutospacing="1" w:line="360" w:lineRule="auto"/>
        <w:ind w:firstLine="708"/>
        <w:jc w:val="both"/>
        <w:rPr>
          <w:rFonts w:ascii="Century Gothic" w:eastAsia="Times New Roman" w:hAnsi="Century Gothic" w:cs="Times New Roman"/>
          <w:sz w:val="22"/>
          <w:szCs w:val="22"/>
          <w:lang w:eastAsia="es-MX"/>
        </w:rPr>
        <w:sectPr w:rsidR="00114376" w:rsidSect="00CE2E14">
          <w:pgSz w:w="15840" w:h="12240" w:orient="landscape"/>
          <w:pgMar w:top="1440" w:right="1440" w:bottom="1440" w:left="1440" w:header="709" w:footer="709" w:gutter="0"/>
          <w:cols w:num="2" w:space="708"/>
          <w:docGrid w:linePitch="360"/>
        </w:sectPr>
      </w:pPr>
    </w:p>
    <w:p w14:paraId="21346657" w14:textId="34F73410" w:rsidR="00E30B91" w:rsidRPr="00023A4E" w:rsidRDefault="00E30B91" w:rsidP="00E30B91">
      <w:pPr>
        <w:spacing w:line="360" w:lineRule="auto"/>
        <w:jc w:val="center"/>
        <w:rPr>
          <w:rFonts w:ascii="Century Gothic" w:hAnsi="Century Gothic"/>
          <w:b/>
          <w:bCs/>
          <w:sz w:val="22"/>
          <w:szCs w:val="22"/>
        </w:rPr>
      </w:pPr>
      <w:bookmarkStart w:id="9" w:name="_Hlk192853053"/>
      <w:r>
        <w:rPr>
          <w:rFonts w:ascii="Century Gothic" w:hAnsi="Century Gothic"/>
          <w:b/>
          <w:bCs/>
          <w:sz w:val="22"/>
          <w:szCs w:val="22"/>
        </w:rPr>
        <w:lastRenderedPageBreak/>
        <w:t>I</w:t>
      </w:r>
      <w:r w:rsidRPr="00023A4E">
        <w:rPr>
          <w:rFonts w:ascii="Century Gothic" w:hAnsi="Century Gothic"/>
          <w:b/>
          <w:bCs/>
          <w:sz w:val="22"/>
          <w:szCs w:val="22"/>
        </w:rPr>
        <w:t>nfraestructura de Educación</w:t>
      </w:r>
    </w:p>
    <w:tbl>
      <w:tblPr>
        <w:tblStyle w:val="Tablaconcuadrcula4-nfasis2"/>
        <w:tblpPr w:leftFromText="141" w:rightFromText="141" w:vertAnchor="text" w:horzAnchor="margin" w:tblpXSpec="center" w:tblpY="482"/>
        <w:tblW w:w="13185" w:type="dxa"/>
        <w:tblLook w:val="04A0" w:firstRow="1" w:lastRow="0" w:firstColumn="1" w:lastColumn="0" w:noHBand="0" w:noVBand="1"/>
      </w:tblPr>
      <w:tblGrid>
        <w:gridCol w:w="2560"/>
        <w:gridCol w:w="1189"/>
        <w:gridCol w:w="920"/>
        <w:gridCol w:w="1528"/>
        <w:gridCol w:w="2234"/>
        <w:gridCol w:w="2234"/>
        <w:gridCol w:w="1055"/>
        <w:gridCol w:w="1465"/>
      </w:tblGrid>
      <w:tr w:rsidR="00E30B91" w:rsidRPr="00023A4E" w14:paraId="7A9680B1" w14:textId="77777777" w:rsidTr="00E30B91">
        <w:trPr>
          <w:cnfStyle w:val="100000000000" w:firstRow="1" w:lastRow="0" w:firstColumn="0" w:lastColumn="0" w:oddVBand="0" w:evenVBand="0" w:oddHBand="0" w:evenHBand="0" w:firstRowFirstColumn="0" w:firstRowLastColumn="0" w:lastRowFirstColumn="0" w:lastRowLastColumn="0"/>
          <w:trHeight w:val="663"/>
        </w:trPr>
        <w:tc>
          <w:tcPr>
            <w:cnfStyle w:val="001000000000" w:firstRow="0" w:lastRow="0" w:firstColumn="1" w:lastColumn="0" w:oddVBand="0" w:evenVBand="0" w:oddHBand="0" w:evenHBand="0" w:firstRowFirstColumn="0" w:firstRowLastColumn="0" w:lastRowFirstColumn="0" w:lastRowLastColumn="0"/>
            <w:tcW w:w="2830" w:type="dxa"/>
          </w:tcPr>
          <w:p w14:paraId="760B6A35" w14:textId="77777777" w:rsidR="00E30B91" w:rsidRPr="00023A4E" w:rsidRDefault="00E30B91" w:rsidP="00E6209B">
            <w:pPr>
              <w:spacing w:line="360" w:lineRule="auto"/>
              <w:rPr>
                <w:rFonts w:ascii="Century Gothic" w:hAnsi="Century Gothic"/>
                <w:sz w:val="22"/>
                <w:szCs w:val="22"/>
              </w:rPr>
            </w:pPr>
            <w:bookmarkStart w:id="10" w:name="_Hlk192853093"/>
            <w:bookmarkEnd w:id="9"/>
            <w:r w:rsidRPr="00023A4E">
              <w:rPr>
                <w:rFonts w:ascii="Century Gothic" w:hAnsi="Century Gothic"/>
                <w:sz w:val="22"/>
                <w:szCs w:val="22"/>
              </w:rPr>
              <w:t>Tipología</w:t>
            </w:r>
          </w:p>
        </w:tc>
        <w:tc>
          <w:tcPr>
            <w:tcW w:w="513" w:type="dxa"/>
          </w:tcPr>
          <w:p w14:paraId="2EF66765"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 de planteles</w:t>
            </w:r>
          </w:p>
        </w:tc>
        <w:tc>
          <w:tcPr>
            <w:tcW w:w="955" w:type="dxa"/>
          </w:tcPr>
          <w:p w14:paraId="3DE95626"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 de aulas</w:t>
            </w:r>
          </w:p>
        </w:tc>
        <w:tc>
          <w:tcPr>
            <w:tcW w:w="1589" w:type="dxa"/>
          </w:tcPr>
          <w:p w14:paraId="3B9ABC15"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Cobertura de atención (a)</w:t>
            </w:r>
          </w:p>
        </w:tc>
        <w:tc>
          <w:tcPr>
            <w:tcW w:w="2332" w:type="dxa"/>
          </w:tcPr>
          <w:p w14:paraId="3A2E4806"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Requerimientos Planteles</w:t>
            </w:r>
          </w:p>
        </w:tc>
        <w:tc>
          <w:tcPr>
            <w:tcW w:w="2332" w:type="dxa"/>
          </w:tcPr>
          <w:p w14:paraId="1C8DD238"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Requerimientos Aulas</w:t>
            </w:r>
          </w:p>
        </w:tc>
        <w:tc>
          <w:tcPr>
            <w:tcW w:w="1100" w:type="dxa"/>
          </w:tcPr>
          <w:p w14:paraId="07C65F20"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Déficit (b)</w:t>
            </w:r>
          </w:p>
        </w:tc>
        <w:tc>
          <w:tcPr>
            <w:tcW w:w="1534" w:type="dxa"/>
          </w:tcPr>
          <w:p w14:paraId="603C0B9D" w14:textId="77777777" w:rsidR="00E30B91" w:rsidRPr="00023A4E" w:rsidRDefault="00E30B91" w:rsidP="00E6209B">
            <w:pPr>
              <w:spacing w:line="360" w:lineRule="auto"/>
              <w:cnfStyle w:val="100000000000" w:firstRow="1"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Superávit (c)</w:t>
            </w:r>
          </w:p>
        </w:tc>
      </w:tr>
      <w:tr w:rsidR="00E30B91" w:rsidRPr="00023A4E" w14:paraId="11890DA4" w14:textId="77777777" w:rsidTr="00E30B9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30" w:type="dxa"/>
          </w:tcPr>
          <w:p w14:paraId="7AD3ED66" w14:textId="77777777" w:rsidR="00E30B91" w:rsidRPr="00023A4E" w:rsidRDefault="00E30B91" w:rsidP="00E6209B">
            <w:pPr>
              <w:spacing w:line="360" w:lineRule="auto"/>
              <w:rPr>
                <w:rFonts w:ascii="Century Gothic" w:hAnsi="Century Gothic"/>
                <w:sz w:val="22"/>
                <w:szCs w:val="22"/>
              </w:rPr>
            </w:pPr>
            <w:r w:rsidRPr="00023A4E">
              <w:rPr>
                <w:rFonts w:ascii="Century Gothic" w:hAnsi="Century Gothic"/>
                <w:sz w:val="22"/>
                <w:szCs w:val="22"/>
              </w:rPr>
              <w:t>Jardín de Niños</w:t>
            </w:r>
          </w:p>
        </w:tc>
        <w:tc>
          <w:tcPr>
            <w:tcW w:w="513" w:type="dxa"/>
          </w:tcPr>
          <w:p w14:paraId="2F475FDC"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5</w:t>
            </w:r>
          </w:p>
        </w:tc>
        <w:tc>
          <w:tcPr>
            <w:tcW w:w="955" w:type="dxa"/>
          </w:tcPr>
          <w:p w14:paraId="603553DC"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49</w:t>
            </w:r>
          </w:p>
        </w:tc>
        <w:tc>
          <w:tcPr>
            <w:tcW w:w="1589" w:type="dxa"/>
          </w:tcPr>
          <w:p w14:paraId="78DF100F"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973</w:t>
            </w:r>
          </w:p>
        </w:tc>
        <w:tc>
          <w:tcPr>
            <w:tcW w:w="2332" w:type="dxa"/>
          </w:tcPr>
          <w:p w14:paraId="20781A4B"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2332" w:type="dxa"/>
          </w:tcPr>
          <w:p w14:paraId="3A95790D"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100" w:type="dxa"/>
          </w:tcPr>
          <w:p w14:paraId="1351BE58"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534" w:type="dxa"/>
          </w:tcPr>
          <w:p w14:paraId="41FFE88C"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r>
      <w:tr w:rsidR="00E30B91" w:rsidRPr="00023A4E" w14:paraId="1C791486" w14:textId="77777777" w:rsidTr="00E30B91">
        <w:trPr>
          <w:trHeight w:val="494"/>
        </w:trPr>
        <w:tc>
          <w:tcPr>
            <w:cnfStyle w:val="001000000000" w:firstRow="0" w:lastRow="0" w:firstColumn="1" w:lastColumn="0" w:oddVBand="0" w:evenVBand="0" w:oddHBand="0" w:evenHBand="0" w:firstRowFirstColumn="0" w:firstRowLastColumn="0" w:lastRowFirstColumn="0" w:lastRowLastColumn="0"/>
            <w:tcW w:w="2830" w:type="dxa"/>
          </w:tcPr>
          <w:p w14:paraId="51DD0AB1" w14:textId="77777777" w:rsidR="00E30B91" w:rsidRPr="00023A4E" w:rsidRDefault="00E30B91" w:rsidP="00E6209B">
            <w:pPr>
              <w:spacing w:line="360" w:lineRule="auto"/>
              <w:rPr>
                <w:rFonts w:ascii="Century Gothic" w:hAnsi="Century Gothic"/>
                <w:sz w:val="22"/>
                <w:szCs w:val="22"/>
              </w:rPr>
            </w:pPr>
            <w:r w:rsidRPr="00023A4E">
              <w:rPr>
                <w:rFonts w:ascii="Century Gothic" w:hAnsi="Century Gothic"/>
                <w:sz w:val="22"/>
                <w:szCs w:val="22"/>
              </w:rPr>
              <w:t>Centro de Desarrollo Infantil</w:t>
            </w:r>
          </w:p>
        </w:tc>
        <w:tc>
          <w:tcPr>
            <w:tcW w:w="513" w:type="dxa"/>
          </w:tcPr>
          <w:p w14:paraId="27F01865"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1</w:t>
            </w:r>
          </w:p>
        </w:tc>
        <w:tc>
          <w:tcPr>
            <w:tcW w:w="955" w:type="dxa"/>
          </w:tcPr>
          <w:p w14:paraId="40E4AA57"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5</w:t>
            </w:r>
          </w:p>
        </w:tc>
        <w:tc>
          <w:tcPr>
            <w:tcW w:w="1589" w:type="dxa"/>
          </w:tcPr>
          <w:p w14:paraId="1F67A8AB"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N/D</w:t>
            </w:r>
          </w:p>
        </w:tc>
        <w:tc>
          <w:tcPr>
            <w:tcW w:w="2332" w:type="dxa"/>
          </w:tcPr>
          <w:p w14:paraId="66BE7286" w14:textId="441D4B46"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2332" w:type="dxa"/>
          </w:tcPr>
          <w:p w14:paraId="333C66AE"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100" w:type="dxa"/>
          </w:tcPr>
          <w:p w14:paraId="2F3BFF8C"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534" w:type="dxa"/>
          </w:tcPr>
          <w:p w14:paraId="2BC76BA3"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r>
      <w:tr w:rsidR="00E30B91" w:rsidRPr="00023A4E" w14:paraId="227E3D52" w14:textId="77777777" w:rsidTr="00E30B9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830" w:type="dxa"/>
          </w:tcPr>
          <w:p w14:paraId="6C151705" w14:textId="77777777" w:rsidR="00E30B91" w:rsidRPr="00023A4E" w:rsidRDefault="00E30B91" w:rsidP="00E6209B">
            <w:pPr>
              <w:spacing w:line="360" w:lineRule="auto"/>
              <w:rPr>
                <w:rFonts w:ascii="Century Gothic" w:hAnsi="Century Gothic"/>
                <w:sz w:val="22"/>
                <w:szCs w:val="22"/>
              </w:rPr>
            </w:pPr>
            <w:r w:rsidRPr="00023A4E">
              <w:rPr>
                <w:rFonts w:ascii="Century Gothic" w:hAnsi="Century Gothic"/>
                <w:sz w:val="22"/>
                <w:szCs w:val="22"/>
              </w:rPr>
              <w:t>Primaria</w:t>
            </w:r>
          </w:p>
        </w:tc>
        <w:tc>
          <w:tcPr>
            <w:tcW w:w="513" w:type="dxa"/>
          </w:tcPr>
          <w:p w14:paraId="0020F974"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6</w:t>
            </w:r>
          </w:p>
        </w:tc>
        <w:tc>
          <w:tcPr>
            <w:tcW w:w="955" w:type="dxa"/>
          </w:tcPr>
          <w:p w14:paraId="0C0E9A81"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92</w:t>
            </w:r>
          </w:p>
        </w:tc>
        <w:tc>
          <w:tcPr>
            <w:tcW w:w="1589" w:type="dxa"/>
          </w:tcPr>
          <w:p w14:paraId="274A05A8"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3013</w:t>
            </w:r>
          </w:p>
        </w:tc>
        <w:tc>
          <w:tcPr>
            <w:tcW w:w="2332" w:type="dxa"/>
          </w:tcPr>
          <w:p w14:paraId="5DC7C820"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2332" w:type="dxa"/>
          </w:tcPr>
          <w:p w14:paraId="545556DE"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100" w:type="dxa"/>
          </w:tcPr>
          <w:p w14:paraId="68F25FB5"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534" w:type="dxa"/>
          </w:tcPr>
          <w:p w14:paraId="354E9386"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r>
      <w:tr w:rsidR="00E30B91" w:rsidRPr="00023A4E" w14:paraId="001F53F8" w14:textId="77777777" w:rsidTr="00E30B91">
        <w:trPr>
          <w:trHeight w:val="158"/>
        </w:trPr>
        <w:tc>
          <w:tcPr>
            <w:cnfStyle w:val="001000000000" w:firstRow="0" w:lastRow="0" w:firstColumn="1" w:lastColumn="0" w:oddVBand="0" w:evenVBand="0" w:oddHBand="0" w:evenHBand="0" w:firstRowFirstColumn="0" w:firstRowLastColumn="0" w:lastRowFirstColumn="0" w:lastRowLastColumn="0"/>
            <w:tcW w:w="2830" w:type="dxa"/>
          </w:tcPr>
          <w:p w14:paraId="60032AC2" w14:textId="77777777" w:rsidR="00E30B91" w:rsidRPr="00023A4E" w:rsidRDefault="00E30B91" w:rsidP="00E6209B">
            <w:pPr>
              <w:spacing w:line="360" w:lineRule="auto"/>
              <w:rPr>
                <w:rFonts w:ascii="Century Gothic" w:hAnsi="Century Gothic"/>
                <w:sz w:val="22"/>
                <w:szCs w:val="22"/>
              </w:rPr>
            </w:pPr>
            <w:r w:rsidRPr="00023A4E">
              <w:rPr>
                <w:rFonts w:ascii="Century Gothic" w:hAnsi="Century Gothic"/>
                <w:sz w:val="22"/>
                <w:szCs w:val="22"/>
              </w:rPr>
              <w:t>Secundaria</w:t>
            </w:r>
          </w:p>
        </w:tc>
        <w:tc>
          <w:tcPr>
            <w:tcW w:w="513" w:type="dxa"/>
          </w:tcPr>
          <w:p w14:paraId="748C489D"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3</w:t>
            </w:r>
          </w:p>
        </w:tc>
        <w:tc>
          <w:tcPr>
            <w:tcW w:w="955" w:type="dxa"/>
          </w:tcPr>
          <w:p w14:paraId="44CA9DB4"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32</w:t>
            </w:r>
          </w:p>
        </w:tc>
        <w:tc>
          <w:tcPr>
            <w:tcW w:w="1589" w:type="dxa"/>
          </w:tcPr>
          <w:p w14:paraId="2C10E72C"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853</w:t>
            </w:r>
          </w:p>
        </w:tc>
        <w:tc>
          <w:tcPr>
            <w:tcW w:w="2332" w:type="dxa"/>
          </w:tcPr>
          <w:p w14:paraId="1F81423A"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2332" w:type="dxa"/>
          </w:tcPr>
          <w:p w14:paraId="3CD66A3C"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100" w:type="dxa"/>
          </w:tcPr>
          <w:p w14:paraId="08B65E5C"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534" w:type="dxa"/>
          </w:tcPr>
          <w:p w14:paraId="574EABBD"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r>
      <w:tr w:rsidR="00E30B91" w:rsidRPr="00023A4E" w14:paraId="45E24BA5" w14:textId="77777777" w:rsidTr="00E30B91">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2830" w:type="dxa"/>
          </w:tcPr>
          <w:p w14:paraId="4CE5108F" w14:textId="77777777" w:rsidR="00E30B91" w:rsidRPr="00023A4E" w:rsidRDefault="00E30B91" w:rsidP="00E6209B">
            <w:pPr>
              <w:spacing w:line="360" w:lineRule="auto"/>
              <w:rPr>
                <w:rFonts w:ascii="Century Gothic" w:hAnsi="Century Gothic"/>
                <w:sz w:val="22"/>
                <w:szCs w:val="22"/>
              </w:rPr>
            </w:pPr>
            <w:r w:rsidRPr="00023A4E">
              <w:rPr>
                <w:rFonts w:ascii="Century Gothic" w:hAnsi="Century Gothic"/>
                <w:sz w:val="22"/>
                <w:szCs w:val="22"/>
              </w:rPr>
              <w:t>Preparatoria</w:t>
            </w:r>
          </w:p>
        </w:tc>
        <w:tc>
          <w:tcPr>
            <w:tcW w:w="513" w:type="dxa"/>
          </w:tcPr>
          <w:p w14:paraId="0AB91206"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1</w:t>
            </w:r>
          </w:p>
        </w:tc>
        <w:tc>
          <w:tcPr>
            <w:tcW w:w="955" w:type="dxa"/>
          </w:tcPr>
          <w:p w14:paraId="78F52A65"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11</w:t>
            </w:r>
          </w:p>
        </w:tc>
        <w:tc>
          <w:tcPr>
            <w:tcW w:w="1589" w:type="dxa"/>
          </w:tcPr>
          <w:p w14:paraId="70686A10"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N/D</w:t>
            </w:r>
          </w:p>
        </w:tc>
        <w:tc>
          <w:tcPr>
            <w:tcW w:w="2332" w:type="dxa"/>
          </w:tcPr>
          <w:p w14:paraId="70B9CDF0"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2332" w:type="dxa"/>
          </w:tcPr>
          <w:p w14:paraId="231E6035"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100" w:type="dxa"/>
          </w:tcPr>
          <w:p w14:paraId="5F5D9A02"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534" w:type="dxa"/>
          </w:tcPr>
          <w:p w14:paraId="24EA26E1" w14:textId="77777777" w:rsidR="00E30B91" w:rsidRPr="00023A4E" w:rsidRDefault="00E30B91" w:rsidP="00E6209B">
            <w:pPr>
              <w:spacing w:line="360" w:lineRule="auto"/>
              <w:cnfStyle w:val="000000100000" w:firstRow="0" w:lastRow="0" w:firstColumn="0" w:lastColumn="0" w:oddVBand="0" w:evenVBand="0" w:oddHBand="1"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r>
      <w:tr w:rsidR="00E30B91" w:rsidRPr="00023A4E" w14:paraId="49CB4F84" w14:textId="77777777" w:rsidTr="00E30B91">
        <w:trPr>
          <w:trHeight w:val="494"/>
        </w:trPr>
        <w:tc>
          <w:tcPr>
            <w:cnfStyle w:val="001000000000" w:firstRow="0" w:lastRow="0" w:firstColumn="1" w:lastColumn="0" w:oddVBand="0" w:evenVBand="0" w:oddHBand="0" w:evenHBand="0" w:firstRowFirstColumn="0" w:firstRowLastColumn="0" w:lastRowFirstColumn="0" w:lastRowLastColumn="0"/>
            <w:tcW w:w="2830" w:type="dxa"/>
          </w:tcPr>
          <w:p w14:paraId="157CE4D7" w14:textId="77777777" w:rsidR="00E30B91" w:rsidRPr="00023A4E" w:rsidRDefault="00E30B91" w:rsidP="00E6209B">
            <w:pPr>
              <w:spacing w:line="360" w:lineRule="auto"/>
              <w:rPr>
                <w:rFonts w:ascii="Century Gothic" w:hAnsi="Century Gothic"/>
                <w:sz w:val="22"/>
                <w:szCs w:val="22"/>
              </w:rPr>
            </w:pPr>
            <w:r w:rsidRPr="00023A4E">
              <w:rPr>
                <w:rFonts w:ascii="Century Gothic" w:hAnsi="Century Gothic"/>
                <w:sz w:val="22"/>
                <w:szCs w:val="22"/>
              </w:rPr>
              <w:t>Centro de Bachillerato Tecnológico</w:t>
            </w:r>
          </w:p>
        </w:tc>
        <w:tc>
          <w:tcPr>
            <w:tcW w:w="513" w:type="dxa"/>
          </w:tcPr>
          <w:p w14:paraId="7363D528"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1</w:t>
            </w:r>
          </w:p>
        </w:tc>
        <w:tc>
          <w:tcPr>
            <w:tcW w:w="955" w:type="dxa"/>
          </w:tcPr>
          <w:p w14:paraId="57F5638E"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10</w:t>
            </w:r>
          </w:p>
        </w:tc>
        <w:tc>
          <w:tcPr>
            <w:tcW w:w="1589" w:type="dxa"/>
          </w:tcPr>
          <w:p w14:paraId="7BF91A85"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367</w:t>
            </w:r>
          </w:p>
        </w:tc>
        <w:tc>
          <w:tcPr>
            <w:tcW w:w="2332" w:type="dxa"/>
          </w:tcPr>
          <w:p w14:paraId="1E7B5BA7"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2332" w:type="dxa"/>
          </w:tcPr>
          <w:p w14:paraId="7D77C88A"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100" w:type="dxa"/>
          </w:tcPr>
          <w:p w14:paraId="77556325"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c>
          <w:tcPr>
            <w:tcW w:w="1534" w:type="dxa"/>
          </w:tcPr>
          <w:p w14:paraId="21C97CF4" w14:textId="77777777" w:rsidR="00E30B91" w:rsidRPr="00023A4E" w:rsidRDefault="00E30B91" w:rsidP="00E6209B">
            <w:pPr>
              <w:spacing w:line="360" w:lineRule="auto"/>
              <w:cnfStyle w:val="000000000000" w:firstRow="0" w:lastRow="0" w:firstColumn="0" w:lastColumn="0" w:oddVBand="0" w:evenVBand="0" w:oddHBand="0" w:evenHBand="0" w:firstRowFirstColumn="0" w:firstRowLastColumn="0" w:lastRowFirstColumn="0" w:lastRowLastColumn="0"/>
              <w:rPr>
                <w:rFonts w:ascii="Century Gothic" w:hAnsi="Century Gothic"/>
                <w:sz w:val="22"/>
                <w:szCs w:val="22"/>
              </w:rPr>
            </w:pPr>
            <w:r w:rsidRPr="00023A4E">
              <w:rPr>
                <w:rFonts w:ascii="Century Gothic" w:hAnsi="Century Gothic"/>
                <w:sz w:val="22"/>
                <w:szCs w:val="22"/>
              </w:rPr>
              <w:t>No</w:t>
            </w:r>
          </w:p>
        </w:tc>
      </w:tr>
      <w:bookmarkEnd w:id="10"/>
    </w:tbl>
    <w:p w14:paraId="4782F8BA" w14:textId="62B5018A" w:rsidR="00114376" w:rsidRDefault="00114376" w:rsidP="00114376">
      <w:pPr>
        <w:spacing w:after="160" w:line="240" w:lineRule="auto"/>
        <w:jc w:val="both"/>
        <w:rPr>
          <w:rFonts w:ascii="Century Gothic" w:hAnsi="Century Gothic"/>
          <w:bCs/>
          <w:sz w:val="14"/>
          <w:szCs w:val="14"/>
          <w:lang w:val="es-US"/>
        </w:rPr>
      </w:pPr>
    </w:p>
    <w:p w14:paraId="2054F488" w14:textId="1BC6540D" w:rsidR="005A1ADF" w:rsidRDefault="00E30B91" w:rsidP="00E30B91">
      <w:pPr>
        <w:spacing w:after="160" w:line="360" w:lineRule="auto"/>
        <w:jc w:val="center"/>
        <w:rPr>
          <w:rFonts w:ascii="Century Gothic" w:hAnsi="Century Gothic"/>
          <w:bCs/>
          <w:color w:val="000000" w:themeColor="text1"/>
          <w:sz w:val="22"/>
          <w:szCs w:val="22"/>
        </w:rPr>
      </w:pPr>
      <w:r w:rsidRPr="00023A4E">
        <w:rPr>
          <w:rFonts w:ascii="Century Gothic" w:hAnsi="Century Gothic"/>
          <w:b/>
          <w:color w:val="000000" w:themeColor="text1"/>
          <w:sz w:val="22"/>
          <w:szCs w:val="22"/>
        </w:rPr>
        <w:t>Fuente:</w:t>
      </w:r>
      <w:r w:rsidRPr="00023A4E">
        <w:rPr>
          <w:rFonts w:ascii="Century Gothic" w:hAnsi="Century Gothic"/>
          <w:bCs/>
          <w:color w:val="000000" w:themeColor="text1"/>
          <w:sz w:val="22"/>
          <w:szCs w:val="22"/>
        </w:rPr>
        <w:t xml:space="preserve"> Municipio de San Antonio la Isla 2025-2027.</w:t>
      </w:r>
    </w:p>
    <w:p w14:paraId="22933849" w14:textId="04E31FE4" w:rsidR="00E30B91" w:rsidRDefault="00E30B91">
      <w:pPr>
        <w:rPr>
          <w:rFonts w:ascii="Century Gothic" w:hAnsi="Century Gothic"/>
          <w:bCs/>
          <w:color w:val="000000" w:themeColor="text1"/>
          <w:sz w:val="22"/>
          <w:szCs w:val="22"/>
        </w:rPr>
      </w:pPr>
      <w:r>
        <w:rPr>
          <w:rFonts w:ascii="Century Gothic" w:hAnsi="Century Gothic"/>
          <w:bCs/>
          <w:color w:val="000000" w:themeColor="text1"/>
          <w:sz w:val="22"/>
          <w:szCs w:val="22"/>
        </w:rPr>
        <w:br w:type="page"/>
      </w:r>
    </w:p>
    <w:p w14:paraId="167270B5" w14:textId="77777777" w:rsidR="00E30B91" w:rsidRDefault="00E30B91" w:rsidP="00E30B91">
      <w:pPr>
        <w:spacing w:after="160" w:line="360" w:lineRule="auto"/>
        <w:rPr>
          <w:rFonts w:ascii="Century Gothic" w:hAnsi="Century Gothic"/>
          <w:bCs/>
          <w:color w:val="000000" w:themeColor="text1"/>
          <w:sz w:val="22"/>
          <w:szCs w:val="22"/>
        </w:rPr>
        <w:sectPr w:rsidR="00E30B91" w:rsidSect="00114376">
          <w:pgSz w:w="15840" w:h="12240" w:orient="landscape"/>
          <w:pgMar w:top="1440" w:right="1440" w:bottom="1440" w:left="1440" w:header="709" w:footer="709" w:gutter="0"/>
          <w:cols w:space="708"/>
          <w:docGrid w:linePitch="360"/>
        </w:sectPr>
      </w:pPr>
    </w:p>
    <w:p w14:paraId="1237B444"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lastRenderedPageBreak/>
        <w:t>Adicionalmente, San Antonio la Isla cuenta con el Centro de Actividades Culturales de la UAEM, que ofrece una amplia gama de talleres para todas las edades, promoviendo la formación integral de nuestra comunidad. Además, existen diversos espacios públicos que fomentan el uso responsable y el desarrollo educativo y cultural de niñas, niños, jóvenes y adultos. Un claro ejemplo de ello son la Biblioteca Digital "Alfredo del Mazo Vélez" y la Biblioteca de San Lucas Tepemajalco, donde los usuarios tienen acceso a equipos de cómputo e internet. Estos espacios no solo proporcionan herramientas tecnológicas, sino que también contribuyen al fortalecimiento económico de las familias, impulsando el aprendizaje y el desarrollo continuo de las y los habitantes de San Antonio la Isla.</w:t>
      </w:r>
    </w:p>
    <w:tbl>
      <w:tblPr>
        <w:tblStyle w:val="Tablaconcuadrcula4-nfasis2"/>
        <w:tblW w:w="6233" w:type="dxa"/>
        <w:tblLayout w:type="fixed"/>
        <w:tblLook w:val="01E0" w:firstRow="1" w:lastRow="1" w:firstColumn="1" w:lastColumn="1" w:noHBand="0" w:noVBand="0"/>
      </w:tblPr>
      <w:tblGrid>
        <w:gridCol w:w="2808"/>
        <w:gridCol w:w="3425"/>
      </w:tblGrid>
      <w:tr w:rsidR="00E30B91" w:rsidRPr="00E30B91" w14:paraId="565CECA4" w14:textId="77777777" w:rsidTr="00E30B91">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808" w:type="dxa"/>
          </w:tcPr>
          <w:p w14:paraId="096CBC73" w14:textId="77777777" w:rsidR="00E30B91" w:rsidRPr="00E30B91" w:rsidRDefault="00E30B91" w:rsidP="00E6209B">
            <w:pPr>
              <w:spacing w:after="160" w:line="360" w:lineRule="auto"/>
              <w:jc w:val="center"/>
              <w:rPr>
                <w:rFonts w:ascii="Century Gothic" w:hAnsi="Century Gothic"/>
                <w:b w:val="0"/>
                <w:bCs w:val="0"/>
                <w:sz w:val="20"/>
                <w:szCs w:val="20"/>
              </w:rPr>
            </w:pPr>
            <w:r w:rsidRPr="00E30B91">
              <w:rPr>
                <w:rFonts w:ascii="Century Gothic" w:hAnsi="Century Gothic"/>
                <w:b w:val="0"/>
                <w:bCs w:val="0"/>
                <w:sz w:val="20"/>
                <w:szCs w:val="20"/>
              </w:rPr>
              <w:t>Infraestructura educativa y cultural</w:t>
            </w:r>
          </w:p>
        </w:tc>
        <w:tc>
          <w:tcPr>
            <w:cnfStyle w:val="000100000000" w:firstRow="0" w:lastRow="0" w:firstColumn="0" w:lastColumn="1" w:oddVBand="0" w:evenVBand="0" w:oddHBand="0" w:evenHBand="0" w:firstRowFirstColumn="0" w:firstRowLastColumn="0" w:lastRowFirstColumn="0" w:lastRowLastColumn="0"/>
            <w:tcW w:w="3425" w:type="dxa"/>
          </w:tcPr>
          <w:p w14:paraId="2B8632F0" w14:textId="77777777" w:rsidR="00E30B91" w:rsidRPr="00E30B91" w:rsidRDefault="00E30B91" w:rsidP="00E6209B">
            <w:pPr>
              <w:spacing w:after="160" w:line="360" w:lineRule="auto"/>
              <w:jc w:val="center"/>
              <w:rPr>
                <w:rFonts w:ascii="Century Gothic" w:hAnsi="Century Gothic"/>
                <w:b w:val="0"/>
                <w:bCs w:val="0"/>
                <w:sz w:val="20"/>
                <w:szCs w:val="20"/>
              </w:rPr>
            </w:pPr>
            <w:r w:rsidRPr="00E30B91">
              <w:rPr>
                <w:rFonts w:ascii="Century Gothic" w:hAnsi="Century Gothic"/>
                <w:b w:val="0"/>
                <w:bCs w:val="0"/>
                <w:sz w:val="20"/>
                <w:szCs w:val="20"/>
              </w:rPr>
              <w:t>Ubicación</w:t>
            </w:r>
          </w:p>
        </w:tc>
      </w:tr>
      <w:tr w:rsidR="00E30B91" w:rsidRPr="00E30B91" w14:paraId="6BA473CE" w14:textId="77777777" w:rsidTr="00E30B91">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808" w:type="dxa"/>
          </w:tcPr>
          <w:p w14:paraId="45EF260C"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Biblioteca de municipal San Antonio la isla</w:t>
            </w:r>
          </w:p>
        </w:tc>
        <w:tc>
          <w:tcPr>
            <w:cnfStyle w:val="000100000000" w:firstRow="0" w:lastRow="0" w:firstColumn="0" w:lastColumn="1" w:oddVBand="0" w:evenVBand="0" w:oddHBand="0" w:evenHBand="0" w:firstRowFirstColumn="0" w:firstRowLastColumn="0" w:lastRowFirstColumn="0" w:lastRowLastColumn="0"/>
            <w:tcW w:w="3425" w:type="dxa"/>
          </w:tcPr>
          <w:p w14:paraId="0293655E"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Jorge Jiménez Cantú S/N, esquina Melchor Ocampo, en San Antonio la Isla, México.</w:t>
            </w:r>
          </w:p>
        </w:tc>
      </w:tr>
      <w:tr w:rsidR="00E30B91" w:rsidRPr="00E30B91" w14:paraId="59629692" w14:textId="77777777" w:rsidTr="00E30B91">
        <w:trPr>
          <w:trHeight w:val="609"/>
        </w:trPr>
        <w:tc>
          <w:tcPr>
            <w:cnfStyle w:val="001000000000" w:firstRow="0" w:lastRow="0" w:firstColumn="1" w:lastColumn="0" w:oddVBand="0" w:evenVBand="0" w:oddHBand="0" w:evenHBand="0" w:firstRowFirstColumn="0" w:firstRowLastColumn="0" w:lastRowFirstColumn="0" w:lastRowLastColumn="0"/>
            <w:tcW w:w="2808" w:type="dxa"/>
          </w:tcPr>
          <w:p w14:paraId="1EFB8992"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Biblioteca Delegación de San Lucas Tepemajalco</w:t>
            </w:r>
          </w:p>
        </w:tc>
        <w:tc>
          <w:tcPr>
            <w:cnfStyle w:val="000100000000" w:firstRow="0" w:lastRow="0" w:firstColumn="0" w:lastColumn="1" w:oddVBand="0" w:evenVBand="0" w:oddHBand="0" w:evenHBand="0" w:firstRowFirstColumn="0" w:firstRowLastColumn="0" w:lastRowFirstColumn="0" w:lastRowLastColumn="0"/>
            <w:tcW w:w="3425" w:type="dxa"/>
          </w:tcPr>
          <w:p w14:paraId="32D96774"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Francisco I Madero s/n esquina 16 de septiembre</w:t>
            </w:r>
          </w:p>
        </w:tc>
      </w:tr>
      <w:tr w:rsidR="00E30B91" w:rsidRPr="00E30B91" w14:paraId="3A26FA19" w14:textId="77777777" w:rsidTr="00E30B91">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2808" w:type="dxa"/>
          </w:tcPr>
          <w:p w14:paraId="3637392E"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Casa de arte y cultura</w:t>
            </w:r>
          </w:p>
        </w:tc>
        <w:tc>
          <w:tcPr>
            <w:cnfStyle w:val="000100000000" w:firstRow="0" w:lastRow="0" w:firstColumn="0" w:lastColumn="1" w:oddVBand="0" w:evenVBand="0" w:oddHBand="0" w:evenHBand="0" w:firstRowFirstColumn="0" w:firstRowLastColumn="0" w:lastRowFirstColumn="0" w:lastRowLastColumn="0"/>
            <w:tcW w:w="3425" w:type="dxa"/>
          </w:tcPr>
          <w:p w14:paraId="7F9960E4"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Jorge Jiménez Cantú S/N, esquina Melchor Ocampo, en San Antonio la Isla, México.</w:t>
            </w:r>
          </w:p>
        </w:tc>
      </w:tr>
      <w:tr w:rsidR="00E30B91" w:rsidRPr="00E30B91" w14:paraId="760E4ED2" w14:textId="77777777" w:rsidTr="00E30B91">
        <w:trPr>
          <w:trHeight w:val="498"/>
        </w:trPr>
        <w:tc>
          <w:tcPr>
            <w:cnfStyle w:val="001000000000" w:firstRow="0" w:lastRow="0" w:firstColumn="1" w:lastColumn="0" w:oddVBand="0" w:evenVBand="0" w:oddHBand="0" w:evenHBand="0" w:firstRowFirstColumn="0" w:firstRowLastColumn="0" w:lastRowFirstColumn="0" w:lastRowLastColumn="0"/>
            <w:tcW w:w="2808" w:type="dxa"/>
          </w:tcPr>
          <w:p w14:paraId="045560E2"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Módulo Cultural San Dimas</w:t>
            </w:r>
          </w:p>
        </w:tc>
        <w:tc>
          <w:tcPr>
            <w:cnfStyle w:val="000100000000" w:firstRow="0" w:lastRow="0" w:firstColumn="0" w:lastColumn="1" w:oddVBand="0" w:evenVBand="0" w:oddHBand="0" w:evenHBand="0" w:firstRowFirstColumn="0" w:firstRowLastColumn="0" w:lastRowFirstColumn="0" w:lastRowLastColumn="0"/>
            <w:tcW w:w="3425" w:type="dxa"/>
          </w:tcPr>
          <w:p w14:paraId="5A7282BC"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Fracc. Ex Rancho San Dimas.</w:t>
            </w:r>
          </w:p>
        </w:tc>
      </w:tr>
      <w:tr w:rsidR="00E30B91" w:rsidRPr="00E30B91" w14:paraId="4DDBFBC4" w14:textId="77777777" w:rsidTr="00E30B91">
        <w:trPr>
          <w:cnfStyle w:val="010000000000" w:firstRow="0" w:lastRow="1" w:firstColumn="0" w:lastColumn="0" w:oddVBand="0" w:evenVBand="0" w:oddHBand="0"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2808" w:type="dxa"/>
          </w:tcPr>
          <w:p w14:paraId="1DF2B70B"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Módulo Cultural San Lucas Tepemajalco</w:t>
            </w:r>
          </w:p>
        </w:tc>
        <w:tc>
          <w:tcPr>
            <w:cnfStyle w:val="000100000000" w:firstRow="0" w:lastRow="0" w:firstColumn="0" w:lastColumn="1" w:oddVBand="0" w:evenVBand="0" w:oddHBand="0" w:evenHBand="0" w:firstRowFirstColumn="0" w:firstRowLastColumn="0" w:lastRowFirstColumn="0" w:lastRowLastColumn="0"/>
            <w:tcW w:w="3425" w:type="dxa"/>
          </w:tcPr>
          <w:p w14:paraId="0364D214"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Francisco I. Madero</w:t>
            </w:r>
          </w:p>
        </w:tc>
      </w:tr>
    </w:tbl>
    <w:p w14:paraId="184B195D" w14:textId="4560CD35" w:rsidR="00E30B91" w:rsidRDefault="00E30B91" w:rsidP="00E30B91">
      <w:pPr>
        <w:spacing w:after="160" w:line="360" w:lineRule="auto"/>
        <w:rPr>
          <w:rFonts w:ascii="Century Gothic" w:hAnsi="Century Gothic"/>
          <w:bCs/>
          <w:color w:val="000000" w:themeColor="text1"/>
          <w:sz w:val="22"/>
          <w:szCs w:val="22"/>
        </w:rPr>
      </w:pPr>
      <w:r w:rsidRPr="00023A4E">
        <w:rPr>
          <w:rFonts w:ascii="Century Gothic" w:hAnsi="Century Gothic"/>
          <w:b/>
          <w:color w:val="000000" w:themeColor="text1"/>
          <w:sz w:val="22"/>
          <w:szCs w:val="22"/>
        </w:rPr>
        <w:t xml:space="preserve">Fuente: </w:t>
      </w:r>
      <w:r w:rsidRPr="00023A4E">
        <w:rPr>
          <w:rFonts w:ascii="Century Gothic" w:hAnsi="Century Gothic"/>
          <w:bCs/>
          <w:color w:val="000000" w:themeColor="text1"/>
          <w:sz w:val="22"/>
          <w:szCs w:val="22"/>
        </w:rPr>
        <w:t>Municipio de San Antonio la Isla 2025-2027.</w:t>
      </w:r>
    </w:p>
    <w:p w14:paraId="395B493E" w14:textId="77777777" w:rsidR="00E30B91" w:rsidRDefault="00E30B91" w:rsidP="00E30B91">
      <w:pPr>
        <w:widowControl w:val="0"/>
        <w:autoSpaceDE w:val="0"/>
        <w:autoSpaceDN w:val="0"/>
        <w:spacing w:after="0" w:line="360" w:lineRule="auto"/>
        <w:jc w:val="both"/>
        <w:rPr>
          <w:rFonts w:ascii="Century Gothic" w:hAnsi="Century Gothic"/>
          <w:b/>
          <w:bCs/>
          <w:color w:val="8DD873" w:themeColor="accent6" w:themeTint="99"/>
          <w:sz w:val="22"/>
          <w:szCs w:val="22"/>
        </w:rPr>
      </w:pPr>
    </w:p>
    <w:p w14:paraId="0868092B" w14:textId="7665C59F" w:rsidR="00E30B91" w:rsidRPr="00E30B91" w:rsidRDefault="00E30B91" w:rsidP="00E30B91">
      <w:pPr>
        <w:widowControl w:val="0"/>
        <w:autoSpaceDE w:val="0"/>
        <w:autoSpaceDN w:val="0"/>
        <w:spacing w:after="0" w:line="360" w:lineRule="auto"/>
        <w:jc w:val="both"/>
        <w:rPr>
          <w:rFonts w:ascii="Century Gothic" w:hAnsi="Century Gothic"/>
          <w:b/>
          <w:bCs/>
          <w:color w:val="025850"/>
          <w:sz w:val="22"/>
          <w:szCs w:val="22"/>
        </w:rPr>
      </w:pPr>
      <w:r w:rsidRPr="00E30B91">
        <w:rPr>
          <w:rFonts w:ascii="Century Gothic" w:hAnsi="Century Gothic"/>
          <w:b/>
          <w:bCs/>
          <w:color w:val="025850"/>
          <w:sz w:val="22"/>
          <w:szCs w:val="22"/>
        </w:rPr>
        <w:t>Acceso a la salud integral</w:t>
      </w:r>
    </w:p>
    <w:p w14:paraId="1A346DD9"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Procurar el derecho a la salud de las y los islenses es una prioridad para todos los niveles de gobierno. El acceso igualitario a los servicios básicos, la reducción de los índices de mortalidad, la mejora de la calidad en los servicios de salud, el incremento de la cobertura municipal y la gestión eficiente de recursos financieros con los gobiernos federal y estatal son fundamentales para responder a las necesidades de la población.</w:t>
      </w:r>
    </w:p>
    <w:p w14:paraId="4AB7FE09" w14:textId="1F29D576"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lastRenderedPageBreak/>
        <w:t xml:space="preserve">Contar con personal suficiente y debidamente capacitado para atender a las poblaciones más vulnerables, especialmente en zonas </w:t>
      </w:r>
      <w:proofErr w:type="spellStart"/>
      <w:r w:rsidRPr="00023A4E">
        <w:rPr>
          <w:rFonts w:ascii="Century Gothic" w:eastAsia="Times New Roman" w:hAnsi="Century Gothic" w:cs="Times New Roman"/>
          <w:sz w:val="22"/>
          <w:szCs w:val="22"/>
          <w:lang w:eastAsia="es-MX"/>
        </w:rPr>
        <w:t>subatendidas</w:t>
      </w:r>
      <w:proofErr w:type="spellEnd"/>
      <w:r w:rsidRPr="00023A4E">
        <w:rPr>
          <w:rFonts w:ascii="Century Gothic" w:eastAsia="Times New Roman" w:hAnsi="Century Gothic" w:cs="Times New Roman"/>
          <w:sz w:val="22"/>
          <w:szCs w:val="22"/>
          <w:lang w:eastAsia="es-MX"/>
        </w:rPr>
        <w:t>, es un eje estratégico clave para reducir las inequidades y garantizar un acceso efectivo a los servicios de salud de calidad.</w:t>
      </w:r>
      <w:r>
        <w:rPr>
          <w:rFonts w:ascii="Century Gothic" w:eastAsia="Times New Roman" w:hAnsi="Century Gothic" w:cs="Times New Roman"/>
          <w:sz w:val="22"/>
          <w:szCs w:val="22"/>
          <w:lang w:eastAsia="es-MX"/>
        </w:rPr>
        <w:t xml:space="preserve"> </w:t>
      </w:r>
      <w:r w:rsidRPr="00023A4E">
        <w:rPr>
          <w:rFonts w:ascii="Century Gothic" w:eastAsia="Times New Roman" w:hAnsi="Century Gothic" w:cs="Times New Roman"/>
          <w:sz w:val="22"/>
          <w:szCs w:val="22"/>
          <w:lang w:eastAsia="es-MX"/>
        </w:rPr>
        <w:t>Actualmente, el personal de salud que labora en las instituciones públicas del municipio está conformado por 21 médicos y 23 enfermeras, quienes están adscritos al Instituto de Salud del Estado de México (ISEM). En promedio, el municipio cuenta con 1,522 habitantes por cada médico.</w:t>
      </w:r>
    </w:p>
    <w:p w14:paraId="0F99803B"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En cuanto a la cobertura de salud, hasta 2020, el 77.0% de la población de San Antonio la Isla era derechohabiente de algún sistema de salud, de los cuales el 56% es atendido por el Instituto Mexicano del Seguro Social (IMSS). Sin embargo, un 33.0% de la población carece de seguridad social.</w:t>
      </w:r>
    </w:p>
    <w:p w14:paraId="0ED90C90"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En el ámbito de la salud, la esperanza de vida al nacer en el Estado de México es de 75.4 años, mientras que a nivel nacional es de 75.2 años. En el Estado de México, la esperanza de vida para los hombres es de 73 años y para las mujeres es de 77.9 años, mientras que, a </w:t>
      </w:r>
      <w:r w:rsidRPr="00023A4E">
        <w:rPr>
          <w:rFonts w:ascii="Century Gothic" w:eastAsia="Times New Roman" w:hAnsi="Century Gothic" w:cs="Times New Roman"/>
          <w:sz w:val="22"/>
          <w:szCs w:val="22"/>
          <w:lang w:eastAsia="es-MX"/>
        </w:rPr>
        <w:t>nivel nacional, los hombres tienen una esperanza de vida de 72.6 años y las mujeres de 77.8 años.</w:t>
      </w:r>
    </w:p>
    <w:p w14:paraId="37C39B79" w14:textId="7DEA05E3" w:rsidR="00E30B91" w:rsidRDefault="00E30B91" w:rsidP="00E30B91">
      <w:pPr>
        <w:spacing w:line="360" w:lineRule="auto"/>
        <w:ind w:firstLine="708"/>
        <w:rPr>
          <w:rFonts w:ascii="Century Gothic" w:hAnsi="Century Gothic"/>
          <w:color w:val="000000" w:themeColor="text1"/>
          <w:sz w:val="22"/>
          <w:szCs w:val="22"/>
        </w:rPr>
      </w:pPr>
      <w:r w:rsidRPr="00023A4E">
        <w:rPr>
          <w:rFonts w:ascii="Century Gothic" w:hAnsi="Century Gothic"/>
          <w:color w:val="000000" w:themeColor="text1"/>
          <w:sz w:val="22"/>
          <w:szCs w:val="22"/>
        </w:rPr>
        <w:t xml:space="preserve">El Municipio, brinda atención médica a través de las siguientes clínicas: </w:t>
      </w:r>
    </w:p>
    <w:tbl>
      <w:tblPr>
        <w:tblStyle w:val="Tablaconcuadrcula4-nfasis2"/>
        <w:tblW w:w="5397" w:type="pct"/>
        <w:tblLook w:val="01E0" w:firstRow="1" w:lastRow="1" w:firstColumn="1" w:lastColumn="1" w:noHBand="0" w:noVBand="0"/>
      </w:tblPr>
      <w:tblGrid>
        <w:gridCol w:w="2353"/>
        <w:gridCol w:w="2238"/>
        <w:gridCol w:w="2011"/>
      </w:tblGrid>
      <w:tr w:rsidR="00E30B91" w:rsidRPr="00E30B91" w14:paraId="2BA7EFB6" w14:textId="77777777" w:rsidTr="00E30B91">
        <w:trPr>
          <w:cnfStyle w:val="100000000000" w:firstRow="1" w:lastRow="0" w:firstColumn="0" w:lastColumn="0" w:oddVBand="0" w:evenVBand="0" w:oddHBand="0"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782" w:type="pct"/>
          </w:tcPr>
          <w:p w14:paraId="50117799" w14:textId="77777777" w:rsidR="00E30B91" w:rsidRPr="00E30B91" w:rsidRDefault="00E30B91" w:rsidP="00E6209B">
            <w:pPr>
              <w:spacing w:line="360" w:lineRule="auto"/>
              <w:jc w:val="both"/>
              <w:rPr>
                <w:rFonts w:ascii="Century Gothic" w:hAnsi="Century Gothic"/>
                <w:b w:val="0"/>
                <w:sz w:val="20"/>
                <w:szCs w:val="20"/>
              </w:rPr>
            </w:pPr>
            <w:r w:rsidRPr="00E30B91">
              <w:rPr>
                <w:rFonts w:ascii="Century Gothic" w:hAnsi="Century Gothic"/>
                <w:sz w:val="20"/>
                <w:szCs w:val="20"/>
              </w:rPr>
              <w:t>Nombre de la Unidad de Salud</w:t>
            </w:r>
          </w:p>
        </w:tc>
        <w:tc>
          <w:tcPr>
            <w:cnfStyle w:val="000010000000" w:firstRow="0" w:lastRow="0" w:firstColumn="0" w:lastColumn="0" w:oddVBand="1" w:evenVBand="0" w:oddHBand="0" w:evenHBand="0" w:firstRowFirstColumn="0" w:firstRowLastColumn="0" w:lastRowFirstColumn="0" w:lastRowLastColumn="0"/>
            <w:tcW w:w="1695" w:type="pct"/>
          </w:tcPr>
          <w:p w14:paraId="4925F60F" w14:textId="77777777" w:rsidR="00E30B91" w:rsidRPr="00E30B91" w:rsidRDefault="00E30B91" w:rsidP="00E6209B">
            <w:pPr>
              <w:spacing w:line="360" w:lineRule="auto"/>
              <w:ind w:firstLine="708"/>
              <w:jc w:val="both"/>
              <w:rPr>
                <w:rFonts w:ascii="Century Gothic" w:hAnsi="Century Gothic"/>
                <w:b w:val="0"/>
                <w:sz w:val="20"/>
                <w:szCs w:val="20"/>
              </w:rPr>
            </w:pPr>
            <w:r w:rsidRPr="00E30B91">
              <w:rPr>
                <w:rFonts w:ascii="Century Gothic" w:hAnsi="Century Gothic"/>
                <w:sz w:val="20"/>
                <w:szCs w:val="20"/>
              </w:rPr>
              <w:t>Ubicación</w:t>
            </w:r>
          </w:p>
        </w:tc>
        <w:tc>
          <w:tcPr>
            <w:cnfStyle w:val="000100000000" w:firstRow="0" w:lastRow="0" w:firstColumn="0" w:lastColumn="1" w:oddVBand="0" w:evenVBand="0" w:oddHBand="0" w:evenHBand="0" w:firstRowFirstColumn="0" w:firstRowLastColumn="0" w:lastRowFirstColumn="0" w:lastRowLastColumn="0"/>
            <w:tcW w:w="1523" w:type="pct"/>
          </w:tcPr>
          <w:p w14:paraId="505D703F" w14:textId="77777777" w:rsidR="00E30B91" w:rsidRPr="00E30B91" w:rsidRDefault="00E30B91" w:rsidP="00E6209B">
            <w:pPr>
              <w:spacing w:line="360" w:lineRule="auto"/>
              <w:jc w:val="both"/>
              <w:rPr>
                <w:rFonts w:ascii="Century Gothic" w:hAnsi="Century Gothic"/>
                <w:b w:val="0"/>
                <w:sz w:val="20"/>
                <w:szCs w:val="20"/>
              </w:rPr>
            </w:pPr>
            <w:r w:rsidRPr="00E30B91">
              <w:rPr>
                <w:rFonts w:ascii="Century Gothic" w:hAnsi="Century Gothic"/>
                <w:sz w:val="20"/>
                <w:szCs w:val="20"/>
              </w:rPr>
              <w:t>Habitantes que reciben atención</w:t>
            </w:r>
          </w:p>
        </w:tc>
      </w:tr>
      <w:tr w:rsidR="00E30B91" w:rsidRPr="00E30B91" w14:paraId="303D2B4F" w14:textId="77777777" w:rsidTr="00E30B91">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782" w:type="pct"/>
          </w:tcPr>
          <w:p w14:paraId="64A3F640"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CEAPS “Leonardo Bravo Bicentenario” Unidad de consulta externa</w:t>
            </w:r>
          </w:p>
        </w:tc>
        <w:tc>
          <w:tcPr>
            <w:cnfStyle w:val="000010000000" w:firstRow="0" w:lastRow="0" w:firstColumn="0" w:lastColumn="0" w:oddVBand="1" w:evenVBand="0" w:oddHBand="0" w:evenHBand="0" w:firstRowFirstColumn="0" w:firstRowLastColumn="0" w:lastRowFirstColumn="0" w:lastRowLastColumn="0"/>
            <w:tcW w:w="1695" w:type="pct"/>
          </w:tcPr>
          <w:p w14:paraId="012AECFD" w14:textId="77777777" w:rsidR="00E30B91" w:rsidRPr="00E30B91" w:rsidRDefault="00E30B91" w:rsidP="00E6209B">
            <w:pPr>
              <w:spacing w:line="360" w:lineRule="auto"/>
              <w:jc w:val="both"/>
              <w:rPr>
                <w:rFonts w:ascii="Century Gothic" w:hAnsi="Century Gothic"/>
                <w:color w:val="000000" w:themeColor="text1"/>
                <w:sz w:val="20"/>
                <w:szCs w:val="20"/>
              </w:rPr>
            </w:pPr>
            <w:r w:rsidRPr="00E30B91">
              <w:rPr>
                <w:rFonts w:ascii="Century Gothic" w:hAnsi="Century Gothic"/>
                <w:color w:val="000000" w:themeColor="text1"/>
                <w:sz w:val="20"/>
                <w:szCs w:val="20"/>
              </w:rPr>
              <w:t>Calle Adolfo López Mateos, San Antonio la Isla</w:t>
            </w:r>
          </w:p>
        </w:tc>
        <w:tc>
          <w:tcPr>
            <w:cnfStyle w:val="000100000000" w:firstRow="0" w:lastRow="0" w:firstColumn="0" w:lastColumn="1" w:oddVBand="0" w:evenVBand="0" w:oddHBand="0" w:evenHBand="0" w:firstRowFirstColumn="0" w:firstRowLastColumn="0" w:lastRowFirstColumn="0" w:lastRowLastColumn="0"/>
            <w:tcW w:w="1523" w:type="pct"/>
          </w:tcPr>
          <w:p w14:paraId="66D2636D"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80 personas diarias</w:t>
            </w:r>
          </w:p>
        </w:tc>
      </w:tr>
      <w:tr w:rsidR="00E30B91" w:rsidRPr="00E30B91" w14:paraId="4A2A5E25" w14:textId="77777777" w:rsidTr="00E30B91">
        <w:trPr>
          <w:trHeight w:val="542"/>
        </w:trPr>
        <w:tc>
          <w:tcPr>
            <w:cnfStyle w:val="001000000000" w:firstRow="0" w:lastRow="0" w:firstColumn="1" w:lastColumn="0" w:oddVBand="0" w:evenVBand="0" w:oddHBand="0" w:evenHBand="0" w:firstRowFirstColumn="0" w:firstRowLastColumn="0" w:lastRowFirstColumn="0" w:lastRowLastColumn="0"/>
            <w:tcW w:w="1782" w:type="pct"/>
          </w:tcPr>
          <w:p w14:paraId="35B34B6B"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Unidad de Rehabilitación e Integración Social</w:t>
            </w:r>
          </w:p>
        </w:tc>
        <w:tc>
          <w:tcPr>
            <w:cnfStyle w:val="000010000000" w:firstRow="0" w:lastRow="0" w:firstColumn="0" w:lastColumn="0" w:oddVBand="1" w:evenVBand="0" w:oddHBand="0" w:evenHBand="0" w:firstRowFirstColumn="0" w:firstRowLastColumn="0" w:lastRowFirstColumn="0" w:lastRowLastColumn="0"/>
            <w:tcW w:w="1695" w:type="pct"/>
          </w:tcPr>
          <w:p w14:paraId="3A6119EB" w14:textId="77777777" w:rsidR="00E30B91" w:rsidRPr="00E30B91" w:rsidRDefault="00E30B91" w:rsidP="00E6209B">
            <w:pPr>
              <w:spacing w:line="360" w:lineRule="auto"/>
              <w:jc w:val="both"/>
              <w:rPr>
                <w:rFonts w:ascii="Century Gothic" w:hAnsi="Century Gothic"/>
                <w:color w:val="000000" w:themeColor="text1"/>
                <w:sz w:val="20"/>
                <w:szCs w:val="20"/>
              </w:rPr>
            </w:pPr>
            <w:r w:rsidRPr="00E30B91">
              <w:rPr>
                <w:rFonts w:ascii="Century Gothic" w:hAnsi="Century Gothic"/>
                <w:color w:val="000000" w:themeColor="text1"/>
                <w:sz w:val="20"/>
                <w:szCs w:val="20"/>
              </w:rPr>
              <w:t>Calle Álvaro Obregón, San Lucas Tepemajalco</w:t>
            </w:r>
          </w:p>
        </w:tc>
        <w:tc>
          <w:tcPr>
            <w:cnfStyle w:val="000100000000" w:firstRow="0" w:lastRow="0" w:firstColumn="0" w:lastColumn="1" w:oddVBand="0" w:evenVBand="0" w:oddHBand="0" w:evenHBand="0" w:firstRowFirstColumn="0" w:firstRowLastColumn="0" w:lastRowFirstColumn="0" w:lastRowLastColumn="0"/>
            <w:tcW w:w="1523" w:type="pct"/>
          </w:tcPr>
          <w:p w14:paraId="3A2C223D"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20 personas diarias</w:t>
            </w:r>
          </w:p>
        </w:tc>
      </w:tr>
      <w:tr w:rsidR="00E30B91" w:rsidRPr="00E30B91" w14:paraId="55D322F4" w14:textId="77777777" w:rsidTr="00E30B91">
        <w:trPr>
          <w:cnfStyle w:val="010000000000" w:firstRow="0" w:lastRow="1"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782" w:type="pct"/>
          </w:tcPr>
          <w:p w14:paraId="566A7F11"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Centro de Salud; San Lucas Tepemajalco</w:t>
            </w:r>
          </w:p>
        </w:tc>
        <w:tc>
          <w:tcPr>
            <w:cnfStyle w:val="000010000000" w:firstRow="0" w:lastRow="0" w:firstColumn="0" w:lastColumn="0" w:oddVBand="1" w:evenVBand="0" w:oddHBand="0" w:evenHBand="0" w:firstRowFirstColumn="0" w:firstRowLastColumn="0" w:lastRowFirstColumn="0" w:lastRowLastColumn="0"/>
            <w:tcW w:w="1695" w:type="pct"/>
          </w:tcPr>
          <w:p w14:paraId="4E998FE8"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C. 16 de septiembre, San Lucas Tepemajalco</w:t>
            </w:r>
          </w:p>
        </w:tc>
        <w:tc>
          <w:tcPr>
            <w:cnfStyle w:val="000100000000" w:firstRow="0" w:lastRow="0" w:firstColumn="0" w:lastColumn="1" w:oddVBand="0" w:evenVBand="0" w:oddHBand="0" w:evenHBand="0" w:firstRowFirstColumn="0" w:firstRowLastColumn="0" w:lastRowFirstColumn="0" w:lastRowLastColumn="0"/>
            <w:tcW w:w="1523" w:type="pct"/>
          </w:tcPr>
          <w:p w14:paraId="7432A439" w14:textId="77777777" w:rsidR="00E30B91" w:rsidRPr="00E30B91" w:rsidRDefault="00E30B91" w:rsidP="00E6209B">
            <w:pPr>
              <w:spacing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20 personas diarias</w:t>
            </w:r>
          </w:p>
        </w:tc>
      </w:tr>
    </w:tbl>
    <w:p w14:paraId="2F492CD0" w14:textId="77777777" w:rsidR="00E30B91" w:rsidRPr="00023A4E" w:rsidRDefault="00E30B91" w:rsidP="00E30B91">
      <w:pPr>
        <w:spacing w:before="1" w:line="360" w:lineRule="auto"/>
        <w:rPr>
          <w:rFonts w:ascii="Century Gothic" w:hAnsi="Century Gothic"/>
          <w:spacing w:val="-4"/>
          <w:sz w:val="22"/>
          <w:szCs w:val="22"/>
        </w:rPr>
      </w:pPr>
      <w:r w:rsidRPr="00023A4E">
        <w:rPr>
          <w:rFonts w:ascii="Century Gothic" w:hAnsi="Century Gothic"/>
          <w:b/>
          <w:bCs/>
          <w:spacing w:val="-4"/>
          <w:sz w:val="22"/>
          <w:szCs w:val="22"/>
        </w:rPr>
        <w:t>Fuente</w:t>
      </w:r>
      <w:r w:rsidRPr="00023A4E">
        <w:rPr>
          <w:rFonts w:ascii="Century Gothic" w:hAnsi="Century Gothic"/>
          <w:spacing w:val="-4"/>
          <w:sz w:val="22"/>
          <w:szCs w:val="22"/>
        </w:rPr>
        <w:t>:</w:t>
      </w:r>
      <w:r w:rsidRPr="00023A4E">
        <w:rPr>
          <w:rFonts w:ascii="Century Gothic" w:hAnsi="Century Gothic"/>
          <w:spacing w:val="-7"/>
          <w:sz w:val="22"/>
          <w:szCs w:val="22"/>
        </w:rPr>
        <w:t xml:space="preserve"> </w:t>
      </w:r>
      <w:r w:rsidRPr="00023A4E">
        <w:rPr>
          <w:rFonts w:ascii="Century Gothic" w:hAnsi="Century Gothic"/>
          <w:spacing w:val="-4"/>
          <w:sz w:val="22"/>
          <w:szCs w:val="22"/>
        </w:rPr>
        <w:t>Municipio</w:t>
      </w:r>
      <w:r w:rsidRPr="00023A4E">
        <w:rPr>
          <w:rFonts w:ascii="Century Gothic" w:hAnsi="Century Gothic"/>
          <w:spacing w:val="-6"/>
          <w:sz w:val="22"/>
          <w:szCs w:val="22"/>
        </w:rPr>
        <w:t xml:space="preserve"> </w:t>
      </w:r>
      <w:r w:rsidRPr="00023A4E">
        <w:rPr>
          <w:rFonts w:ascii="Century Gothic" w:hAnsi="Century Gothic"/>
          <w:spacing w:val="-4"/>
          <w:sz w:val="22"/>
          <w:szCs w:val="22"/>
        </w:rPr>
        <w:t>de</w:t>
      </w:r>
      <w:r w:rsidRPr="00023A4E">
        <w:rPr>
          <w:rFonts w:ascii="Century Gothic" w:hAnsi="Century Gothic"/>
          <w:spacing w:val="-6"/>
          <w:sz w:val="22"/>
          <w:szCs w:val="22"/>
        </w:rPr>
        <w:t xml:space="preserve"> </w:t>
      </w:r>
      <w:r w:rsidRPr="00023A4E">
        <w:rPr>
          <w:rFonts w:ascii="Century Gothic" w:hAnsi="Century Gothic"/>
          <w:spacing w:val="-4"/>
          <w:sz w:val="22"/>
          <w:szCs w:val="22"/>
        </w:rPr>
        <w:t>San</w:t>
      </w:r>
      <w:r w:rsidRPr="00023A4E">
        <w:rPr>
          <w:rFonts w:ascii="Century Gothic" w:hAnsi="Century Gothic"/>
          <w:spacing w:val="-3"/>
          <w:sz w:val="22"/>
          <w:szCs w:val="22"/>
        </w:rPr>
        <w:t xml:space="preserve"> </w:t>
      </w:r>
      <w:r w:rsidRPr="00023A4E">
        <w:rPr>
          <w:rFonts w:ascii="Century Gothic" w:hAnsi="Century Gothic"/>
          <w:spacing w:val="-4"/>
          <w:sz w:val="22"/>
          <w:szCs w:val="22"/>
        </w:rPr>
        <w:t>Antonio</w:t>
      </w:r>
      <w:r w:rsidRPr="00023A4E">
        <w:rPr>
          <w:rFonts w:ascii="Century Gothic" w:hAnsi="Century Gothic"/>
          <w:spacing w:val="-6"/>
          <w:sz w:val="22"/>
          <w:szCs w:val="22"/>
        </w:rPr>
        <w:t xml:space="preserve"> </w:t>
      </w:r>
      <w:r w:rsidRPr="00023A4E">
        <w:rPr>
          <w:rFonts w:ascii="Century Gothic" w:hAnsi="Century Gothic"/>
          <w:spacing w:val="-4"/>
          <w:sz w:val="22"/>
          <w:szCs w:val="22"/>
        </w:rPr>
        <w:t>la</w:t>
      </w:r>
      <w:r w:rsidRPr="00023A4E">
        <w:rPr>
          <w:rFonts w:ascii="Century Gothic" w:hAnsi="Century Gothic"/>
          <w:spacing w:val="-9"/>
          <w:sz w:val="22"/>
          <w:szCs w:val="22"/>
        </w:rPr>
        <w:t xml:space="preserve"> </w:t>
      </w:r>
      <w:r w:rsidRPr="00023A4E">
        <w:rPr>
          <w:rFonts w:ascii="Century Gothic" w:hAnsi="Century Gothic"/>
          <w:spacing w:val="-4"/>
          <w:sz w:val="22"/>
          <w:szCs w:val="22"/>
        </w:rPr>
        <w:t>Isla</w:t>
      </w:r>
      <w:r w:rsidRPr="00023A4E">
        <w:rPr>
          <w:rFonts w:ascii="Century Gothic" w:hAnsi="Century Gothic"/>
          <w:spacing w:val="-9"/>
          <w:sz w:val="22"/>
          <w:szCs w:val="22"/>
        </w:rPr>
        <w:t xml:space="preserve"> </w:t>
      </w:r>
      <w:r w:rsidRPr="00023A4E">
        <w:rPr>
          <w:rFonts w:ascii="Century Gothic" w:hAnsi="Century Gothic"/>
          <w:spacing w:val="-4"/>
          <w:sz w:val="22"/>
          <w:szCs w:val="22"/>
        </w:rPr>
        <w:t>2025-2027</w:t>
      </w:r>
    </w:p>
    <w:p w14:paraId="31D3D37B" w14:textId="77777777" w:rsidR="00E30B91" w:rsidRPr="00E30B91" w:rsidRDefault="00E30B91" w:rsidP="00E30B91">
      <w:pPr>
        <w:widowControl w:val="0"/>
        <w:autoSpaceDE w:val="0"/>
        <w:autoSpaceDN w:val="0"/>
        <w:spacing w:after="0" w:line="360" w:lineRule="auto"/>
        <w:jc w:val="both"/>
        <w:rPr>
          <w:rFonts w:ascii="Century Gothic" w:hAnsi="Century Gothic"/>
          <w:b/>
          <w:color w:val="025850"/>
          <w:sz w:val="22"/>
          <w:szCs w:val="22"/>
        </w:rPr>
      </w:pPr>
      <w:r w:rsidRPr="00E30B91">
        <w:rPr>
          <w:rFonts w:ascii="Century Gothic" w:hAnsi="Century Gothic"/>
          <w:b/>
          <w:color w:val="025850"/>
          <w:sz w:val="22"/>
          <w:szCs w:val="22"/>
        </w:rPr>
        <w:t>Fomento a la cultura y al arte</w:t>
      </w:r>
    </w:p>
    <w:p w14:paraId="2664E004"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La identidad cultural de San Antonio la Isla está profundamente enraizada en las tradiciones y costumbres de las culturas otomí y matlatzinca. Sus habitantes son reconocidos por su destreza en la talla de </w:t>
      </w:r>
      <w:r w:rsidRPr="00023A4E">
        <w:rPr>
          <w:rFonts w:ascii="Century Gothic" w:eastAsia="Times New Roman" w:hAnsi="Century Gothic" w:cs="Times New Roman"/>
          <w:sz w:val="22"/>
          <w:szCs w:val="22"/>
          <w:lang w:eastAsia="es-MX"/>
        </w:rPr>
        <w:lastRenderedPageBreak/>
        <w:t>madera y la creación de artesanías. El origen de este municipio se remonta al contexto histórico del señorío indígena de Calimaya-</w:t>
      </w:r>
      <w:proofErr w:type="spellStart"/>
      <w:r w:rsidRPr="00023A4E">
        <w:rPr>
          <w:rFonts w:ascii="Century Gothic" w:eastAsia="Times New Roman" w:hAnsi="Century Gothic" w:cs="Times New Roman"/>
          <w:sz w:val="22"/>
          <w:szCs w:val="22"/>
          <w:lang w:eastAsia="es-MX"/>
        </w:rPr>
        <w:t>Tepemaxalco</w:t>
      </w:r>
      <w:proofErr w:type="spellEnd"/>
      <w:r w:rsidRPr="00023A4E">
        <w:rPr>
          <w:rFonts w:ascii="Century Gothic" w:eastAsia="Times New Roman" w:hAnsi="Century Gothic" w:cs="Times New Roman"/>
          <w:sz w:val="22"/>
          <w:szCs w:val="22"/>
          <w:lang w:eastAsia="es-MX"/>
        </w:rPr>
        <w:t>, con su territorio consolidado desde la fundación en el siglo XVI.</w:t>
      </w:r>
    </w:p>
    <w:p w14:paraId="06F2B420"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Durante la época colonial, los habitantes lucharon por su autonomía política, logrando consolidarse como municipalidad en 1847, lo que da lugar al festejo anual de su erección.</w:t>
      </w:r>
    </w:p>
    <w:p w14:paraId="27F4EBB8"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Hoy en día, San Antonio la Isla está formado por dos localidades originarias: San Antonio la Isla y San Lucas Tepemajalco. Ambas comunidades, con tradiciones ancestrales otomíes y matlatzincas, se desarrollaron en lo que fue la zona lacustre del Alto Lerma. Además, el municipio ha experimentado un crecimiento demográfico gracias a la implementación de conjuntos habitacionales como el Ex-Rancho San Dimas, La Isla y Villa Los Sauces.</w:t>
      </w:r>
    </w:p>
    <w:p w14:paraId="7A03BF3E"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San Antonio la Isla es un municipio que fusiona lo moderno con lo tradicional. Es reconocido como la cuna del juguete tradicional de madera en la región, destacándose el trabajo de maestros y maestras </w:t>
      </w:r>
      <w:r w:rsidRPr="00023A4E">
        <w:rPr>
          <w:rFonts w:ascii="Century Gothic" w:eastAsia="Times New Roman" w:hAnsi="Century Gothic" w:cs="Times New Roman"/>
          <w:sz w:val="22"/>
          <w:szCs w:val="22"/>
          <w:lang w:eastAsia="es-MX"/>
        </w:rPr>
        <w:t>artesanas, quienes a lo largo de varias generaciones han creado piezas únicas que han alcanzado reconocimiento tanto nacional como internacional. Para rescatar y preservar la identidad cultural de San Antonio la Isla, es posible visitar algunos de los siguientes lugares representativos:</w:t>
      </w:r>
    </w:p>
    <w:p w14:paraId="7CCC9FB6"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Museo Municipal Techialoyan-Tepemaxalco: Este museo es un reflejo de lo antiguo y lo moderno de nuestras tradiciones culturales, convirtiéndose en el "guardián de nuestra memoria". Su objetivo es recordarnos nuestro pasado y ayudarnos a reconocer lo que somos hoy, fortaleciendo el sentido de identidad y el orgullo de los habitantes de este singular rincón del Estado de México. Inaugurado en 2014, el museo fue construido y acondicionado especialmente para albergar el patrimonio cultural del municipio y mostrar su rica historia. En él se exhiben vestigios arqueológicos encontrados en el Ojo de Agua, un importante adoratorio prehispánico del Valle de Toluca. Además, se puede apreciar un códice que narra diferentes pasajes de la historia del municipio, una valiosa colección de piezas elaboradas </w:t>
      </w:r>
      <w:r w:rsidRPr="00023A4E">
        <w:rPr>
          <w:rFonts w:ascii="Century Gothic" w:eastAsia="Times New Roman" w:hAnsi="Century Gothic" w:cs="Times New Roman"/>
          <w:sz w:val="22"/>
          <w:szCs w:val="22"/>
          <w:lang w:eastAsia="es-MX"/>
        </w:rPr>
        <w:lastRenderedPageBreak/>
        <w:t>por los artesanos locales, y un mural monumental pintado por un artista local.</w:t>
      </w:r>
    </w:p>
    <w:p w14:paraId="5118026D"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El museo ofrece actividades lúdicas para visitantes de todas las edades, promoviendo una interacción directa con la cultura e historia de San Antonio la Isla. En su sala de exposiciones también se presentan diversas obras plásticas de artistas locales, regionales e internacionales.</w:t>
      </w:r>
    </w:p>
    <w:p w14:paraId="2121EC70"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Parroquia de San Antonio de Padua: Construida en 1703 por la Orden Franciscana, esta iglesia cuenta con una fachada barroca decorada con alusiones a la laguna de Agua Blanca, un elemento distintivo de la región.</w:t>
      </w:r>
    </w:p>
    <w:p w14:paraId="2D783A30"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La preservación de la cultura: La transmisión de las tradiciones y costumbres de generación en generación es crucial para garantizar que la cultura de San Antonio la Isla continúe viva. La población joven juega un papel fundamental en mantener y dar continuidad a los conocimientos, valores e intereses que caracterizan a la comunidad.</w:t>
      </w:r>
    </w:p>
    <w:p w14:paraId="785D116F" w14:textId="77777777" w:rsidR="00E30B91" w:rsidRPr="00023A4E" w:rsidRDefault="00E30B91" w:rsidP="00E30B91">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La conservación de las tradiciones no solo es importante para la identidad de la población, sino también para permitir que los ciudadanos celebren sus costumbres y valores. Entre las principales tradiciones que se celebran en San Antonio la Isla destacan las fiestas patronales en honor a San Antonio de Padua (13 de junio) y San Lucas Evangelista (18 de octubre). Durante estas fiestas, las calles del municipio se llenan de alegría con paseos de carros alegóricos, danzas de huitos, música, comida tradicional y artesanías locales. La celebración incluye:</w:t>
      </w:r>
    </w:p>
    <w:p w14:paraId="2572D2E6" w14:textId="77777777" w:rsidR="00E30B91" w:rsidRPr="00023A4E" w:rsidRDefault="00E30B91" w:rsidP="00E50CE9">
      <w:pPr>
        <w:numPr>
          <w:ilvl w:val="0"/>
          <w:numId w:val="45"/>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Música y danzas tradicionales: Las bandas locales y las danzas folclóricas ofrecen un espectáculo vibrante que refleja las raíces culturales de San Antonio la Isla.</w:t>
      </w:r>
    </w:p>
    <w:p w14:paraId="411199E5" w14:textId="77777777" w:rsidR="00E30B91" w:rsidRPr="00023A4E" w:rsidRDefault="00E30B91" w:rsidP="00E50CE9">
      <w:pPr>
        <w:numPr>
          <w:ilvl w:val="0"/>
          <w:numId w:val="45"/>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Comida típica: Los platillos tradicionales como tamales, mole y atoles son esenciales en estas festividades, brindando una experiencia sensorial única.</w:t>
      </w:r>
    </w:p>
    <w:p w14:paraId="5B49C5F3" w14:textId="77777777" w:rsidR="00E30B91" w:rsidRPr="00023A4E" w:rsidRDefault="00E30B91" w:rsidP="00E50CE9">
      <w:pPr>
        <w:numPr>
          <w:ilvl w:val="0"/>
          <w:numId w:val="45"/>
        </w:num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Artesanía y comercio: Los puestos de artesanías y productos locales invaden las calles, ofreciendo </w:t>
      </w:r>
      <w:r w:rsidRPr="00023A4E">
        <w:rPr>
          <w:rFonts w:ascii="Century Gothic" w:eastAsia="Times New Roman" w:hAnsi="Century Gothic" w:cs="Times New Roman"/>
          <w:sz w:val="22"/>
          <w:szCs w:val="22"/>
          <w:lang w:eastAsia="es-MX"/>
        </w:rPr>
        <w:lastRenderedPageBreak/>
        <w:t>una oportunidad para adquirir piezas únicas y apoyar la economía local.</w:t>
      </w:r>
    </w:p>
    <w:p w14:paraId="383BDA5D" w14:textId="77777777" w:rsidR="00E30B91" w:rsidRPr="00023A4E" w:rsidRDefault="00E30B91" w:rsidP="00E30B91">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Estas festividades no solo son un testimonio de la vitalidad cultural del municipio, sino que también ayudan a mantener vivas las tradiciones y el espíritu comunitario.</w:t>
      </w:r>
    </w:p>
    <w:p w14:paraId="6B34E884" w14:textId="77777777" w:rsidR="00E30B91" w:rsidRPr="00023A4E" w:rsidRDefault="00E30B91" w:rsidP="00E30B91">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La tradición artesanal: San Antonio la Isla es reconocido por su rica tradición artesanal, transmitida de generación en generación. Los artesanos locales, especializados en la talla de madera, hueso y cuerno, producen juguetes de madera torneada y tallada, como trompos, baleros y pirinolas. Estos juguetes, emblema de la cultura popular mexicana, continúan siendo un testimonio de la creatividad y habilidad de los artesanos de la región, quienes han mantenido viva la magia de la infancia a través de sus creaciones.</w:t>
      </w:r>
    </w:p>
    <w:p w14:paraId="67C8FBC6" w14:textId="77777777" w:rsidR="00E30B91" w:rsidRPr="00023A4E" w:rsidRDefault="00E30B91" w:rsidP="00E30B91">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San Antonio la Isla se encuentra en un punto crucial de su historia, con un pasado profundamente arraigado en la cultura y la tradición, que ahora debe adaptarse a las nuevas realidades del presente. El reto para el futuro es preservar la identidad, las tradiciones y el patrimonio </w:t>
      </w:r>
      <w:r w:rsidRPr="00023A4E">
        <w:rPr>
          <w:rFonts w:ascii="Century Gothic" w:eastAsia="Times New Roman" w:hAnsi="Century Gothic" w:cs="Times New Roman"/>
          <w:sz w:val="22"/>
          <w:szCs w:val="22"/>
          <w:lang w:eastAsia="es-MX"/>
        </w:rPr>
        <w:t>cultural del municipio, al tiempo que se busca un desarrollo integral que beneficie a todos sus habitantes.</w:t>
      </w:r>
    </w:p>
    <w:p w14:paraId="246FC375" w14:textId="05C24CFD" w:rsidR="00E30B91" w:rsidRDefault="00E30B91" w:rsidP="00E30B91">
      <w:pPr>
        <w:spacing w:before="100" w:beforeAutospacing="1" w:after="100" w:afterAutospacing="1" w:line="360" w:lineRule="auto"/>
        <w:ind w:firstLine="360"/>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El turismo cultural, la promoción de la artesanía local y la educación sobre la historia y cultura de San Antonio la Isla son herramientas clave para lograr un futuro próspero, que conserve su esencia y permita que las nuevas generaciones se sientan orgullosas de su herencia.</w:t>
      </w:r>
    </w:p>
    <w:tbl>
      <w:tblPr>
        <w:tblStyle w:val="Tablaconcuadrcula4-nfasis2"/>
        <w:tblW w:w="0" w:type="auto"/>
        <w:tblLayout w:type="fixed"/>
        <w:tblLook w:val="01E0" w:firstRow="1" w:lastRow="1" w:firstColumn="1" w:lastColumn="1" w:noHBand="0" w:noVBand="0"/>
      </w:tblPr>
      <w:tblGrid>
        <w:gridCol w:w="3778"/>
        <w:gridCol w:w="1376"/>
      </w:tblGrid>
      <w:tr w:rsidR="00E30B91" w:rsidRPr="00023A4E" w14:paraId="45061824" w14:textId="77777777" w:rsidTr="00E30B91">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5154" w:type="dxa"/>
            <w:gridSpan w:val="2"/>
          </w:tcPr>
          <w:p w14:paraId="1498CD3B" w14:textId="77777777" w:rsidR="00E30B91" w:rsidRPr="00023A4E" w:rsidRDefault="00E30B91" w:rsidP="00E6209B">
            <w:pPr>
              <w:spacing w:after="160" w:line="360" w:lineRule="auto"/>
              <w:jc w:val="center"/>
              <w:rPr>
                <w:rFonts w:ascii="Century Gothic" w:hAnsi="Century Gothic"/>
                <w:b w:val="0"/>
                <w:bCs w:val="0"/>
                <w:color w:val="000000" w:themeColor="text1"/>
                <w:sz w:val="22"/>
                <w:szCs w:val="22"/>
              </w:rPr>
            </w:pPr>
            <w:r w:rsidRPr="00023A4E">
              <w:rPr>
                <w:rFonts w:ascii="Century Gothic" w:hAnsi="Century Gothic"/>
                <w:sz w:val="22"/>
                <w:szCs w:val="22"/>
              </w:rPr>
              <w:t>Viviendas particulares</w:t>
            </w:r>
          </w:p>
        </w:tc>
      </w:tr>
      <w:tr w:rsidR="00E30B91" w:rsidRPr="00023A4E" w14:paraId="01E0EDE7" w14:textId="77777777" w:rsidTr="00E30B91">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778" w:type="dxa"/>
          </w:tcPr>
          <w:p w14:paraId="15D8F067" w14:textId="77777777" w:rsidR="00E30B91" w:rsidRPr="00E30B91" w:rsidRDefault="00E30B91" w:rsidP="00E6209B">
            <w:pPr>
              <w:spacing w:after="160" w:line="360" w:lineRule="auto"/>
              <w:jc w:val="both"/>
              <w:rPr>
                <w:rFonts w:ascii="Century Gothic" w:hAnsi="Century Gothic"/>
                <w:b w:val="0"/>
                <w:bCs w:val="0"/>
                <w:color w:val="000000" w:themeColor="text1"/>
                <w:sz w:val="22"/>
                <w:szCs w:val="22"/>
              </w:rPr>
            </w:pPr>
            <w:r w:rsidRPr="00E30B91">
              <w:rPr>
                <w:rFonts w:ascii="Century Gothic" w:hAnsi="Century Gothic"/>
                <w:b w:val="0"/>
                <w:bCs w:val="0"/>
                <w:color w:val="000000" w:themeColor="text1"/>
                <w:sz w:val="22"/>
                <w:szCs w:val="22"/>
              </w:rPr>
              <w:t>Densidad de Vivienda</w:t>
            </w:r>
          </w:p>
        </w:tc>
        <w:tc>
          <w:tcPr>
            <w:cnfStyle w:val="000100000000" w:firstRow="0" w:lastRow="0" w:firstColumn="0" w:lastColumn="1" w:oddVBand="0" w:evenVBand="0" w:oddHBand="0" w:evenHBand="0" w:firstRowFirstColumn="0" w:firstRowLastColumn="0" w:lastRowFirstColumn="0" w:lastRowLastColumn="0"/>
            <w:tcW w:w="1376" w:type="dxa"/>
          </w:tcPr>
          <w:p w14:paraId="3E8B524B" w14:textId="77777777" w:rsidR="00E30B91" w:rsidRPr="00E30B91" w:rsidRDefault="00E30B91" w:rsidP="00E6209B">
            <w:pPr>
              <w:spacing w:after="160" w:line="360" w:lineRule="auto"/>
              <w:jc w:val="both"/>
              <w:rPr>
                <w:rFonts w:ascii="Century Gothic" w:hAnsi="Century Gothic"/>
                <w:b w:val="0"/>
                <w:bCs w:val="0"/>
                <w:color w:val="000000" w:themeColor="text1"/>
                <w:sz w:val="22"/>
                <w:szCs w:val="22"/>
              </w:rPr>
            </w:pPr>
            <w:r w:rsidRPr="00E30B91">
              <w:rPr>
                <w:rFonts w:ascii="Century Gothic" w:hAnsi="Century Gothic"/>
                <w:b w:val="0"/>
                <w:bCs w:val="0"/>
                <w:color w:val="000000" w:themeColor="text1"/>
                <w:sz w:val="22"/>
                <w:szCs w:val="22"/>
              </w:rPr>
              <w:t>1,331</w:t>
            </w:r>
          </w:p>
        </w:tc>
      </w:tr>
      <w:tr w:rsidR="00E30B91" w:rsidRPr="00023A4E" w14:paraId="50867AB5" w14:textId="77777777" w:rsidTr="00E30B91">
        <w:trPr>
          <w:cnfStyle w:val="010000000000" w:firstRow="0" w:lastRow="1"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3778" w:type="dxa"/>
          </w:tcPr>
          <w:p w14:paraId="2D13648D" w14:textId="77777777" w:rsidR="00E30B91" w:rsidRPr="00E30B91" w:rsidRDefault="00E30B91" w:rsidP="00E6209B">
            <w:pPr>
              <w:spacing w:after="160" w:line="360" w:lineRule="auto"/>
              <w:jc w:val="both"/>
              <w:rPr>
                <w:rFonts w:ascii="Century Gothic" w:hAnsi="Century Gothic"/>
                <w:b w:val="0"/>
                <w:bCs w:val="0"/>
                <w:color w:val="000000" w:themeColor="text1"/>
                <w:sz w:val="22"/>
                <w:szCs w:val="22"/>
              </w:rPr>
            </w:pPr>
            <w:r w:rsidRPr="00E30B91">
              <w:rPr>
                <w:rFonts w:ascii="Century Gothic" w:hAnsi="Century Gothic"/>
                <w:b w:val="0"/>
                <w:bCs w:val="0"/>
                <w:color w:val="000000" w:themeColor="text1"/>
                <w:sz w:val="22"/>
                <w:szCs w:val="22"/>
              </w:rPr>
              <w:t>Promedio de ocupantes por vivienda</w:t>
            </w:r>
          </w:p>
        </w:tc>
        <w:tc>
          <w:tcPr>
            <w:cnfStyle w:val="000100000000" w:firstRow="0" w:lastRow="0" w:firstColumn="0" w:lastColumn="1" w:oddVBand="0" w:evenVBand="0" w:oddHBand="0" w:evenHBand="0" w:firstRowFirstColumn="0" w:firstRowLastColumn="0" w:lastRowFirstColumn="0" w:lastRowLastColumn="0"/>
            <w:tcW w:w="1376" w:type="dxa"/>
          </w:tcPr>
          <w:p w14:paraId="5C054074" w14:textId="77777777" w:rsidR="00E30B91" w:rsidRPr="00E30B91" w:rsidRDefault="00E30B91" w:rsidP="00E6209B">
            <w:pPr>
              <w:spacing w:after="160" w:line="360" w:lineRule="auto"/>
              <w:jc w:val="both"/>
              <w:rPr>
                <w:rFonts w:ascii="Century Gothic" w:hAnsi="Century Gothic"/>
                <w:b w:val="0"/>
                <w:bCs w:val="0"/>
                <w:color w:val="000000" w:themeColor="text1"/>
                <w:sz w:val="22"/>
                <w:szCs w:val="22"/>
              </w:rPr>
            </w:pPr>
            <w:r w:rsidRPr="00E30B91">
              <w:rPr>
                <w:rFonts w:ascii="Century Gothic" w:hAnsi="Century Gothic"/>
                <w:b w:val="0"/>
                <w:bCs w:val="0"/>
                <w:color w:val="000000" w:themeColor="text1"/>
                <w:sz w:val="22"/>
                <w:szCs w:val="22"/>
              </w:rPr>
              <w:t>3.7</w:t>
            </w:r>
          </w:p>
        </w:tc>
      </w:tr>
    </w:tbl>
    <w:p w14:paraId="5BC7AEA3" w14:textId="77777777" w:rsidR="00E30B91" w:rsidRPr="00E30B91" w:rsidRDefault="00E30B91" w:rsidP="00E30B91">
      <w:pPr>
        <w:spacing w:line="360" w:lineRule="auto"/>
        <w:jc w:val="center"/>
        <w:rPr>
          <w:rFonts w:ascii="Century Gothic" w:hAnsi="Century Gothic"/>
          <w:bCs/>
          <w:color w:val="000000" w:themeColor="text1"/>
          <w:sz w:val="14"/>
          <w:szCs w:val="14"/>
        </w:rPr>
      </w:pPr>
      <w:r w:rsidRPr="00E30B91">
        <w:rPr>
          <w:rFonts w:ascii="Century Gothic" w:hAnsi="Century Gothic"/>
          <w:bCs/>
          <w:color w:val="000000" w:themeColor="text1"/>
          <w:sz w:val="14"/>
          <w:szCs w:val="14"/>
        </w:rPr>
        <w:t>Fuente: IGECEM con información del Censo General de Población y Vivienda 2020</w:t>
      </w:r>
    </w:p>
    <w:p w14:paraId="01AF667D"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Por otro lado, la prestación de los servicios públicos es una responsabilidad del Gobierno Municipal, cuyo objetivo es satisfacer las necesidades básicas y mejorar las condiciones de vida de las comunidades. Para llevar a cabo esta función, el gobierno municipal organiza, administra, coordina y establece relaciones con los usuarios de los servicios, garantizando su acceso y correcto funcionamiento.</w:t>
      </w:r>
    </w:p>
    <w:p w14:paraId="40FB8594"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lastRenderedPageBreak/>
        <w:t>Los servicios públicos municipales son aquellos que, por ley, debe proporcionar la administración municipal y se encuentran establecidos en el artículo 115 de la Constitución Política de los Estados Unidos Mexicanos, en su fracción III. Estos servicios son considerados básicos y de carácter obligatorio, y su responsabilidad recae directamente en el municipio. Entre los servicios incluidos, destacan:</w:t>
      </w:r>
    </w:p>
    <w:p w14:paraId="0C405324" w14:textId="77777777" w:rsidR="00E30B91" w:rsidRPr="00023A4E" w:rsidRDefault="00E30B91" w:rsidP="00E30B91">
      <w:p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a) </w:t>
      </w:r>
      <w:r w:rsidRPr="00E30B91">
        <w:rPr>
          <w:rFonts w:ascii="Century Gothic" w:eastAsia="Times New Roman" w:hAnsi="Century Gothic" w:cs="Times New Roman"/>
          <w:b/>
          <w:bCs/>
          <w:color w:val="025850"/>
          <w:sz w:val="22"/>
          <w:szCs w:val="22"/>
          <w:lang w:eastAsia="es-MX"/>
        </w:rPr>
        <w:t>Agua potable, drenaje, alcantarillado, tratamiento y disposición de aguas residuales.</w:t>
      </w:r>
    </w:p>
    <w:p w14:paraId="1AC2446D" w14:textId="77777777" w:rsidR="00E30B91" w:rsidRPr="00023A4E" w:rsidRDefault="00E30B91" w:rsidP="00E30B91">
      <w:pPr>
        <w:spacing w:before="100" w:beforeAutospacing="1" w:after="100" w:afterAutospacing="1" w:line="360" w:lineRule="auto"/>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De acuerdo con cifras del INEGI de 2020, el 99% de las viviendas en el municipio cuentan con el servicio de agua potable. Actualmente, se abastece a la población </w:t>
      </w:r>
      <w:proofErr w:type="spellStart"/>
      <w:r w:rsidRPr="00023A4E">
        <w:rPr>
          <w:rFonts w:ascii="Century Gothic" w:eastAsia="Times New Roman" w:hAnsi="Century Gothic" w:cs="Times New Roman"/>
          <w:sz w:val="22"/>
          <w:szCs w:val="22"/>
          <w:lang w:eastAsia="es-MX"/>
        </w:rPr>
        <w:t>islense</w:t>
      </w:r>
      <w:proofErr w:type="spellEnd"/>
      <w:r w:rsidRPr="00023A4E">
        <w:rPr>
          <w:rFonts w:ascii="Century Gothic" w:eastAsia="Times New Roman" w:hAnsi="Century Gothic" w:cs="Times New Roman"/>
          <w:sz w:val="22"/>
          <w:szCs w:val="22"/>
          <w:lang w:eastAsia="es-MX"/>
        </w:rPr>
        <w:t xml:space="preserve"> con un total de 3,030,394 m³ de agua a través de cinco pozos. En las zonas donde no se dispone de red de agua o donde la provisión es insuficiente, se entrega el servicio mediante pipas, de manera gratuita.</w:t>
      </w:r>
    </w:p>
    <w:p w14:paraId="29C7D3DA" w14:textId="77777777" w:rsidR="00E30B91" w:rsidRPr="00023A4E" w:rsidRDefault="00E30B91" w:rsidP="00E30B91">
      <w:pPr>
        <w:spacing w:before="100" w:beforeAutospacing="1" w:after="100" w:afterAutospacing="1" w:line="360" w:lineRule="auto"/>
        <w:ind w:firstLine="708"/>
        <w:jc w:val="both"/>
        <w:rPr>
          <w:rFonts w:ascii="Century Gothic" w:eastAsia="Times New Roman" w:hAnsi="Century Gothic" w:cs="Times New Roman"/>
          <w:sz w:val="22"/>
          <w:szCs w:val="22"/>
          <w:lang w:eastAsia="es-MX"/>
        </w:rPr>
      </w:pPr>
      <w:r w:rsidRPr="00023A4E">
        <w:rPr>
          <w:rFonts w:ascii="Century Gothic" w:eastAsia="Times New Roman" w:hAnsi="Century Gothic" w:cs="Times New Roman"/>
          <w:sz w:val="22"/>
          <w:szCs w:val="22"/>
          <w:lang w:eastAsia="es-MX"/>
        </w:rPr>
        <w:t xml:space="preserve">Reconocemos que ofrecer soluciones al rezago en materia de agua potable no es una tarea sencilla. Este desafío requiere implementar soluciones eficientes para el presente, pero también considerar de manera seria las </w:t>
      </w:r>
      <w:r w:rsidRPr="00023A4E">
        <w:rPr>
          <w:rFonts w:ascii="Century Gothic" w:eastAsia="Times New Roman" w:hAnsi="Century Gothic" w:cs="Times New Roman"/>
          <w:sz w:val="22"/>
          <w:szCs w:val="22"/>
          <w:lang w:eastAsia="es-MX"/>
        </w:rPr>
        <w:t>necesidades del futuro. San Antonio la Isla es una población que crece a un ritmo acelerado, lo que implica que la demanda de servicios e infraestructura también está aumentando de manera constante. Actualmente, contamos con un padrón de 4,390 contribuyentes, de los cuales 1,933 tienen una cuota fija y 2,457 reciben el servicio mediante medidor.</w:t>
      </w:r>
    </w:p>
    <w:tbl>
      <w:tblPr>
        <w:tblStyle w:val="Tablaconcuadrcula4-nfasis2"/>
        <w:tblW w:w="6253" w:type="dxa"/>
        <w:tblLayout w:type="fixed"/>
        <w:tblLook w:val="01E0" w:firstRow="1" w:lastRow="1" w:firstColumn="1" w:lastColumn="1" w:noHBand="0" w:noVBand="0"/>
      </w:tblPr>
      <w:tblGrid>
        <w:gridCol w:w="4847"/>
        <w:gridCol w:w="1406"/>
      </w:tblGrid>
      <w:tr w:rsidR="00E30B91" w:rsidRPr="00E30B91" w14:paraId="37779F53" w14:textId="77777777" w:rsidTr="00E30B91">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6253" w:type="dxa"/>
            <w:gridSpan w:val="2"/>
          </w:tcPr>
          <w:p w14:paraId="6137DF1F" w14:textId="77777777" w:rsidR="00E30B91" w:rsidRPr="00E30B91" w:rsidRDefault="00E30B91" w:rsidP="00E6209B">
            <w:pPr>
              <w:spacing w:after="160" w:line="360" w:lineRule="auto"/>
              <w:ind w:firstLine="708"/>
              <w:jc w:val="both"/>
              <w:rPr>
                <w:rFonts w:ascii="Century Gothic" w:hAnsi="Century Gothic"/>
                <w:bCs w:val="0"/>
                <w:color w:val="000000" w:themeColor="text1"/>
                <w:sz w:val="18"/>
                <w:szCs w:val="18"/>
              </w:rPr>
            </w:pPr>
            <w:r w:rsidRPr="00E30B91">
              <w:rPr>
                <w:rFonts w:ascii="Century Gothic" w:hAnsi="Century Gothic"/>
                <w:color w:val="000000" w:themeColor="text1"/>
                <w:sz w:val="18"/>
                <w:szCs w:val="18"/>
              </w:rPr>
              <w:t>Indicadores de servicio de agua potable</w:t>
            </w:r>
          </w:p>
        </w:tc>
      </w:tr>
      <w:tr w:rsidR="00E30B91" w:rsidRPr="00E30B91" w14:paraId="42D74530" w14:textId="77777777" w:rsidTr="00E30B9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7" w:type="dxa"/>
          </w:tcPr>
          <w:p w14:paraId="0327FEAF"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Fuentes de abastecimiento de agua potable</w:t>
            </w:r>
          </w:p>
        </w:tc>
        <w:tc>
          <w:tcPr>
            <w:cnfStyle w:val="000100000000" w:firstRow="0" w:lastRow="0" w:firstColumn="0" w:lastColumn="1" w:oddVBand="0" w:evenVBand="0" w:oddHBand="0" w:evenHBand="0" w:firstRowFirstColumn="0" w:firstRowLastColumn="0" w:lastRowFirstColumn="0" w:lastRowLastColumn="0"/>
            <w:tcW w:w="1406" w:type="dxa"/>
          </w:tcPr>
          <w:p w14:paraId="306236A6"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4</w:t>
            </w:r>
          </w:p>
        </w:tc>
      </w:tr>
      <w:tr w:rsidR="00E30B91" w:rsidRPr="00E30B91" w14:paraId="3FC39575" w14:textId="77777777" w:rsidTr="00E30B91">
        <w:trPr>
          <w:trHeight w:val="214"/>
        </w:trPr>
        <w:tc>
          <w:tcPr>
            <w:cnfStyle w:val="001000000000" w:firstRow="0" w:lastRow="0" w:firstColumn="1" w:lastColumn="0" w:oddVBand="0" w:evenVBand="0" w:oddHBand="0" w:evenHBand="0" w:firstRowFirstColumn="0" w:firstRowLastColumn="0" w:lastRowFirstColumn="0" w:lastRowLastColumn="0"/>
            <w:tcW w:w="4847" w:type="dxa"/>
          </w:tcPr>
          <w:p w14:paraId="57862CD6"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Estaciones de bombeo</w:t>
            </w:r>
          </w:p>
        </w:tc>
        <w:tc>
          <w:tcPr>
            <w:cnfStyle w:val="000100000000" w:firstRow="0" w:lastRow="0" w:firstColumn="0" w:lastColumn="1" w:oddVBand="0" w:evenVBand="0" w:oddHBand="0" w:evenHBand="0" w:firstRowFirstColumn="0" w:firstRowLastColumn="0" w:lastRowFirstColumn="0" w:lastRowLastColumn="0"/>
            <w:tcW w:w="1406" w:type="dxa"/>
          </w:tcPr>
          <w:p w14:paraId="5172E4E2"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7</w:t>
            </w:r>
          </w:p>
        </w:tc>
      </w:tr>
      <w:tr w:rsidR="00E30B91" w:rsidRPr="00E30B91" w14:paraId="20D20910" w14:textId="77777777" w:rsidTr="00E30B9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847" w:type="dxa"/>
          </w:tcPr>
          <w:p w14:paraId="4D497DCC"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Líneas de conducción</w:t>
            </w:r>
          </w:p>
        </w:tc>
        <w:tc>
          <w:tcPr>
            <w:cnfStyle w:val="000100000000" w:firstRow="0" w:lastRow="0" w:firstColumn="0" w:lastColumn="1" w:oddVBand="0" w:evenVBand="0" w:oddHBand="0" w:evenHBand="0" w:firstRowFirstColumn="0" w:firstRowLastColumn="0" w:lastRowFirstColumn="0" w:lastRowLastColumn="0"/>
            <w:tcW w:w="1406" w:type="dxa"/>
          </w:tcPr>
          <w:p w14:paraId="176BE237"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4</w:t>
            </w:r>
          </w:p>
        </w:tc>
      </w:tr>
      <w:tr w:rsidR="00E30B91" w:rsidRPr="00E30B91" w14:paraId="171FD666" w14:textId="77777777" w:rsidTr="00E30B91">
        <w:trPr>
          <w:trHeight w:val="428"/>
        </w:trPr>
        <w:tc>
          <w:tcPr>
            <w:cnfStyle w:val="001000000000" w:firstRow="0" w:lastRow="0" w:firstColumn="1" w:lastColumn="0" w:oddVBand="0" w:evenVBand="0" w:oddHBand="0" w:evenHBand="0" w:firstRowFirstColumn="0" w:firstRowLastColumn="0" w:lastRowFirstColumn="0" w:lastRowLastColumn="0"/>
            <w:tcW w:w="4847" w:type="dxa"/>
          </w:tcPr>
          <w:p w14:paraId="34B25D51"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Tanques de almacenamiento superficial y elevado</w:t>
            </w:r>
          </w:p>
        </w:tc>
        <w:tc>
          <w:tcPr>
            <w:cnfStyle w:val="000100000000" w:firstRow="0" w:lastRow="0" w:firstColumn="0" w:lastColumn="1" w:oddVBand="0" w:evenVBand="0" w:oddHBand="0" w:evenHBand="0" w:firstRowFirstColumn="0" w:firstRowLastColumn="0" w:lastRowFirstColumn="0" w:lastRowLastColumn="0"/>
            <w:tcW w:w="1406" w:type="dxa"/>
          </w:tcPr>
          <w:p w14:paraId="39B2B03D"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10</w:t>
            </w:r>
          </w:p>
        </w:tc>
      </w:tr>
      <w:tr w:rsidR="00E30B91" w:rsidRPr="00E30B91" w14:paraId="56D631BA" w14:textId="77777777" w:rsidTr="00E30B91">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7" w:type="dxa"/>
          </w:tcPr>
          <w:p w14:paraId="3B70D069"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Red de distribución primaria y secundaria</w:t>
            </w:r>
          </w:p>
        </w:tc>
        <w:tc>
          <w:tcPr>
            <w:cnfStyle w:val="000100000000" w:firstRow="0" w:lastRow="0" w:firstColumn="0" w:lastColumn="1" w:oddVBand="0" w:evenVBand="0" w:oddHBand="0" w:evenHBand="0" w:firstRowFirstColumn="0" w:firstRowLastColumn="0" w:lastRowFirstColumn="0" w:lastRowLastColumn="0"/>
            <w:tcW w:w="1406" w:type="dxa"/>
          </w:tcPr>
          <w:p w14:paraId="71F81F50"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4</w:t>
            </w:r>
          </w:p>
        </w:tc>
      </w:tr>
      <w:tr w:rsidR="00E30B91" w:rsidRPr="00E30B91" w14:paraId="010F3F7D" w14:textId="77777777" w:rsidTr="00E30B91">
        <w:trPr>
          <w:trHeight w:val="214"/>
        </w:trPr>
        <w:tc>
          <w:tcPr>
            <w:cnfStyle w:val="001000000000" w:firstRow="0" w:lastRow="0" w:firstColumn="1" w:lastColumn="0" w:oddVBand="0" w:evenVBand="0" w:oddHBand="0" w:evenHBand="0" w:firstRowFirstColumn="0" w:firstRowLastColumn="0" w:lastRowFirstColumn="0" w:lastRowLastColumn="0"/>
            <w:tcW w:w="4847" w:type="dxa"/>
          </w:tcPr>
          <w:p w14:paraId="723E9B89"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Localidades con acceso a agua potable</w:t>
            </w:r>
          </w:p>
        </w:tc>
        <w:tc>
          <w:tcPr>
            <w:cnfStyle w:val="000100000000" w:firstRow="0" w:lastRow="0" w:firstColumn="0" w:lastColumn="1" w:oddVBand="0" w:evenVBand="0" w:oddHBand="0" w:evenHBand="0" w:firstRowFirstColumn="0" w:firstRowLastColumn="0" w:lastRowFirstColumn="0" w:lastRowLastColumn="0"/>
            <w:tcW w:w="1406" w:type="dxa"/>
          </w:tcPr>
          <w:p w14:paraId="66E1D758"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2</w:t>
            </w:r>
          </w:p>
        </w:tc>
      </w:tr>
      <w:tr w:rsidR="00E30B91" w:rsidRPr="00E30B91" w14:paraId="50F73F4B" w14:textId="77777777" w:rsidTr="00E30B91">
        <w:trPr>
          <w:cnfStyle w:val="010000000000" w:firstRow="0" w:lastRow="1"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4847" w:type="dxa"/>
          </w:tcPr>
          <w:p w14:paraId="41033CD5" w14:textId="77777777" w:rsidR="00E30B91" w:rsidRPr="00E30B91" w:rsidRDefault="00E30B91" w:rsidP="00E30B91">
            <w:pPr>
              <w:spacing w:after="160" w:line="360" w:lineRule="auto"/>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Localidades sin acceso a agua potable</w:t>
            </w:r>
          </w:p>
        </w:tc>
        <w:tc>
          <w:tcPr>
            <w:cnfStyle w:val="000100000000" w:firstRow="0" w:lastRow="0" w:firstColumn="0" w:lastColumn="1" w:oddVBand="0" w:evenVBand="0" w:oddHBand="0" w:evenHBand="0" w:firstRowFirstColumn="0" w:firstRowLastColumn="0" w:lastRowFirstColumn="0" w:lastRowLastColumn="0"/>
            <w:tcW w:w="1406" w:type="dxa"/>
          </w:tcPr>
          <w:p w14:paraId="3441877B" w14:textId="77777777" w:rsidR="00E30B91" w:rsidRPr="00E30B91" w:rsidRDefault="00E30B91" w:rsidP="00E6209B">
            <w:pPr>
              <w:spacing w:after="160" w:line="360" w:lineRule="auto"/>
              <w:ind w:firstLine="708"/>
              <w:jc w:val="both"/>
              <w:rPr>
                <w:rFonts w:ascii="Century Gothic" w:hAnsi="Century Gothic"/>
                <w:b w:val="0"/>
                <w:bCs w:val="0"/>
                <w:color w:val="000000" w:themeColor="text1"/>
                <w:sz w:val="18"/>
                <w:szCs w:val="18"/>
              </w:rPr>
            </w:pPr>
            <w:r w:rsidRPr="00E30B91">
              <w:rPr>
                <w:rFonts w:ascii="Century Gothic" w:hAnsi="Century Gothic"/>
                <w:b w:val="0"/>
                <w:bCs w:val="0"/>
                <w:color w:val="000000" w:themeColor="text1"/>
                <w:sz w:val="18"/>
                <w:szCs w:val="18"/>
              </w:rPr>
              <w:t>1</w:t>
            </w:r>
          </w:p>
        </w:tc>
      </w:tr>
    </w:tbl>
    <w:p w14:paraId="0A102981" w14:textId="2A5E8362" w:rsidR="00E30B91" w:rsidRDefault="00E30B91" w:rsidP="00E30B91">
      <w:pPr>
        <w:spacing w:after="100" w:afterAutospacing="1" w:line="240" w:lineRule="auto"/>
        <w:jc w:val="both"/>
        <w:rPr>
          <w:rFonts w:ascii="Century Gothic" w:hAnsi="Century Gothic"/>
          <w:bCs/>
          <w:color w:val="000000" w:themeColor="text1"/>
          <w:sz w:val="18"/>
          <w:szCs w:val="18"/>
        </w:rPr>
      </w:pPr>
      <w:r w:rsidRPr="00E30B91">
        <w:rPr>
          <w:rFonts w:ascii="Century Gothic" w:hAnsi="Century Gothic"/>
          <w:color w:val="000000" w:themeColor="text1"/>
          <w:sz w:val="18"/>
          <w:szCs w:val="18"/>
        </w:rPr>
        <w:t>Fuente</w:t>
      </w:r>
      <w:r w:rsidRPr="00E30B91">
        <w:rPr>
          <w:rFonts w:ascii="Century Gothic" w:hAnsi="Century Gothic"/>
          <w:bCs/>
          <w:color w:val="000000" w:themeColor="text1"/>
          <w:sz w:val="18"/>
          <w:szCs w:val="18"/>
        </w:rPr>
        <w:t>: Municipio de San Antonio La Isla 2025-2027</w:t>
      </w:r>
    </w:p>
    <w:p w14:paraId="06E30D43" w14:textId="4F8081D4" w:rsidR="00E30B91" w:rsidRDefault="00E30B91">
      <w:pPr>
        <w:rPr>
          <w:rFonts w:ascii="Century Gothic" w:hAnsi="Century Gothic"/>
          <w:bCs/>
          <w:color w:val="000000" w:themeColor="text1"/>
          <w:sz w:val="18"/>
          <w:szCs w:val="18"/>
        </w:rPr>
      </w:pPr>
      <w:r>
        <w:rPr>
          <w:rFonts w:ascii="Century Gothic" w:hAnsi="Century Gothic"/>
          <w:bCs/>
          <w:color w:val="000000" w:themeColor="text1"/>
          <w:sz w:val="18"/>
          <w:szCs w:val="18"/>
        </w:rPr>
        <w:br w:type="page"/>
      </w:r>
    </w:p>
    <w:p w14:paraId="54E47193" w14:textId="77777777"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lastRenderedPageBreak/>
        <w:t>La captación de agua pluvial en el municipio es una de las principales soluciones para enfrentar la escasez de agua. Esta medida no solo permite un ahorro significativo en el consumo de agua, sino que también tiene beneficios económicos. Los puntos de captación más importantes son:</w:t>
      </w:r>
    </w:p>
    <w:p w14:paraId="5AE60A6A"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Cauce a cielo abierto Las Palmas, al sur del Fraccionamiento Los Sauces.</w:t>
      </w:r>
    </w:p>
    <w:p w14:paraId="462A6192"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 Cauce de canal a cielo abierto, calle Niños Héroes, parte norte de la cabecera municipal.</w:t>
      </w:r>
    </w:p>
    <w:p w14:paraId="62EDE871"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 Captación de drenaje pluvial en la parte oriente de la calle Benito Juárez, en la colonia Cuauhtémoc.</w:t>
      </w:r>
    </w:p>
    <w:p w14:paraId="5BFB1F0D"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 Canal a cielo abierto en la calle 5 de Mayo, parte oriente de la Colonia Sánchez Colín.</w:t>
      </w:r>
    </w:p>
    <w:p w14:paraId="4BE3140F"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 Canal a cielo abierto en los límites del Fraccionamiento La Isla, parte norte y sur del Fraccionamiento Ex Rancho San Dimas.</w:t>
      </w:r>
    </w:p>
    <w:p w14:paraId="61855139"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Desemboque de agua pluvial en las calles San Judas Tadeo y San Juan Gualberto, en el Fraccionamiento Ex Rancho San Dimas.</w:t>
      </w:r>
    </w:p>
    <w:p w14:paraId="5289E660"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Captación de aguas pluviales en la calle cercana al Megacable, en el Fracc. Ex Rancho San Dimas.</w:t>
      </w:r>
    </w:p>
    <w:p w14:paraId="0F57D595"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 Captación de agua pluvial en el puente vehicular, Centro Comercial Garis.</w:t>
      </w:r>
    </w:p>
    <w:p w14:paraId="37A96D67"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Captación de aguas pluviales en la calle Río Lerma, en la parte oriente del Fraccionamiento Villas Los Sauces.</w:t>
      </w:r>
    </w:p>
    <w:p w14:paraId="79D6CBB3" w14:textId="77777777" w:rsidR="00E30B91" w:rsidRPr="00023A4E" w:rsidRDefault="00E30B91" w:rsidP="00E50CE9">
      <w:pPr>
        <w:pStyle w:val="Prrafodelista"/>
        <w:widowControl w:val="0"/>
        <w:numPr>
          <w:ilvl w:val="1"/>
          <w:numId w:val="46"/>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 Captación de agua pluvial en el puente vehicular de entrada principal de la delegación de San Lucas Tepemajalco.</w:t>
      </w:r>
    </w:p>
    <w:p w14:paraId="40519693" w14:textId="77777777" w:rsidR="00E30B91" w:rsidRPr="00023A4E" w:rsidRDefault="00E30B91" w:rsidP="00E30B91">
      <w:pPr>
        <w:pStyle w:val="Prrafodelista"/>
        <w:spacing w:line="360" w:lineRule="auto"/>
        <w:ind w:left="1440"/>
        <w:jc w:val="both"/>
        <w:rPr>
          <w:rFonts w:ascii="Century Gothic" w:hAnsi="Century Gothic"/>
          <w:sz w:val="22"/>
          <w:szCs w:val="22"/>
        </w:rPr>
      </w:pPr>
    </w:p>
    <w:p w14:paraId="150A6BAF" w14:textId="77777777" w:rsidR="00E30B91" w:rsidRPr="00023A4E" w:rsidRDefault="00E30B91" w:rsidP="00E30B91">
      <w:pPr>
        <w:spacing w:line="360" w:lineRule="auto"/>
        <w:ind w:firstLine="360"/>
        <w:jc w:val="both"/>
        <w:rPr>
          <w:rFonts w:ascii="Century Gothic" w:hAnsi="Century Gothic"/>
          <w:sz w:val="22"/>
          <w:szCs w:val="22"/>
        </w:rPr>
      </w:pPr>
      <w:r w:rsidRPr="00023A4E">
        <w:rPr>
          <w:rFonts w:ascii="Century Gothic" w:hAnsi="Century Gothic"/>
          <w:sz w:val="22"/>
          <w:szCs w:val="22"/>
        </w:rPr>
        <w:t xml:space="preserve">Contar con un sistema adecuado de drenaje es uno de los pilares fundamentales de la administración actual. En el municipio, el 99% de las viviendas cuentan con drenaje sanitario. Sin embargo, la infraestructura existente se compone de un sistema de alcantarillado combinado (sanitario y pluvial), lo cual genera problemas en temporadas de lluvia. En algunas zonas bajas del municipio, se presentan encharcamientos debido a la saturación del drenaje. Además, en algunas localidades se identifican inundaciones causadas por la saturación </w:t>
      </w:r>
      <w:r w:rsidRPr="00023A4E">
        <w:rPr>
          <w:rFonts w:ascii="Century Gothic" w:hAnsi="Century Gothic"/>
          <w:sz w:val="22"/>
          <w:szCs w:val="22"/>
        </w:rPr>
        <w:lastRenderedPageBreak/>
        <w:t>de aguas servidas y pluviales en los canales a cielo abierto, lo que pone en riesgo a las personas. Algunas de estas localidades incluyen:</w:t>
      </w:r>
    </w:p>
    <w:p w14:paraId="4BD1C9BA" w14:textId="77777777" w:rsidR="00E30B91" w:rsidRPr="00023A4E" w:rsidRDefault="00E30B91" w:rsidP="00E50CE9">
      <w:pPr>
        <w:pStyle w:val="Prrafodelista"/>
        <w:widowControl w:val="0"/>
        <w:numPr>
          <w:ilvl w:val="0"/>
          <w:numId w:val="47"/>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La colonia Sánchez Colín, parte sureste de la delegación municipal de San Lucas Tepemajalco.</w:t>
      </w:r>
    </w:p>
    <w:p w14:paraId="4A34C467" w14:textId="77777777" w:rsidR="00E30B91" w:rsidRPr="00023A4E" w:rsidRDefault="00E30B91" w:rsidP="00E50CE9">
      <w:pPr>
        <w:pStyle w:val="Prrafodelista"/>
        <w:widowControl w:val="0"/>
        <w:numPr>
          <w:ilvl w:val="0"/>
          <w:numId w:val="47"/>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Puente vehicular Garis.</w:t>
      </w:r>
    </w:p>
    <w:p w14:paraId="655F8978" w14:textId="77777777" w:rsidR="00E30B91" w:rsidRPr="00023A4E" w:rsidRDefault="00E30B91" w:rsidP="00E50CE9">
      <w:pPr>
        <w:pStyle w:val="Prrafodelista"/>
        <w:widowControl w:val="0"/>
        <w:numPr>
          <w:ilvl w:val="0"/>
          <w:numId w:val="47"/>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Calle San Juan Gualberto y San Judas Tadeo en la parte oriente del Fraccionamiento Ex Rancho San Dimas y parte oriente de la calle San Dimas Boulevard.</w:t>
      </w:r>
    </w:p>
    <w:p w14:paraId="1D29A992" w14:textId="77777777" w:rsidR="00E30B91" w:rsidRPr="00023A4E" w:rsidRDefault="00E30B91" w:rsidP="00E30B91">
      <w:pPr>
        <w:pStyle w:val="Prrafodelista"/>
        <w:spacing w:line="360" w:lineRule="auto"/>
        <w:jc w:val="both"/>
        <w:rPr>
          <w:rFonts w:ascii="Century Gothic" w:hAnsi="Century Gothic"/>
          <w:sz w:val="22"/>
          <w:szCs w:val="22"/>
        </w:rPr>
      </w:pPr>
    </w:p>
    <w:p w14:paraId="59E34EF0" w14:textId="4705D11B" w:rsidR="00E30B91" w:rsidRPr="00023A4E" w:rsidRDefault="00E30B91" w:rsidP="00E30B91">
      <w:pPr>
        <w:spacing w:line="360" w:lineRule="auto"/>
        <w:ind w:firstLine="360"/>
        <w:jc w:val="both"/>
        <w:rPr>
          <w:rFonts w:ascii="Century Gothic" w:hAnsi="Century Gothic"/>
          <w:sz w:val="22"/>
          <w:szCs w:val="22"/>
        </w:rPr>
      </w:pPr>
      <w:r w:rsidRPr="00023A4E">
        <w:rPr>
          <w:rFonts w:ascii="Century Gothic" w:hAnsi="Century Gothic"/>
          <w:sz w:val="22"/>
          <w:szCs w:val="22"/>
        </w:rPr>
        <w:t>El diagnóstico revela que una de las causas principales de estos problemas es la falta de mantenimiento y limpieza de las tuberías y canales a cielo abierto, lo cual reduce la sección hidráulica, generando taponamientos y desbordamientos, afectando así las zonas cercanas.</w:t>
      </w:r>
    </w:p>
    <w:p w14:paraId="54B7FCDB" w14:textId="4533CA2E" w:rsidR="00E30B91" w:rsidRPr="00023A4E" w:rsidRDefault="00E30B91" w:rsidP="00E30B91">
      <w:pPr>
        <w:spacing w:line="360" w:lineRule="auto"/>
        <w:ind w:firstLine="360"/>
        <w:jc w:val="both"/>
        <w:rPr>
          <w:rFonts w:ascii="Century Gothic" w:hAnsi="Century Gothic"/>
          <w:sz w:val="22"/>
          <w:szCs w:val="22"/>
        </w:rPr>
      </w:pPr>
      <w:r w:rsidRPr="00023A4E">
        <w:rPr>
          <w:rFonts w:ascii="Century Gothic" w:hAnsi="Century Gothic"/>
          <w:sz w:val="22"/>
          <w:szCs w:val="22"/>
        </w:rPr>
        <w:t xml:space="preserve">En cuanto al tratamiento de aguas residuales industriales, la entidad cuenta con 262 plantas de tratamiento con una capacidad instalada de 3.07 m³/s. Sin embargo, la cobertura del tratamiento de aguas </w:t>
      </w:r>
      <w:r w:rsidRPr="00023A4E">
        <w:rPr>
          <w:rFonts w:ascii="Century Gothic" w:hAnsi="Century Gothic"/>
          <w:sz w:val="22"/>
          <w:szCs w:val="22"/>
        </w:rPr>
        <w:t>residuales no supera el 30%, lo cual representa una oportunidad importante de mejora para el municipio. San Antonio la Isla cuenta con tres plantas de tratamiento, pero actualmente están fuera de operación. Estas se ubican en la cabecera municipal, en el Fraccionamiento Villas Los Sauces y en el Fraccionamiento Ex Rancho San Dimas.</w:t>
      </w:r>
    </w:p>
    <w:p w14:paraId="2067FAAD" w14:textId="6EE02A96" w:rsidR="00E30B91" w:rsidRPr="00E30B91" w:rsidRDefault="00E30B91" w:rsidP="00E30B91">
      <w:pPr>
        <w:spacing w:line="360" w:lineRule="auto"/>
        <w:jc w:val="both"/>
        <w:rPr>
          <w:rFonts w:ascii="Century Gothic" w:hAnsi="Century Gothic"/>
          <w:b/>
          <w:bCs/>
          <w:color w:val="025850"/>
          <w:sz w:val="22"/>
          <w:szCs w:val="22"/>
        </w:rPr>
      </w:pPr>
      <w:r w:rsidRPr="00E30B91">
        <w:rPr>
          <w:rFonts w:ascii="Century Gothic" w:hAnsi="Century Gothic"/>
          <w:b/>
          <w:bCs/>
          <w:color w:val="025850"/>
          <w:sz w:val="22"/>
          <w:szCs w:val="22"/>
        </w:rPr>
        <w:t>b) Alumbrado Público</w:t>
      </w:r>
    </w:p>
    <w:p w14:paraId="6F364A66" w14:textId="28CEC191"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El servicio de alumbrado público consiste en la provisión de iluminación artificial en espacios públicos, calles y vialidades, y es fundamental para la convivencia comunitaria. Además, está directamente relacionado con la seguridad, ya que, a mayor iluminación, menor es la probabilidad de incidencia delictiva.</w:t>
      </w:r>
    </w:p>
    <w:p w14:paraId="0CF19FD2" w14:textId="691E5DE1"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 xml:space="preserve">De acuerdo con el mandato constitucional, corresponde al gobierno municipal proveer este servicio. A nivel nacional, la cobertura del servicio de alumbrado público es del 78.96% en las cabeceras municipales y del 56.73% en el resto de los territorios municipales. En San Antonio la Isla, el censo de luminarias realizado en 2018, en coordinación con la Comisión Federal de Electricidad </w:t>
      </w:r>
      <w:r w:rsidRPr="00023A4E">
        <w:rPr>
          <w:rFonts w:ascii="Century Gothic" w:hAnsi="Century Gothic"/>
          <w:sz w:val="22"/>
          <w:szCs w:val="22"/>
        </w:rPr>
        <w:lastRenderedPageBreak/>
        <w:t>y el Ayuntamiento, arrojó que existen alrededor de 2,269 luminarias instaladas en todo el municipio. La conducción y distribución de energía eléctrica está a cargo de la Comisión Federal de Electricidad (CFE).</w:t>
      </w:r>
    </w:p>
    <w:p w14:paraId="2C8CE40D" w14:textId="77777777" w:rsidR="00E30B91" w:rsidRPr="00023A4E" w:rsidRDefault="00E30B91" w:rsidP="00E30B91">
      <w:pPr>
        <w:spacing w:line="360" w:lineRule="auto"/>
        <w:jc w:val="both"/>
        <w:rPr>
          <w:rFonts w:ascii="Century Gothic" w:hAnsi="Century Gothic"/>
          <w:sz w:val="22"/>
          <w:szCs w:val="22"/>
        </w:rPr>
      </w:pPr>
      <w:r w:rsidRPr="00023A4E">
        <w:rPr>
          <w:rFonts w:ascii="Century Gothic" w:hAnsi="Century Gothic"/>
          <w:sz w:val="22"/>
          <w:szCs w:val="22"/>
        </w:rPr>
        <w:t xml:space="preserve">c) </w:t>
      </w:r>
      <w:r w:rsidRPr="00E30B91">
        <w:rPr>
          <w:rFonts w:ascii="Century Gothic" w:hAnsi="Century Gothic"/>
          <w:b/>
          <w:bCs/>
          <w:color w:val="025850"/>
          <w:sz w:val="22"/>
          <w:szCs w:val="22"/>
        </w:rPr>
        <w:t>Limpia, Recolección, Traslado, Tratamiento y Disposición Final de Residuos</w:t>
      </w:r>
    </w:p>
    <w:p w14:paraId="3BA99266" w14:textId="77777777"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Uno de los problemas más graves en San Antonio la Isla es la recolección de residuos sólidos, especialmente en las zonas limítrofes, donde los residuos se encuentran a cielo abierto o en los cauces de las barrancas. Esta situación genera contaminación tanto atmosférica como en los mantos freáticos.</w:t>
      </w:r>
    </w:p>
    <w:p w14:paraId="7362386E" w14:textId="77777777"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El crecimiento poblacional ha exacerbado esta problemática. Actualmente, el municipio cuenta con 41,105 habitantes, quienes generan entre 25 y 27 toneladas de residuos domésticos y de servicios al día. Para hacer frente a esta situación, se adquirió un camión recolector de residuos sólidos con una capacidad de 10 toneladas. Asimismo, se dispone de tres unidades recolectoras y tres personas encargadas de esta actividad.</w:t>
      </w:r>
    </w:p>
    <w:p w14:paraId="02D2434E" w14:textId="4D04631E"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San Antonio la Isla también cuenta con un relleno sanitario ubicado en Camino de los Cruzados, San Antonio la Isla, colindante con el Camino Viejo a Calimaya. En este lugar, se lleva a cabo la separación y manejo de residuos, y el relleno sanitario cuenta con las licencias de funcionamiento y de uso de suelo, así como con dictámenes de impacto regional, protección civil y visitas de jurisdicción sanitaria.</w:t>
      </w:r>
    </w:p>
    <w:p w14:paraId="7E61F099" w14:textId="3C5B62B2" w:rsidR="00E30B91" w:rsidRPr="00E30B91" w:rsidRDefault="00E30B91" w:rsidP="00E30B91">
      <w:pPr>
        <w:spacing w:line="360" w:lineRule="auto"/>
        <w:jc w:val="both"/>
        <w:rPr>
          <w:rFonts w:ascii="Century Gothic" w:hAnsi="Century Gothic"/>
          <w:b/>
          <w:bCs/>
          <w:color w:val="025850"/>
          <w:sz w:val="22"/>
          <w:szCs w:val="22"/>
        </w:rPr>
      </w:pPr>
      <w:r w:rsidRPr="00E30B91">
        <w:rPr>
          <w:rFonts w:ascii="Century Gothic" w:hAnsi="Century Gothic"/>
          <w:b/>
          <w:bCs/>
          <w:color w:val="025850"/>
          <w:sz w:val="22"/>
          <w:szCs w:val="22"/>
        </w:rPr>
        <w:t>d) Mercados y Centrales de Abasto</w:t>
      </w:r>
    </w:p>
    <w:p w14:paraId="0E582967" w14:textId="77777777" w:rsidR="00E30B91" w:rsidRPr="00023A4E"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El comercio tradicional en San Antonio la Isla se realiza principalmente en mercados públicos, que se han establecido en espacios como calles, pasillos y banquetas. Sin embargo, estos mercados presentan condiciones inadecuadas, como la falta de infraestructura para la conservación de productos perecederos y la ausencia de estacionamientos adecuados. Además, la falta de mecanismos de regulación y proyectos eficientes de reordenamiento ha favorecido el asentamiento del comercio informal, afectando las vialidades.</w:t>
      </w:r>
    </w:p>
    <w:p w14:paraId="49973BBC" w14:textId="18E6169E" w:rsidR="00E30B91" w:rsidRPr="00023A4E" w:rsidRDefault="00E30B91" w:rsidP="00E30B91">
      <w:pPr>
        <w:spacing w:line="360" w:lineRule="auto"/>
        <w:jc w:val="both"/>
        <w:rPr>
          <w:rFonts w:ascii="Century Gothic" w:hAnsi="Century Gothic"/>
          <w:sz w:val="22"/>
          <w:szCs w:val="22"/>
        </w:rPr>
      </w:pPr>
      <w:r w:rsidRPr="00023A4E">
        <w:rPr>
          <w:rFonts w:ascii="Century Gothic" w:hAnsi="Century Gothic"/>
          <w:sz w:val="22"/>
          <w:szCs w:val="22"/>
        </w:rPr>
        <w:lastRenderedPageBreak/>
        <w:t>Es esencial crear condiciones adecuadas para que el comercio formal, debidamente registrado, sea regulado y ordenado, lo que beneficiará tanto las actividades comerciales como la movilidad urbana.</w:t>
      </w:r>
    </w:p>
    <w:p w14:paraId="05995554" w14:textId="4DFE579B" w:rsidR="00E30B91" w:rsidRPr="00E30B91" w:rsidRDefault="00E30B91" w:rsidP="00E30B91">
      <w:pPr>
        <w:spacing w:line="360" w:lineRule="auto"/>
        <w:jc w:val="both"/>
        <w:rPr>
          <w:rFonts w:ascii="Century Gothic" w:hAnsi="Century Gothic"/>
          <w:b/>
          <w:bCs/>
          <w:color w:val="025850"/>
          <w:sz w:val="22"/>
          <w:szCs w:val="22"/>
        </w:rPr>
      </w:pPr>
      <w:r w:rsidRPr="00E30B91">
        <w:rPr>
          <w:rFonts w:ascii="Century Gothic" w:hAnsi="Century Gothic"/>
          <w:b/>
          <w:bCs/>
          <w:color w:val="025850"/>
          <w:sz w:val="22"/>
          <w:szCs w:val="22"/>
        </w:rPr>
        <w:t>e) Panteones</w:t>
      </w:r>
    </w:p>
    <w:p w14:paraId="666B1EA0" w14:textId="1B008958" w:rsidR="00E30B91" w:rsidRDefault="00E30B91" w:rsidP="00E30B91">
      <w:pPr>
        <w:spacing w:line="360" w:lineRule="auto"/>
        <w:ind w:firstLine="708"/>
        <w:jc w:val="both"/>
        <w:rPr>
          <w:rFonts w:ascii="Century Gothic" w:hAnsi="Century Gothic"/>
          <w:sz w:val="22"/>
          <w:szCs w:val="22"/>
        </w:rPr>
      </w:pPr>
      <w:r w:rsidRPr="00023A4E">
        <w:rPr>
          <w:rFonts w:ascii="Century Gothic" w:hAnsi="Century Gothic"/>
          <w:sz w:val="22"/>
          <w:szCs w:val="22"/>
        </w:rPr>
        <w:t>Los panteones son equipamientos esenciales donde los habitantes acuden para sepultar o cremar a sus seres queridos. En los últimos años, la demanda de servicios de inhumación ha aumentado, lo que ha provocado que el panteón municipal llegue a su capacidad máxima. Además, el personal y los recursos disponibles para brindar estos servicios son limitados, lo que dificulta realizar actividades como jornadas de limpieza y otras labores de apoyo a los habitantes, especialmente en fechas significativas.</w:t>
      </w:r>
    </w:p>
    <w:p w14:paraId="7EA1BD32" w14:textId="1DE42B44" w:rsidR="00E30B91" w:rsidRDefault="00E30B91" w:rsidP="00E30B91">
      <w:pPr>
        <w:spacing w:line="360" w:lineRule="auto"/>
        <w:ind w:firstLine="708"/>
        <w:jc w:val="both"/>
        <w:rPr>
          <w:rFonts w:ascii="Century Gothic" w:hAnsi="Century Gothic"/>
          <w:sz w:val="22"/>
          <w:szCs w:val="22"/>
        </w:rPr>
      </w:pPr>
    </w:p>
    <w:p w14:paraId="555C8C2B" w14:textId="5A7A3DDD" w:rsidR="00E30B91" w:rsidRDefault="00E30B91" w:rsidP="00E30B91">
      <w:pPr>
        <w:spacing w:line="360" w:lineRule="auto"/>
        <w:ind w:firstLine="708"/>
        <w:jc w:val="both"/>
        <w:rPr>
          <w:rFonts w:ascii="Century Gothic" w:hAnsi="Century Gothic"/>
          <w:sz w:val="22"/>
          <w:szCs w:val="22"/>
        </w:rPr>
      </w:pPr>
    </w:p>
    <w:p w14:paraId="1EA424DF" w14:textId="1A2753D5" w:rsidR="00E30B91" w:rsidRDefault="00E30B91" w:rsidP="00E30B91">
      <w:pPr>
        <w:spacing w:line="360" w:lineRule="auto"/>
        <w:ind w:firstLine="708"/>
        <w:jc w:val="both"/>
        <w:rPr>
          <w:rFonts w:ascii="Century Gothic" w:hAnsi="Century Gothic"/>
          <w:sz w:val="22"/>
          <w:szCs w:val="22"/>
        </w:rPr>
      </w:pPr>
    </w:p>
    <w:p w14:paraId="71C7DD87" w14:textId="1B8A8B5E" w:rsidR="00E30B91" w:rsidRDefault="00E30B91" w:rsidP="00E30B91">
      <w:pPr>
        <w:spacing w:line="360" w:lineRule="auto"/>
        <w:ind w:firstLine="708"/>
        <w:jc w:val="both"/>
        <w:rPr>
          <w:rFonts w:ascii="Century Gothic" w:hAnsi="Century Gothic"/>
          <w:sz w:val="22"/>
          <w:szCs w:val="22"/>
        </w:rPr>
      </w:pPr>
    </w:p>
    <w:p w14:paraId="20FE9FE1" w14:textId="77777777" w:rsidR="00E30B91" w:rsidRDefault="00E30B91" w:rsidP="00E30B91">
      <w:pPr>
        <w:spacing w:line="360" w:lineRule="auto"/>
        <w:ind w:firstLine="708"/>
        <w:jc w:val="both"/>
        <w:rPr>
          <w:rFonts w:ascii="Century Gothic" w:hAnsi="Century Gothic"/>
          <w:sz w:val="22"/>
          <w:szCs w:val="22"/>
        </w:rPr>
      </w:pPr>
    </w:p>
    <w:tbl>
      <w:tblPr>
        <w:tblStyle w:val="Tablaconcuadrcula4-nfasis2"/>
        <w:tblW w:w="5000" w:type="pct"/>
        <w:tblLook w:val="01E0" w:firstRow="1" w:lastRow="1" w:firstColumn="1" w:lastColumn="1" w:noHBand="0" w:noVBand="0"/>
      </w:tblPr>
      <w:tblGrid>
        <w:gridCol w:w="1375"/>
        <w:gridCol w:w="1166"/>
        <w:gridCol w:w="995"/>
        <w:gridCol w:w="1035"/>
        <w:gridCol w:w="1545"/>
      </w:tblGrid>
      <w:tr w:rsidR="00E30B91" w:rsidRPr="00E30B91" w14:paraId="2AB551F4" w14:textId="77777777" w:rsidTr="00E30B9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5"/>
          </w:tcPr>
          <w:p w14:paraId="2F13EE9A" w14:textId="77777777" w:rsidR="00E30B91" w:rsidRPr="00E30B91" w:rsidRDefault="00E30B91" w:rsidP="00E6209B">
            <w:pPr>
              <w:spacing w:after="160" w:line="360" w:lineRule="auto"/>
              <w:jc w:val="center"/>
              <w:rPr>
                <w:rFonts w:ascii="Century Gothic" w:hAnsi="Century Gothic"/>
                <w:b w:val="0"/>
                <w:bCs w:val="0"/>
                <w:sz w:val="20"/>
                <w:szCs w:val="20"/>
              </w:rPr>
            </w:pPr>
            <w:r w:rsidRPr="00E30B91">
              <w:rPr>
                <w:rFonts w:ascii="Century Gothic" w:hAnsi="Century Gothic"/>
                <w:sz w:val="20"/>
                <w:szCs w:val="20"/>
              </w:rPr>
              <w:t>Panteón</w:t>
            </w:r>
          </w:p>
        </w:tc>
      </w:tr>
      <w:tr w:rsidR="00E30B91" w:rsidRPr="00E30B91" w14:paraId="4EC251FC" w14:textId="77777777" w:rsidTr="00E30B91">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1355" w:type="pct"/>
          </w:tcPr>
          <w:p w14:paraId="0915C679" w14:textId="77777777" w:rsidR="00E30B91" w:rsidRPr="00E30B91" w:rsidRDefault="00E30B91" w:rsidP="00E6209B">
            <w:pPr>
              <w:spacing w:after="160" w:line="360" w:lineRule="auto"/>
              <w:jc w:val="both"/>
              <w:rPr>
                <w:rFonts w:ascii="Century Gothic" w:hAnsi="Century Gothic"/>
                <w:b w:val="0"/>
                <w:bCs w:val="0"/>
                <w:color w:val="025850"/>
                <w:sz w:val="20"/>
                <w:szCs w:val="20"/>
              </w:rPr>
            </w:pPr>
            <w:r w:rsidRPr="00E30B91">
              <w:rPr>
                <w:rFonts w:ascii="Century Gothic" w:hAnsi="Century Gothic"/>
                <w:b w:val="0"/>
                <w:bCs w:val="0"/>
                <w:color w:val="025850"/>
                <w:sz w:val="20"/>
                <w:szCs w:val="20"/>
              </w:rPr>
              <w:t>Ubicación</w:t>
            </w:r>
          </w:p>
        </w:tc>
        <w:tc>
          <w:tcPr>
            <w:cnfStyle w:val="000010000000" w:firstRow="0" w:lastRow="0" w:firstColumn="0" w:lastColumn="0" w:oddVBand="1" w:evenVBand="0" w:oddHBand="0" w:evenHBand="0" w:firstRowFirstColumn="0" w:firstRowLastColumn="0" w:lastRowFirstColumn="0" w:lastRowLastColumn="0"/>
            <w:tcW w:w="763" w:type="pct"/>
          </w:tcPr>
          <w:p w14:paraId="236BD8B7" w14:textId="77777777" w:rsidR="00E30B91" w:rsidRPr="00E30B91" w:rsidRDefault="00E30B91" w:rsidP="00E6209B">
            <w:pPr>
              <w:spacing w:after="160" w:line="360" w:lineRule="auto"/>
              <w:jc w:val="both"/>
              <w:rPr>
                <w:rFonts w:ascii="Century Gothic" w:hAnsi="Century Gothic"/>
                <w:color w:val="025850"/>
                <w:sz w:val="20"/>
                <w:szCs w:val="20"/>
              </w:rPr>
            </w:pPr>
            <w:r w:rsidRPr="00E30B91">
              <w:rPr>
                <w:rFonts w:ascii="Century Gothic" w:hAnsi="Century Gothic"/>
                <w:color w:val="025850"/>
                <w:sz w:val="20"/>
                <w:szCs w:val="20"/>
              </w:rPr>
              <w:t>Superficie</w:t>
            </w:r>
          </w:p>
        </w:tc>
        <w:tc>
          <w:tcPr>
            <w:tcW w:w="1017" w:type="pct"/>
          </w:tcPr>
          <w:p w14:paraId="7B65A644" w14:textId="77777777" w:rsidR="00E30B91" w:rsidRPr="00E30B91" w:rsidRDefault="00E30B91" w:rsidP="00E6209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25850"/>
                <w:sz w:val="20"/>
                <w:szCs w:val="20"/>
              </w:rPr>
            </w:pPr>
            <w:r w:rsidRPr="00E30B91">
              <w:rPr>
                <w:rFonts w:ascii="Century Gothic" w:hAnsi="Century Gothic"/>
                <w:color w:val="025850"/>
                <w:sz w:val="20"/>
                <w:szCs w:val="20"/>
              </w:rPr>
              <w:t>Número fosas</w:t>
            </w:r>
          </w:p>
        </w:tc>
        <w:tc>
          <w:tcPr>
            <w:cnfStyle w:val="000010000000" w:firstRow="0" w:lastRow="0" w:firstColumn="0" w:lastColumn="0" w:oddVBand="1" w:evenVBand="0" w:oddHBand="0" w:evenHBand="0" w:firstRowFirstColumn="0" w:firstRowLastColumn="0" w:lastRowFirstColumn="0" w:lastRowLastColumn="0"/>
            <w:tcW w:w="763" w:type="pct"/>
          </w:tcPr>
          <w:p w14:paraId="05A86AFA" w14:textId="77777777" w:rsidR="00E30B91" w:rsidRPr="00E30B91" w:rsidRDefault="00E30B91" w:rsidP="00E6209B">
            <w:pPr>
              <w:spacing w:after="160" w:line="360" w:lineRule="auto"/>
              <w:jc w:val="both"/>
              <w:rPr>
                <w:rFonts w:ascii="Century Gothic" w:hAnsi="Century Gothic"/>
                <w:color w:val="025850"/>
                <w:sz w:val="20"/>
                <w:szCs w:val="20"/>
              </w:rPr>
            </w:pPr>
            <w:r w:rsidRPr="00E30B91">
              <w:rPr>
                <w:rFonts w:ascii="Century Gothic" w:hAnsi="Century Gothic"/>
                <w:color w:val="025850"/>
                <w:sz w:val="20"/>
                <w:szCs w:val="20"/>
              </w:rPr>
              <w:t>Servicios</w:t>
            </w:r>
          </w:p>
        </w:tc>
        <w:tc>
          <w:tcPr>
            <w:cnfStyle w:val="000100000000" w:firstRow="0" w:lastRow="0" w:firstColumn="0" w:lastColumn="1" w:oddVBand="0" w:evenVBand="0" w:oddHBand="0" w:evenHBand="0" w:firstRowFirstColumn="0" w:firstRowLastColumn="0" w:lastRowFirstColumn="0" w:lastRowLastColumn="0"/>
            <w:tcW w:w="1102" w:type="pct"/>
          </w:tcPr>
          <w:p w14:paraId="291CBE6E" w14:textId="77777777" w:rsidR="00E30B91" w:rsidRPr="00E30B91" w:rsidRDefault="00E30B91" w:rsidP="00E6209B">
            <w:pPr>
              <w:spacing w:after="160" w:line="360" w:lineRule="auto"/>
              <w:jc w:val="both"/>
              <w:rPr>
                <w:rFonts w:ascii="Century Gothic" w:hAnsi="Century Gothic"/>
                <w:b w:val="0"/>
                <w:bCs w:val="0"/>
                <w:color w:val="025850"/>
                <w:sz w:val="20"/>
                <w:szCs w:val="20"/>
              </w:rPr>
            </w:pPr>
            <w:r w:rsidRPr="00E30B91">
              <w:rPr>
                <w:rFonts w:ascii="Century Gothic" w:hAnsi="Century Gothic"/>
                <w:b w:val="0"/>
                <w:bCs w:val="0"/>
                <w:color w:val="025850"/>
                <w:sz w:val="20"/>
                <w:szCs w:val="20"/>
              </w:rPr>
              <w:t>Problemática</w:t>
            </w:r>
          </w:p>
        </w:tc>
      </w:tr>
      <w:tr w:rsidR="00E30B91" w:rsidRPr="00E30B91" w14:paraId="59473B08" w14:textId="77777777" w:rsidTr="00E30B91">
        <w:trPr>
          <w:cnfStyle w:val="010000000000" w:firstRow="0" w:lastRow="1"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1355" w:type="pct"/>
          </w:tcPr>
          <w:p w14:paraId="0FD00A17"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Camino Grande, San Antonio la Isla</w:t>
            </w:r>
          </w:p>
        </w:tc>
        <w:tc>
          <w:tcPr>
            <w:cnfStyle w:val="000010000000" w:firstRow="0" w:lastRow="0" w:firstColumn="0" w:lastColumn="0" w:oddVBand="1" w:evenVBand="0" w:oddHBand="0" w:evenHBand="0" w:firstRowFirstColumn="0" w:firstRowLastColumn="0" w:lastRowFirstColumn="0" w:lastRowLastColumn="0"/>
            <w:tcW w:w="763" w:type="pct"/>
          </w:tcPr>
          <w:p w14:paraId="3B1FCA28"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2,500 m2</w:t>
            </w:r>
          </w:p>
        </w:tc>
        <w:tc>
          <w:tcPr>
            <w:tcW w:w="1017" w:type="pct"/>
          </w:tcPr>
          <w:p w14:paraId="4D9B240B" w14:textId="77777777" w:rsidR="00E30B91" w:rsidRPr="00E30B91" w:rsidRDefault="00E30B91" w:rsidP="00E6209B">
            <w:pPr>
              <w:spacing w:after="160" w:line="360" w:lineRule="auto"/>
              <w:jc w:val="both"/>
              <w:cnfStyle w:val="010000000000" w:firstRow="0" w:lastRow="1" w:firstColumn="0" w:lastColumn="0" w:oddVBand="0" w:evenVBand="0" w:oddHBand="0" w:evenHBand="0" w:firstRowFirstColumn="0" w:firstRowLastColumn="0" w:lastRowFirstColumn="0" w:lastRowLastColumn="0"/>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5,000</w:t>
            </w:r>
          </w:p>
        </w:tc>
        <w:tc>
          <w:tcPr>
            <w:cnfStyle w:val="000010000000" w:firstRow="0" w:lastRow="0" w:firstColumn="0" w:lastColumn="0" w:oddVBand="1" w:evenVBand="0" w:oddHBand="0" w:evenHBand="0" w:firstRowFirstColumn="0" w:firstRowLastColumn="0" w:lastRowFirstColumn="0" w:lastRowLastColumn="0"/>
            <w:tcW w:w="763" w:type="pct"/>
          </w:tcPr>
          <w:p w14:paraId="53C286B9"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Agua potable</w:t>
            </w:r>
          </w:p>
        </w:tc>
        <w:tc>
          <w:tcPr>
            <w:cnfStyle w:val="000100000000" w:firstRow="0" w:lastRow="0" w:firstColumn="0" w:lastColumn="1" w:oddVBand="0" w:evenVBand="0" w:oddHBand="0" w:evenHBand="0" w:firstRowFirstColumn="0" w:firstRowLastColumn="0" w:lastRowFirstColumn="0" w:lastRowLastColumn="0"/>
            <w:tcW w:w="1102" w:type="pct"/>
          </w:tcPr>
          <w:p w14:paraId="68B7410B" w14:textId="77777777" w:rsidR="00E30B91" w:rsidRPr="00E30B91" w:rsidRDefault="00E30B91" w:rsidP="00E6209B">
            <w:pPr>
              <w:spacing w:after="160" w:line="360" w:lineRule="auto"/>
              <w:jc w:val="both"/>
              <w:rPr>
                <w:rFonts w:ascii="Century Gothic" w:hAnsi="Century Gothic"/>
                <w:b w:val="0"/>
                <w:bCs w:val="0"/>
                <w:color w:val="000000" w:themeColor="text1"/>
                <w:sz w:val="20"/>
                <w:szCs w:val="20"/>
              </w:rPr>
            </w:pPr>
            <w:r w:rsidRPr="00E30B91">
              <w:rPr>
                <w:rFonts w:ascii="Century Gothic" w:hAnsi="Century Gothic"/>
                <w:b w:val="0"/>
                <w:bCs w:val="0"/>
                <w:color w:val="000000" w:themeColor="text1"/>
                <w:sz w:val="20"/>
                <w:szCs w:val="20"/>
              </w:rPr>
              <w:t>Robo de cruces de metal y drogadicción</w:t>
            </w:r>
          </w:p>
        </w:tc>
      </w:tr>
    </w:tbl>
    <w:p w14:paraId="07F3CD34" w14:textId="4A7CD6A9" w:rsidR="00E30B91" w:rsidRDefault="00E30B91" w:rsidP="00E30B91">
      <w:pPr>
        <w:spacing w:line="360" w:lineRule="auto"/>
        <w:jc w:val="both"/>
        <w:rPr>
          <w:rFonts w:ascii="Century Gothic" w:hAnsi="Century Gothic"/>
          <w:sz w:val="22"/>
          <w:szCs w:val="22"/>
        </w:rPr>
      </w:pPr>
      <w:r>
        <w:rPr>
          <w:rFonts w:ascii="Century Gothic" w:hAnsi="Century Gothic"/>
          <w:sz w:val="22"/>
          <w:szCs w:val="22"/>
        </w:rPr>
        <w:t xml:space="preserve">Fuente: Elaboración Propia </w:t>
      </w:r>
    </w:p>
    <w:p w14:paraId="3243F0A1" w14:textId="77777777" w:rsidR="00E30B91" w:rsidRPr="00023A4E" w:rsidRDefault="00E30B91" w:rsidP="00E30B91">
      <w:pPr>
        <w:spacing w:line="360" w:lineRule="auto"/>
        <w:jc w:val="both"/>
        <w:rPr>
          <w:rFonts w:ascii="Century Gothic" w:hAnsi="Century Gothic"/>
          <w:sz w:val="22"/>
          <w:szCs w:val="22"/>
        </w:rPr>
      </w:pPr>
    </w:p>
    <w:p w14:paraId="74EFB0A9" w14:textId="73732528" w:rsidR="00E30B91" w:rsidRPr="00E30B91" w:rsidRDefault="00E30B91" w:rsidP="00E30B91">
      <w:pPr>
        <w:spacing w:after="160" w:line="360" w:lineRule="auto"/>
        <w:ind w:firstLine="708"/>
        <w:jc w:val="both"/>
        <w:rPr>
          <w:rFonts w:ascii="Century Gothic" w:hAnsi="Century Gothic"/>
          <w:b/>
          <w:color w:val="025850"/>
          <w:sz w:val="22"/>
          <w:szCs w:val="22"/>
        </w:rPr>
      </w:pPr>
      <w:r w:rsidRPr="00E30B91">
        <w:rPr>
          <w:rFonts w:ascii="Century Gothic" w:hAnsi="Century Gothic"/>
          <w:b/>
          <w:color w:val="025850"/>
          <w:sz w:val="22"/>
          <w:szCs w:val="22"/>
        </w:rPr>
        <w:t>f) Rastros</w:t>
      </w:r>
    </w:p>
    <w:p w14:paraId="2A5932BD" w14:textId="77777777" w:rsidR="00E30B91" w:rsidRPr="00023A4E" w:rsidRDefault="00E30B91" w:rsidP="00E30B91">
      <w:pPr>
        <w:spacing w:line="360" w:lineRule="auto"/>
        <w:ind w:firstLine="360"/>
        <w:jc w:val="both"/>
        <w:rPr>
          <w:rFonts w:ascii="Century Gothic" w:hAnsi="Century Gothic"/>
          <w:sz w:val="22"/>
          <w:szCs w:val="22"/>
        </w:rPr>
      </w:pPr>
      <w:r w:rsidRPr="00023A4E">
        <w:rPr>
          <w:rFonts w:ascii="Century Gothic" w:hAnsi="Century Gothic"/>
          <w:sz w:val="22"/>
          <w:szCs w:val="22"/>
        </w:rPr>
        <w:t>El rastro municipal se compone de las instalaciones físicas que son propiedad del municipio y que se destinan al sacrificio de animales para su posterior consumo por parte de la población. Estas instalaciones cuentan con el personal, equipo y herramientas necesarias para su operación, y comprenden diversas áreas esenciales para el proceso, tales como:</w:t>
      </w:r>
    </w:p>
    <w:p w14:paraId="3AFC5381" w14:textId="77777777" w:rsidR="00E30B91" w:rsidRPr="00023A4E" w:rsidRDefault="00E30B91" w:rsidP="00E30B91">
      <w:pPr>
        <w:spacing w:line="360" w:lineRule="auto"/>
        <w:jc w:val="both"/>
        <w:rPr>
          <w:rFonts w:ascii="Century Gothic" w:hAnsi="Century Gothic"/>
          <w:sz w:val="22"/>
          <w:szCs w:val="22"/>
        </w:rPr>
      </w:pPr>
    </w:p>
    <w:p w14:paraId="7D1C4357" w14:textId="77777777" w:rsidR="00E30B91" w:rsidRPr="00023A4E" w:rsidRDefault="00E30B91" w:rsidP="00E50CE9">
      <w:pPr>
        <w:pStyle w:val="Prrafodelista"/>
        <w:widowControl w:val="0"/>
        <w:numPr>
          <w:ilvl w:val="0"/>
          <w:numId w:val="48"/>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 xml:space="preserve">Corral de desembarque: destinado a recibir el </w:t>
      </w:r>
      <w:r w:rsidRPr="00023A4E">
        <w:rPr>
          <w:rFonts w:ascii="Century Gothic" w:hAnsi="Century Gothic"/>
          <w:sz w:val="22"/>
          <w:szCs w:val="22"/>
        </w:rPr>
        <w:lastRenderedPageBreak/>
        <w:t>ganado que va a ser sacrificado.</w:t>
      </w:r>
    </w:p>
    <w:p w14:paraId="40506BBF" w14:textId="77777777" w:rsidR="00E30B91" w:rsidRPr="00023A4E" w:rsidRDefault="00E30B91" w:rsidP="00E50CE9">
      <w:pPr>
        <w:pStyle w:val="Prrafodelista"/>
        <w:widowControl w:val="0"/>
        <w:numPr>
          <w:ilvl w:val="0"/>
          <w:numId w:val="48"/>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Corral de depósito: utilizado para almacenar el ganado que, habiendo cumplido con los requisitos de propiedad, sanitarios y fiscales, está preparado para el sacrificio.</w:t>
      </w:r>
    </w:p>
    <w:p w14:paraId="68426410" w14:textId="77777777" w:rsidR="00E30B91" w:rsidRPr="00023A4E" w:rsidRDefault="00E30B91" w:rsidP="00E50CE9">
      <w:pPr>
        <w:pStyle w:val="Prrafodelista"/>
        <w:widowControl w:val="0"/>
        <w:numPr>
          <w:ilvl w:val="0"/>
          <w:numId w:val="48"/>
        </w:numPr>
        <w:autoSpaceDE w:val="0"/>
        <w:autoSpaceDN w:val="0"/>
        <w:spacing w:after="0" w:line="360" w:lineRule="auto"/>
        <w:jc w:val="both"/>
        <w:rPr>
          <w:rFonts w:ascii="Century Gothic" w:hAnsi="Century Gothic"/>
          <w:sz w:val="22"/>
          <w:szCs w:val="22"/>
        </w:rPr>
      </w:pPr>
      <w:r w:rsidRPr="00023A4E">
        <w:rPr>
          <w:rFonts w:ascii="Century Gothic" w:hAnsi="Century Gothic"/>
          <w:sz w:val="22"/>
          <w:szCs w:val="22"/>
        </w:rPr>
        <w:t>Sala de matanza: en la cual se realiza el sacrificio, la extracción de vísceras y el corte de carnes.</w:t>
      </w:r>
    </w:p>
    <w:p w14:paraId="01324273" w14:textId="77777777" w:rsidR="00E30B91" w:rsidRDefault="00E30B91" w:rsidP="00E30B91">
      <w:pPr>
        <w:spacing w:line="360" w:lineRule="auto"/>
        <w:jc w:val="both"/>
        <w:rPr>
          <w:rFonts w:ascii="Century Gothic" w:hAnsi="Century Gothic"/>
          <w:sz w:val="22"/>
          <w:szCs w:val="22"/>
        </w:rPr>
      </w:pPr>
    </w:p>
    <w:p w14:paraId="31C9FF24" w14:textId="002BF120" w:rsidR="00E30B91" w:rsidRPr="00023A4E" w:rsidRDefault="00E30B91" w:rsidP="00E30B91">
      <w:pPr>
        <w:spacing w:line="360" w:lineRule="auto"/>
        <w:ind w:firstLine="360"/>
        <w:jc w:val="both"/>
        <w:rPr>
          <w:rFonts w:ascii="Century Gothic" w:hAnsi="Century Gothic"/>
          <w:sz w:val="22"/>
          <w:szCs w:val="22"/>
        </w:rPr>
      </w:pPr>
      <w:r w:rsidRPr="00023A4E">
        <w:rPr>
          <w:rFonts w:ascii="Century Gothic" w:hAnsi="Century Gothic"/>
          <w:sz w:val="22"/>
          <w:szCs w:val="22"/>
        </w:rPr>
        <w:t>Desde un punto de vista higiénico y sanitario, el rastro debe reunir las condiciones mínimas necesarias para garantizar la sanidad de los productos derivados del sacrificio de animales.</w:t>
      </w:r>
    </w:p>
    <w:p w14:paraId="1B82985A" w14:textId="30CE06B5" w:rsidR="00E30B91" w:rsidRPr="00023A4E" w:rsidRDefault="00E30B91" w:rsidP="00E30B91">
      <w:pPr>
        <w:spacing w:line="360" w:lineRule="auto"/>
        <w:ind w:firstLine="360"/>
        <w:jc w:val="both"/>
        <w:rPr>
          <w:rFonts w:ascii="Century Gothic" w:hAnsi="Century Gothic"/>
          <w:sz w:val="22"/>
          <w:szCs w:val="22"/>
        </w:rPr>
      </w:pPr>
      <w:r w:rsidRPr="00023A4E">
        <w:rPr>
          <w:rFonts w:ascii="Century Gothic" w:hAnsi="Century Gothic"/>
          <w:sz w:val="22"/>
          <w:szCs w:val="22"/>
        </w:rPr>
        <w:t xml:space="preserve">En San Antonio la Isla, el rastro municipal cuenta con las autorizaciones correspondientes para su funcionamiento, con clave: MSA850101MXA y permiso sanitario emitido por el Instituto de Salud del Estado de México con clave: 19PL151500. Sin embargo, actualmente no cuenta con certificación debido a la falta de equipamiento necesario para llevar a cabo todas las actividades requeridas. El rastro se somete a verificaciones diarias a cargo de la Jurisdicción de </w:t>
      </w:r>
      <w:r w:rsidRPr="00023A4E">
        <w:rPr>
          <w:rFonts w:ascii="Century Gothic" w:hAnsi="Century Gothic"/>
          <w:sz w:val="22"/>
          <w:szCs w:val="22"/>
        </w:rPr>
        <w:t>Regulación Sanitaria No. 15 de Tenango del Valle. Además, el rastro no tiene permiso de impacto ambiental.</w:t>
      </w:r>
    </w:p>
    <w:p w14:paraId="7C1B85EA" w14:textId="77777777" w:rsidR="00E30B91" w:rsidRPr="00023A4E" w:rsidRDefault="00E30B91" w:rsidP="00D313D5">
      <w:pPr>
        <w:spacing w:line="360" w:lineRule="auto"/>
        <w:ind w:firstLine="360"/>
        <w:jc w:val="both"/>
        <w:rPr>
          <w:rFonts w:ascii="Century Gothic" w:hAnsi="Century Gothic"/>
          <w:sz w:val="22"/>
          <w:szCs w:val="22"/>
        </w:rPr>
      </w:pPr>
      <w:r w:rsidRPr="00023A4E">
        <w:rPr>
          <w:rFonts w:ascii="Century Gothic" w:hAnsi="Century Gothic"/>
          <w:sz w:val="22"/>
          <w:szCs w:val="22"/>
        </w:rPr>
        <w:t>El rastro está ubicado en la calle Adolfo López Mateos No. 47, con una superficie de 100 m². Se recomienda la reubicación de este inmueble a una zona menos poblada, debido a los problemas que representa para las familias que viven cerca. Además, el rastro enfrenta una falta de mantenimiento preventivo y correctivo en sus instalaciones, lo que se hace evidente al observar la insuficiencia de la recolección de desechos. En este sentido, es prioritario destinar una unidad para la recolección de estos residuos, según las estadísticas de la SAGARPA.</w:t>
      </w:r>
    </w:p>
    <w:p w14:paraId="35B7E4D4" w14:textId="17D07483" w:rsidR="00E30B91" w:rsidRPr="00023A4E" w:rsidRDefault="00E30B91" w:rsidP="00D313D5">
      <w:pPr>
        <w:spacing w:line="360" w:lineRule="auto"/>
        <w:ind w:firstLine="360"/>
        <w:jc w:val="both"/>
        <w:rPr>
          <w:rFonts w:ascii="Century Gothic" w:hAnsi="Century Gothic"/>
          <w:sz w:val="22"/>
          <w:szCs w:val="22"/>
        </w:rPr>
      </w:pPr>
      <w:r w:rsidRPr="00023A4E">
        <w:rPr>
          <w:rFonts w:ascii="Century Gothic" w:hAnsi="Century Gothic"/>
          <w:sz w:val="22"/>
          <w:szCs w:val="22"/>
        </w:rPr>
        <w:t>Actualmente, el rastro municipal realiza el sacrificio de porcinos, aproximadamente 38 diarios, un bovino por semana y un ovino al mes.</w:t>
      </w:r>
    </w:p>
    <w:p w14:paraId="6AD27600" w14:textId="77777777" w:rsidR="00E30B91" w:rsidRPr="00D313D5" w:rsidRDefault="00E30B91" w:rsidP="00E30B91">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g) Calles, parques, jardines y su equipamiento</w:t>
      </w:r>
    </w:p>
    <w:p w14:paraId="23CEC93C" w14:textId="446BEB0F" w:rsidR="00E30B91" w:rsidRPr="00023A4E" w:rsidRDefault="00E30B91" w:rsidP="00D313D5">
      <w:pPr>
        <w:spacing w:line="360" w:lineRule="auto"/>
        <w:ind w:firstLine="708"/>
        <w:jc w:val="both"/>
        <w:rPr>
          <w:rFonts w:ascii="Century Gothic" w:hAnsi="Century Gothic"/>
          <w:sz w:val="22"/>
          <w:szCs w:val="22"/>
        </w:rPr>
      </w:pPr>
      <w:r w:rsidRPr="00023A4E">
        <w:rPr>
          <w:rFonts w:ascii="Century Gothic" w:hAnsi="Century Gothic"/>
          <w:sz w:val="22"/>
          <w:szCs w:val="22"/>
        </w:rPr>
        <w:t xml:space="preserve">Los jardines, parques, zonas verdes y el arbolado son elementos fundamentales para mantener una buena calidad de vida y promover el bienestar de las personas. El contacto con estos espacios naturales permite a los </w:t>
      </w:r>
      <w:r w:rsidRPr="00023A4E">
        <w:rPr>
          <w:rFonts w:ascii="Century Gothic" w:hAnsi="Century Gothic"/>
          <w:sz w:val="22"/>
          <w:szCs w:val="22"/>
        </w:rPr>
        <w:lastRenderedPageBreak/>
        <w:t>habitantes reflexionar, relajarse y reducir el estrés. Por esta razón, la Organización Mundial de la Salud considera los espacios verdes urbanos como imprescindibles debido a los beneficios que aportan al bienestar físico y emocional de los individuos.</w:t>
      </w:r>
    </w:p>
    <w:p w14:paraId="4F0ABA65" w14:textId="77777777" w:rsidR="00E30B91" w:rsidRPr="00023A4E" w:rsidRDefault="00E30B91" w:rsidP="00D313D5">
      <w:pPr>
        <w:spacing w:line="360" w:lineRule="auto"/>
        <w:ind w:firstLine="708"/>
        <w:jc w:val="both"/>
        <w:rPr>
          <w:rFonts w:ascii="Century Gothic" w:hAnsi="Century Gothic"/>
          <w:sz w:val="22"/>
          <w:szCs w:val="22"/>
        </w:rPr>
      </w:pPr>
      <w:r w:rsidRPr="00023A4E">
        <w:rPr>
          <w:rFonts w:ascii="Century Gothic" w:hAnsi="Century Gothic"/>
          <w:sz w:val="22"/>
          <w:szCs w:val="22"/>
        </w:rPr>
        <w:t>En San Antonio la Isla, somos conscientes de que los parques y jardines no solo sirven como un recurso estético para embellecer nuestro municipio, sino que también desempeñan un papel importante en el desarrollo social y el bienestar físico de los usuarios. Muchas personas aprovechan estos espacios para realizar actividades deportivas y recreativas, lo que contribuye a mejorar la calidad de vida de la comunidad.</w:t>
      </w:r>
    </w:p>
    <w:tbl>
      <w:tblPr>
        <w:tblStyle w:val="Tablaconcuadrcula4-nfasis2"/>
        <w:tblW w:w="5000" w:type="pct"/>
        <w:tblLook w:val="01E0" w:firstRow="1" w:lastRow="1" w:firstColumn="1" w:lastColumn="1" w:noHBand="0" w:noVBand="0"/>
      </w:tblPr>
      <w:tblGrid>
        <w:gridCol w:w="2031"/>
        <w:gridCol w:w="1582"/>
        <w:gridCol w:w="2503"/>
      </w:tblGrid>
      <w:tr w:rsidR="00D313D5" w:rsidRPr="00D313D5" w14:paraId="2B95282A" w14:textId="77777777" w:rsidTr="00D313D5">
        <w:trPr>
          <w:cnfStyle w:val="100000000000" w:firstRow="1" w:lastRow="0" w:firstColumn="0" w:lastColumn="0" w:oddVBand="0" w:evenVBand="0" w:oddHBand="0" w:evenHBand="0" w:firstRowFirstColumn="0" w:firstRowLastColumn="0" w:lastRowFirstColumn="0" w:lastRowLastColumn="0"/>
          <w:trHeight w:val="1022"/>
        </w:trPr>
        <w:tc>
          <w:tcPr>
            <w:cnfStyle w:val="001000000000" w:firstRow="0" w:lastRow="0" w:firstColumn="1" w:lastColumn="0" w:oddVBand="0" w:evenVBand="0" w:oddHBand="0" w:evenHBand="0" w:firstRowFirstColumn="0" w:firstRowLastColumn="0" w:lastRowFirstColumn="0" w:lastRowLastColumn="0"/>
            <w:tcW w:w="1661" w:type="pct"/>
          </w:tcPr>
          <w:p w14:paraId="6A6F857A" w14:textId="77777777" w:rsidR="00D313D5" w:rsidRPr="00D313D5" w:rsidRDefault="00D313D5" w:rsidP="00E6209B">
            <w:pPr>
              <w:spacing w:after="160" w:line="360" w:lineRule="auto"/>
              <w:jc w:val="center"/>
              <w:rPr>
                <w:rFonts w:ascii="Century Gothic" w:hAnsi="Century Gothic"/>
                <w:bCs w:val="0"/>
                <w:color w:val="000000" w:themeColor="text1"/>
                <w:sz w:val="20"/>
                <w:szCs w:val="20"/>
              </w:rPr>
            </w:pPr>
          </w:p>
          <w:p w14:paraId="53607FBF" w14:textId="77777777" w:rsidR="00D313D5" w:rsidRPr="00D313D5" w:rsidRDefault="00D313D5" w:rsidP="00E6209B">
            <w:pPr>
              <w:spacing w:after="160" w:line="360" w:lineRule="auto"/>
              <w:jc w:val="center"/>
              <w:rPr>
                <w:rFonts w:ascii="Century Gothic" w:hAnsi="Century Gothic"/>
                <w:b w:val="0"/>
                <w:bCs w:val="0"/>
                <w:color w:val="000000" w:themeColor="text1"/>
                <w:sz w:val="20"/>
                <w:szCs w:val="20"/>
              </w:rPr>
            </w:pPr>
            <w:r w:rsidRPr="00D313D5">
              <w:rPr>
                <w:rFonts w:ascii="Century Gothic" w:hAnsi="Century Gothic"/>
                <w:color w:val="000000" w:themeColor="text1"/>
                <w:sz w:val="20"/>
                <w:szCs w:val="20"/>
              </w:rPr>
              <w:t>Ubicación</w:t>
            </w:r>
          </w:p>
        </w:tc>
        <w:tc>
          <w:tcPr>
            <w:cnfStyle w:val="000010000000" w:firstRow="0" w:lastRow="0" w:firstColumn="0" w:lastColumn="0" w:oddVBand="1" w:evenVBand="0" w:oddHBand="0" w:evenHBand="0" w:firstRowFirstColumn="0" w:firstRowLastColumn="0" w:lastRowFirstColumn="0" w:lastRowLastColumn="0"/>
            <w:tcW w:w="1293" w:type="pct"/>
          </w:tcPr>
          <w:p w14:paraId="3811A7D7" w14:textId="77777777" w:rsidR="00D313D5" w:rsidRPr="00D313D5" w:rsidRDefault="00D313D5" w:rsidP="00E6209B">
            <w:pPr>
              <w:spacing w:after="160" w:line="360" w:lineRule="auto"/>
              <w:jc w:val="center"/>
              <w:rPr>
                <w:rFonts w:ascii="Century Gothic" w:hAnsi="Century Gothic"/>
                <w:b w:val="0"/>
                <w:bCs w:val="0"/>
                <w:color w:val="000000" w:themeColor="text1"/>
                <w:sz w:val="20"/>
                <w:szCs w:val="20"/>
              </w:rPr>
            </w:pPr>
            <w:r w:rsidRPr="00D313D5">
              <w:rPr>
                <w:rFonts w:ascii="Century Gothic" w:hAnsi="Century Gothic"/>
                <w:color w:val="000000" w:themeColor="text1"/>
                <w:sz w:val="20"/>
                <w:szCs w:val="20"/>
              </w:rPr>
              <w:t>Tipo de equipamiento recreativo</w:t>
            </w:r>
          </w:p>
        </w:tc>
        <w:tc>
          <w:tcPr>
            <w:cnfStyle w:val="000100000000" w:firstRow="0" w:lastRow="0" w:firstColumn="0" w:lastColumn="1" w:oddVBand="0" w:evenVBand="0" w:oddHBand="0" w:evenHBand="0" w:firstRowFirstColumn="0" w:firstRowLastColumn="0" w:lastRowFirstColumn="0" w:lastRowLastColumn="0"/>
            <w:tcW w:w="2046" w:type="pct"/>
          </w:tcPr>
          <w:p w14:paraId="1860BAB3" w14:textId="77777777" w:rsidR="00D313D5" w:rsidRPr="00D313D5" w:rsidRDefault="00D313D5" w:rsidP="00E6209B">
            <w:pPr>
              <w:spacing w:after="160" w:line="360" w:lineRule="auto"/>
              <w:jc w:val="center"/>
              <w:rPr>
                <w:rFonts w:ascii="Century Gothic" w:hAnsi="Century Gothic"/>
                <w:bCs w:val="0"/>
                <w:color w:val="000000" w:themeColor="text1"/>
                <w:sz w:val="20"/>
                <w:szCs w:val="20"/>
              </w:rPr>
            </w:pPr>
          </w:p>
          <w:p w14:paraId="51E72577" w14:textId="77777777" w:rsidR="00D313D5" w:rsidRPr="00D313D5" w:rsidRDefault="00D313D5" w:rsidP="00E6209B">
            <w:pPr>
              <w:spacing w:after="160" w:line="360" w:lineRule="auto"/>
              <w:jc w:val="center"/>
              <w:rPr>
                <w:rFonts w:ascii="Century Gothic" w:hAnsi="Century Gothic"/>
                <w:b w:val="0"/>
                <w:bCs w:val="0"/>
                <w:color w:val="000000" w:themeColor="text1"/>
                <w:sz w:val="20"/>
                <w:szCs w:val="20"/>
              </w:rPr>
            </w:pPr>
            <w:r w:rsidRPr="00D313D5">
              <w:rPr>
                <w:rFonts w:ascii="Century Gothic" w:hAnsi="Century Gothic"/>
                <w:color w:val="000000" w:themeColor="text1"/>
                <w:sz w:val="20"/>
                <w:szCs w:val="20"/>
              </w:rPr>
              <w:t xml:space="preserve">Servicios </w:t>
            </w:r>
          </w:p>
        </w:tc>
      </w:tr>
      <w:tr w:rsidR="00D313D5" w:rsidRPr="00D313D5" w14:paraId="23581791" w14:textId="77777777" w:rsidTr="00D313D5">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661" w:type="pct"/>
          </w:tcPr>
          <w:p w14:paraId="1432963F"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Calle Mariano Abasolo</w:t>
            </w:r>
          </w:p>
          <w:p w14:paraId="73BAB132"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“Parque Municipal de las Ranas”</w:t>
            </w:r>
          </w:p>
        </w:tc>
        <w:tc>
          <w:tcPr>
            <w:cnfStyle w:val="000010000000" w:firstRow="0" w:lastRow="0" w:firstColumn="0" w:lastColumn="0" w:oddVBand="1" w:evenVBand="0" w:oddHBand="0" w:evenHBand="0" w:firstRowFirstColumn="0" w:firstRowLastColumn="0" w:lastRowFirstColumn="0" w:lastRowLastColumn="0"/>
            <w:tcW w:w="1293" w:type="pct"/>
          </w:tcPr>
          <w:p w14:paraId="5C2CC1D9" w14:textId="77777777" w:rsidR="00D313D5" w:rsidRPr="00D313D5" w:rsidRDefault="00D313D5" w:rsidP="00E6209B">
            <w:pPr>
              <w:spacing w:line="360" w:lineRule="auto"/>
              <w:jc w:val="both"/>
              <w:rPr>
                <w:rFonts w:ascii="Century Gothic" w:hAnsi="Century Gothic"/>
                <w:color w:val="000000" w:themeColor="text1"/>
                <w:sz w:val="20"/>
                <w:szCs w:val="20"/>
              </w:rPr>
            </w:pPr>
            <w:r w:rsidRPr="00D313D5">
              <w:rPr>
                <w:rFonts w:ascii="Century Gothic" w:hAnsi="Century Gothic"/>
                <w:color w:val="000000" w:themeColor="text1"/>
                <w:sz w:val="20"/>
                <w:szCs w:val="20"/>
              </w:rPr>
              <w:t>Parque urbano</w:t>
            </w:r>
          </w:p>
        </w:tc>
        <w:tc>
          <w:tcPr>
            <w:cnfStyle w:val="000100000000" w:firstRow="0" w:lastRow="0" w:firstColumn="0" w:lastColumn="1" w:oddVBand="0" w:evenVBand="0" w:oddHBand="0" w:evenHBand="0" w:firstRowFirstColumn="0" w:firstRowLastColumn="0" w:lastRowFirstColumn="0" w:lastRowLastColumn="0"/>
            <w:tcW w:w="2046" w:type="pct"/>
          </w:tcPr>
          <w:p w14:paraId="3C15973F"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Áreas para convivencia, paseos, descanso, y juegos Infantiles</w:t>
            </w:r>
          </w:p>
        </w:tc>
      </w:tr>
      <w:tr w:rsidR="00D313D5" w:rsidRPr="00D313D5" w14:paraId="11F9F0D0" w14:textId="77777777" w:rsidTr="00D313D5">
        <w:trPr>
          <w:trHeight w:val="550"/>
        </w:trPr>
        <w:tc>
          <w:tcPr>
            <w:cnfStyle w:val="001000000000" w:firstRow="0" w:lastRow="0" w:firstColumn="1" w:lastColumn="0" w:oddVBand="0" w:evenVBand="0" w:oddHBand="0" w:evenHBand="0" w:firstRowFirstColumn="0" w:firstRowLastColumn="0" w:lastRowFirstColumn="0" w:lastRowLastColumn="0"/>
            <w:tcW w:w="1661" w:type="pct"/>
          </w:tcPr>
          <w:p w14:paraId="058CDAB0"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Calle Calvario “Parque Luis Donaldo Colosio”</w:t>
            </w:r>
          </w:p>
        </w:tc>
        <w:tc>
          <w:tcPr>
            <w:cnfStyle w:val="000010000000" w:firstRow="0" w:lastRow="0" w:firstColumn="0" w:lastColumn="0" w:oddVBand="1" w:evenVBand="0" w:oddHBand="0" w:evenHBand="0" w:firstRowFirstColumn="0" w:firstRowLastColumn="0" w:lastRowFirstColumn="0" w:lastRowLastColumn="0"/>
            <w:tcW w:w="1293" w:type="pct"/>
          </w:tcPr>
          <w:p w14:paraId="07AE5095" w14:textId="77777777" w:rsidR="00D313D5" w:rsidRPr="00D313D5" w:rsidRDefault="00D313D5" w:rsidP="00E6209B">
            <w:pPr>
              <w:spacing w:line="360" w:lineRule="auto"/>
              <w:jc w:val="both"/>
              <w:rPr>
                <w:rFonts w:ascii="Century Gothic" w:hAnsi="Century Gothic"/>
                <w:color w:val="000000" w:themeColor="text1"/>
                <w:sz w:val="20"/>
                <w:szCs w:val="20"/>
              </w:rPr>
            </w:pPr>
            <w:r w:rsidRPr="00D313D5">
              <w:rPr>
                <w:rFonts w:ascii="Century Gothic" w:hAnsi="Century Gothic"/>
                <w:color w:val="000000" w:themeColor="text1"/>
                <w:sz w:val="20"/>
                <w:szCs w:val="20"/>
              </w:rPr>
              <w:t>Juegos infantiles</w:t>
            </w:r>
          </w:p>
        </w:tc>
        <w:tc>
          <w:tcPr>
            <w:cnfStyle w:val="000100000000" w:firstRow="0" w:lastRow="0" w:firstColumn="0" w:lastColumn="1" w:oddVBand="0" w:evenVBand="0" w:oddHBand="0" w:evenHBand="0" w:firstRowFirstColumn="0" w:firstRowLastColumn="0" w:lastRowFirstColumn="0" w:lastRowLastColumn="0"/>
            <w:tcW w:w="2046" w:type="pct"/>
          </w:tcPr>
          <w:p w14:paraId="455611E9"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Descanso, y canchas para el Esparcimiento.</w:t>
            </w:r>
          </w:p>
        </w:tc>
      </w:tr>
      <w:tr w:rsidR="00D313D5" w:rsidRPr="00D313D5" w14:paraId="2F63C69D" w14:textId="77777777" w:rsidTr="00D313D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661" w:type="pct"/>
          </w:tcPr>
          <w:p w14:paraId="3C9814E2"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Fracc. Rancho San Dimas</w:t>
            </w:r>
          </w:p>
        </w:tc>
        <w:tc>
          <w:tcPr>
            <w:cnfStyle w:val="000010000000" w:firstRow="0" w:lastRow="0" w:firstColumn="0" w:lastColumn="0" w:oddVBand="1" w:evenVBand="0" w:oddHBand="0" w:evenHBand="0" w:firstRowFirstColumn="0" w:firstRowLastColumn="0" w:lastRowFirstColumn="0" w:lastRowLastColumn="0"/>
            <w:tcW w:w="1293" w:type="pct"/>
          </w:tcPr>
          <w:p w14:paraId="3165FA38" w14:textId="77777777" w:rsidR="00D313D5" w:rsidRPr="00D313D5" w:rsidRDefault="00D313D5" w:rsidP="00E6209B">
            <w:pPr>
              <w:spacing w:line="360" w:lineRule="auto"/>
              <w:jc w:val="both"/>
              <w:rPr>
                <w:rFonts w:ascii="Century Gothic" w:hAnsi="Century Gothic"/>
                <w:color w:val="000000" w:themeColor="text1"/>
                <w:sz w:val="20"/>
                <w:szCs w:val="20"/>
              </w:rPr>
            </w:pPr>
            <w:r w:rsidRPr="00D313D5">
              <w:rPr>
                <w:rFonts w:ascii="Century Gothic" w:hAnsi="Century Gothic"/>
                <w:color w:val="000000" w:themeColor="text1"/>
                <w:sz w:val="20"/>
                <w:szCs w:val="20"/>
              </w:rPr>
              <w:t xml:space="preserve">Jardín vecinal </w:t>
            </w:r>
          </w:p>
        </w:tc>
        <w:tc>
          <w:tcPr>
            <w:cnfStyle w:val="000100000000" w:firstRow="0" w:lastRow="0" w:firstColumn="0" w:lastColumn="1" w:oddVBand="0" w:evenVBand="0" w:oddHBand="0" w:evenHBand="0" w:firstRowFirstColumn="0" w:firstRowLastColumn="0" w:lastRowFirstColumn="0" w:lastRowLastColumn="0"/>
            <w:tcW w:w="2046" w:type="pct"/>
          </w:tcPr>
          <w:p w14:paraId="303D0133"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Convivencia, descanso y juegos infantiles</w:t>
            </w:r>
          </w:p>
        </w:tc>
      </w:tr>
      <w:tr w:rsidR="00D313D5" w:rsidRPr="00D313D5" w14:paraId="3CD42F4E" w14:textId="77777777" w:rsidTr="00D313D5">
        <w:trPr>
          <w:trHeight w:val="693"/>
        </w:trPr>
        <w:tc>
          <w:tcPr>
            <w:cnfStyle w:val="001000000000" w:firstRow="0" w:lastRow="0" w:firstColumn="1" w:lastColumn="0" w:oddVBand="0" w:evenVBand="0" w:oddHBand="0" w:evenHBand="0" w:firstRowFirstColumn="0" w:firstRowLastColumn="0" w:lastRowFirstColumn="0" w:lastRowLastColumn="0"/>
            <w:tcW w:w="1661" w:type="pct"/>
          </w:tcPr>
          <w:p w14:paraId="21C73AA5"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Villas Del Sauce</w:t>
            </w:r>
          </w:p>
        </w:tc>
        <w:tc>
          <w:tcPr>
            <w:cnfStyle w:val="000010000000" w:firstRow="0" w:lastRow="0" w:firstColumn="0" w:lastColumn="0" w:oddVBand="1" w:evenVBand="0" w:oddHBand="0" w:evenHBand="0" w:firstRowFirstColumn="0" w:firstRowLastColumn="0" w:lastRowFirstColumn="0" w:lastRowLastColumn="0"/>
            <w:tcW w:w="1293" w:type="pct"/>
          </w:tcPr>
          <w:p w14:paraId="73219BF6" w14:textId="77777777" w:rsidR="00D313D5" w:rsidRPr="00D313D5" w:rsidRDefault="00D313D5" w:rsidP="00E6209B">
            <w:pPr>
              <w:spacing w:line="360" w:lineRule="auto"/>
              <w:jc w:val="both"/>
              <w:rPr>
                <w:rFonts w:ascii="Century Gothic" w:hAnsi="Century Gothic"/>
                <w:color w:val="000000" w:themeColor="text1"/>
                <w:sz w:val="20"/>
                <w:szCs w:val="20"/>
              </w:rPr>
            </w:pPr>
            <w:r w:rsidRPr="00D313D5">
              <w:rPr>
                <w:rFonts w:ascii="Century Gothic" w:hAnsi="Century Gothic"/>
                <w:color w:val="000000" w:themeColor="text1"/>
                <w:sz w:val="20"/>
                <w:szCs w:val="20"/>
              </w:rPr>
              <w:t xml:space="preserve">Jardín vecinal </w:t>
            </w:r>
          </w:p>
        </w:tc>
        <w:tc>
          <w:tcPr>
            <w:cnfStyle w:val="000100000000" w:firstRow="0" w:lastRow="0" w:firstColumn="0" w:lastColumn="1" w:oddVBand="0" w:evenVBand="0" w:oddHBand="0" w:evenHBand="0" w:firstRowFirstColumn="0" w:firstRowLastColumn="0" w:lastRowFirstColumn="0" w:lastRowLastColumn="0"/>
            <w:tcW w:w="2046" w:type="pct"/>
          </w:tcPr>
          <w:p w14:paraId="6B692C44"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Juegos infantiles, áreas verdes, descanso, canchas de esparcimiento y convivencia,</w:t>
            </w:r>
          </w:p>
        </w:tc>
      </w:tr>
      <w:tr w:rsidR="00D313D5" w:rsidRPr="00D313D5" w14:paraId="50058C1D" w14:textId="77777777" w:rsidTr="00D313D5">
        <w:trPr>
          <w:cnfStyle w:val="010000000000" w:firstRow="0" w:lastRow="1"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661" w:type="pct"/>
          </w:tcPr>
          <w:p w14:paraId="33278DE4"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Fraccionamiento La Isla</w:t>
            </w:r>
          </w:p>
        </w:tc>
        <w:tc>
          <w:tcPr>
            <w:cnfStyle w:val="000010000000" w:firstRow="0" w:lastRow="0" w:firstColumn="0" w:lastColumn="0" w:oddVBand="1" w:evenVBand="0" w:oddHBand="0" w:evenHBand="0" w:firstRowFirstColumn="0" w:firstRowLastColumn="0" w:lastRowFirstColumn="0" w:lastRowLastColumn="0"/>
            <w:tcW w:w="1293" w:type="pct"/>
          </w:tcPr>
          <w:p w14:paraId="0F7B3368"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 xml:space="preserve">Jardín vecinal </w:t>
            </w:r>
          </w:p>
        </w:tc>
        <w:tc>
          <w:tcPr>
            <w:cnfStyle w:val="000100000000" w:firstRow="0" w:lastRow="0" w:firstColumn="0" w:lastColumn="1" w:oddVBand="0" w:evenVBand="0" w:oddHBand="0" w:evenHBand="0" w:firstRowFirstColumn="0" w:firstRowLastColumn="0" w:lastRowFirstColumn="0" w:lastRowLastColumn="0"/>
            <w:tcW w:w="2046" w:type="pct"/>
          </w:tcPr>
          <w:p w14:paraId="046FCC84" w14:textId="77777777" w:rsidR="00D313D5" w:rsidRPr="00D313D5" w:rsidRDefault="00D313D5" w:rsidP="00E6209B">
            <w:pPr>
              <w:spacing w:line="360" w:lineRule="auto"/>
              <w:jc w:val="both"/>
              <w:rPr>
                <w:rFonts w:ascii="Century Gothic" w:hAnsi="Century Gothic"/>
                <w:b w:val="0"/>
                <w:bCs w:val="0"/>
                <w:color w:val="000000" w:themeColor="text1"/>
                <w:sz w:val="20"/>
                <w:szCs w:val="20"/>
              </w:rPr>
            </w:pPr>
            <w:r w:rsidRPr="00D313D5">
              <w:rPr>
                <w:rFonts w:ascii="Century Gothic" w:hAnsi="Century Gothic"/>
                <w:b w:val="0"/>
                <w:bCs w:val="0"/>
                <w:color w:val="000000" w:themeColor="text1"/>
                <w:sz w:val="20"/>
                <w:szCs w:val="20"/>
              </w:rPr>
              <w:t>Juegos infantiles, áreas verdes, descanso y convivencia</w:t>
            </w:r>
          </w:p>
        </w:tc>
      </w:tr>
    </w:tbl>
    <w:p w14:paraId="40B8E887" w14:textId="77777777" w:rsidR="00D313D5" w:rsidRPr="00D313D5" w:rsidRDefault="00D313D5" w:rsidP="00D313D5">
      <w:pPr>
        <w:spacing w:after="160" w:line="360" w:lineRule="auto"/>
        <w:jc w:val="both"/>
        <w:rPr>
          <w:rFonts w:ascii="Century Gothic" w:hAnsi="Century Gothic"/>
          <w:bCs/>
          <w:color w:val="000000" w:themeColor="text1"/>
          <w:sz w:val="14"/>
          <w:szCs w:val="14"/>
        </w:rPr>
      </w:pPr>
      <w:r w:rsidRPr="00D313D5">
        <w:rPr>
          <w:rFonts w:ascii="Century Gothic" w:hAnsi="Century Gothic"/>
          <w:bCs/>
          <w:color w:val="000000" w:themeColor="text1"/>
          <w:sz w:val="14"/>
          <w:szCs w:val="14"/>
        </w:rPr>
        <w:t>Fuente: Municipio de San Antonio la Isla 2025-2027</w:t>
      </w:r>
    </w:p>
    <w:p w14:paraId="2292CAF2" w14:textId="5C44835A" w:rsidR="00D313D5" w:rsidRDefault="00D313D5" w:rsidP="00D313D5">
      <w:pPr>
        <w:spacing w:after="160" w:line="360" w:lineRule="auto"/>
        <w:ind w:firstLine="708"/>
        <w:jc w:val="both"/>
        <w:rPr>
          <w:rFonts w:ascii="Century Gothic" w:hAnsi="Century Gothic"/>
          <w:bCs/>
          <w:color w:val="000000" w:themeColor="text1"/>
          <w:sz w:val="22"/>
          <w:szCs w:val="22"/>
        </w:rPr>
      </w:pPr>
      <w:r w:rsidRPr="00023A4E">
        <w:rPr>
          <w:rFonts w:ascii="Century Gothic" w:hAnsi="Century Gothic"/>
          <w:bCs/>
          <w:color w:val="000000" w:themeColor="text1"/>
          <w:sz w:val="22"/>
          <w:szCs w:val="22"/>
        </w:rPr>
        <w:t>San Antonio la Isla no cuenta con un número elevado de parques y jardines y dentro de las actividades que se realizan en ellos, se encuentra la poda de césped, arbustos, y retiro de basura.</w:t>
      </w:r>
    </w:p>
    <w:p w14:paraId="4B6FFDDE" w14:textId="77777777" w:rsidR="00D313D5" w:rsidRDefault="00D313D5">
      <w:pPr>
        <w:rPr>
          <w:rFonts w:ascii="Century Gothic" w:hAnsi="Century Gothic"/>
          <w:bCs/>
          <w:color w:val="000000" w:themeColor="text1"/>
          <w:sz w:val="22"/>
          <w:szCs w:val="22"/>
        </w:rPr>
      </w:pPr>
      <w:r>
        <w:rPr>
          <w:rFonts w:ascii="Century Gothic" w:hAnsi="Century Gothic"/>
          <w:bCs/>
          <w:color w:val="000000" w:themeColor="text1"/>
          <w:sz w:val="22"/>
          <w:szCs w:val="22"/>
        </w:rPr>
        <w:br w:type="page"/>
      </w:r>
    </w:p>
    <w:p w14:paraId="01415E9C" w14:textId="77777777" w:rsidR="00D313D5" w:rsidRDefault="00D313D5" w:rsidP="00D313D5">
      <w:pPr>
        <w:spacing w:after="160" w:line="360" w:lineRule="auto"/>
        <w:ind w:firstLine="708"/>
        <w:jc w:val="both"/>
        <w:rPr>
          <w:rFonts w:ascii="Century Gothic" w:hAnsi="Century Gothic"/>
          <w:bCs/>
          <w:color w:val="000000" w:themeColor="text1"/>
          <w:sz w:val="22"/>
          <w:szCs w:val="22"/>
        </w:rPr>
        <w:sectPr w:rsidR="00D313D5" w:rsidSect="00E30B91">
          <w:pgSz w:w="15840" w:h="12240" w:orient="landscape"/>
          <w:pgMar w:top="1440" w:right="1440" w:bottom="1440" w:left="1440" w:header="709" w:footer="709" w:gutter="0"/>
          <w:cols w:num="2" w:space="708"/>
          <w:docGrid w:linePitch="360"/>
        </w:sectPr>
      </w:pPr>
    </w:p>
    <w:p w14:paraId="575112A1" w14:textId="1D5A7B28" w:rsidR="00D313D5" w:rsidRDefault="00D313D5" w:rsidP="00D313D5">
      <w:pPr>
        <w:spacing w:after="160"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lastRenderedPageBreak/>
        <w:t>Análisis Prospectivo</w:t>
      </w:r>
    </w:p>
    <w:tbl>
      <w:tblPr>
        <w:tblStyle w:val="Tablaconcuadrcula4-nfasis2"/>
        <w:tblW w:w="5000" w:type="pct"/>
        <w:tblLook w:val="01E0" w:firstRow="1" w:lastRow="1" w:firstColumn="1" w:lastColumn="1" w:noHBand="0" w:noVBand="0"/>
      </w:tblPr>
      <w:tblGrid>
        <w:gridCol w:w="2972"/>
        <w:gridCol w:w="5005"/>
        <w:gridCol w:w="4973"/>
      </w:tblGrid>
      <w:tr w:rsidR="00D313D5" w:rsidRPr="00B42001" w14:paraId="17C20470" w14:textId="77777777" w:rsidTr="00B42001">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147" w:type="pct"/>
          </w:tcPr>
          <w:p w14:paraId="2BD55890" w14:textId="77777777" w:rsidR="00D313D5" w:rsidRPr="00B42001" w:rsidRDefault="00D313D5" w:rsidP="00E6209B">
            <w:pPr>
              <w:pStyle w:val="TableParagraph"/>
              <w:spacing w:before="7" w:line="360" w:lineRule="auto"/>
              <w:ind w:left="206"/>
              <w:rPr>
                <w:rFonts w:ascii="Century Gothic" w:hAnsi="Century Gothic"/>
                <w:b w:val="0"/>
                <w:sz w:val="18"/>
                <w:szCs w:val="18"/>
              </w:rPr>
            </w:pPr>
            <w:r w:rsidRPr="00B42001">
              <w:rPr>
                <w:rFonts w:ascii="Century Gothic" w:hAnsi="Century Gothic"/>
                <w:w w:val="90"/>
                <w:sz w:val="18"/>
                <w:szCs w:val="18"/>
              </w:rPr>
              <w:t>Tema</w:t>
            </w:r>
            <w:r w:rsidRPr="00B42001">
              <w:rPr>
                <w:rFonts w:ascii="Century Gothic" w:hAnsi="Century Gothic"/>
                <w:spacing w:val="12"/>
                <w:sz w:val="18"/>
                <w:szCs w:val="18"/>
              </w:rPr>
              <w:t xml:space="preserve"> </w:t>
            </w:r>
            <w:r w:rsidRPr="00B42001">
              <w:rPr>
                <w:rFonts w:ascii="Century Gothic" w:hAnsi="Century Gothic"/>
                <w:w w:val="90"/>
                <w:sz w:val="18"/>
                <w:szCs w:val="18"/>
              </w:rPr>
              <w:t>de</w:t>
            </w:r>
            <w:r w:rsidRPr="00B42001">
              <w:rPr>
                <w:rFonts w:ascii="Century Gothic" w:hAnsi="Century Gothic"/>
                <w:spacing w:val="13"/>
                <w:sz w:val="18"/>
                <w:szCs w:val="18"/>
              </w:rPr>
              <w:t xml:space="preserve"> </w:t>
            </w:r>
            <w:r w:rsidRPr="00B42001">
              <w:rPr>
                <w:rFonts w:ascii="Century Gothic" w:hAnsi="Century Gothic"/>
                <w:w w:val="90"/>
                <w:sz w:val="18"/>
                <w:szCs w:val="18"/>
              </w:rPr>
              <w:t>Desarrollo</w:t>
            </w:r>
            <w:r w:rsidRPr="00B42001">
              <w:rPr>
                <w:rFonts w:ascii="Century Gothic" w:hAnsi="Century Gothic"/>
                <w:spacing w:val="15"/>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1932" w:type="pct"/>
          </w:tcPr>
          <w:p w14:paraId="32B34C27" w14:textId="77777777" w:rsidR="00D313D5" w:rsidRPr="00B42001" w:rsidRDefault="00D313D5" w:rsidP="00E6209B">
            <w:pPr>
              <w:pStyle w:val="TableParagraph"/>
              <w:spacing w:before="7" w:line="360" w:lineRule="auto"/>
              <w:ind w:left="957"/>
              <w:rPr>
                <w:rFonts w:ascii="Century Gothic" w:hAnsi="Century Gothic"/>
                <w:b w:val="0"/>
                <w:sz w:val="18"/>
                <w:szCs w:val="18"/>
              </w:rPr>
            </w:pPr>
            <w:r w:rsidRPr="00B42001">
              <w:rPr>
                <w:rFonts w:ascii="Century Gothic" w:hAnsi="Century Gothic"/>
                <w:w w:val="90"/>
                <w:sz w:val="18"/>
                <w:szCs w:val="18"/>
              </w:rPr>
              <w:t>Escenario</w:t>
            </w:r>
            <w:r w:rsidRPr="00B42001">
              <w:rPr>
                <w:rFonts w:ascii="Century Gothic" w:hAnsi="Century Gothic"/>
                <w:spacing w:val="31"/>
                <w:sz w:val="18"/>
                <w:szCs w:val="18"/>
              </w:rPr>
              <w:t xml:space="preserve"> </w:t>
            </w:r>
            <w:r w:rsidRPr="00B42001">
              <w:rPr>
                <w:rFonts w:ascii="Century Gothic" w:hAnsi="Century Gothic"/>
                <w:spacing w:val="-2"/>
                <w:sz w:val="18"/>
                <w:szCs w:val="18"/>
              </w:rPr>
              <w:t>Tendencial</w:t>
            </w:r>
          </w:p>
        </w:tc>
        <w:tc>
          <w:tcPr>
            <w:cnfStyle w:val="000100000000" w:firstRow="0" w:lastRow="0" w:firstColumn="0" w:lastColumn="1" w:oddVBand="0" w:evenVBand="0" w:oddHBand="0" w:evenHBand="0" w:firstRowFirstColumn="0" w:firstRowLastColumn="0" w:lastRowFirstColumn="0" w:lastRowLastColumn="0"/>
            <w:tcW w:w="1920" w:type="pct"/>
          </w:tcPr>
          <w:p w14:paraId="237D44B8" w14:textId="77777777" w:rsidR="00D313D5" w:rsidRPr="00B42001" w:rsidRDefault="00D313D5" w:rsidP="00E6209B">
            <w:pPr>
              <w:pStyle w:val="TableParagraph"/>
              <w:spacing w:before="7" w:line="360" w:lineRule="auto"/>
              <w:ind w:left="1727"/>
              <w:jc w:val="both"/>
              <w:rPr>
                <w:rFonts w:ascii="Century Gothic" w:hAnsi="Century Gothic"/>
                <w:b w:val="0"/>
                <w:sz w:val="18"/>
                <w:szCs w:val="18"/>
              </w:rPr>
            </w:pPr>
            <w:r w:rsidRPr="00B42001">
              <w:rPr>
                <w:rFonts w:ascii="Century Gothic" w:hAnsi="Century Gothic"/>
                <w:w w:val="90"/>
                <w:sz w:val="18"/>
                <w:szCs w:val="18"/>
              </w:rPr>
              <w:t>Escenario</w:t>
            </w:r>
            <w:r w:rsidRPr="00B42001">
              <w:rPr>
                <w:rFonts w:ascii="Century Gothic" w:hAnsi="Century Gothic"/>
                <w:spacing w:val="24"/>
                <w:sz w:val="18"/>
                <w:szCs w:val="18"/>
              </w:rPr>
              <w:t xml:space="preserve"> </w:t>
            </w:r>
            <w:r w:rsidRPr="00B42001">
              <w:rPr>
                <w:rFonts w:ascii="Century Gothic" w:hAnsi="Century Gothic"/>
                <w:spacing w:val="-2"/>
                <w:sz w:val="18"/>
                <w:szCs w:val="18"/>
              </w:rPr>
              <w:t>Factible</w:t>
            </w:r>
          </w:p>
        </w:tc>
      </w:tr>
      <w:tr w:rsidR="00D313D5" w:rsidRPr="00B42001" w14:paraId="337A3C75" w14:textId="77777777" w:rsidTr="00B42001">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147" w:type="pct"/>
          </w:tcPr>
          <w:p w14:paraId="0930FC01" w14:textId="77777777" w:rsidR="00D313D5" w:rsidRPr="00B42001" w:rsidRDefault="00D313D5" w:rsidP="00E6209B">
            <w:pPr>
              <w:pStyle w:val="TableParagraph"/>
              <w:spacing w:before="2" w:line="360" w:lineRule="auto"/>
              <w:rPr>
                <w:rFonts w:ascii="Century Gothic" w:hAnsi="Century Gothic"/>
                <w:b w:val="0"/>
                <w:bCs w:val="0"/>
                <w:sz w:val="18"/>
                <w:szCs w:val="18"/>
              </w:rPr>
            </w:pPr>
            <w:r w:rsidRPr="00B42001">
              <w:rPr>
                <w:rFonts w:ascii="Century Gothic" w:hAnsi="Century Gothic"/>
                <w:b w:val="0"/>
                <w:bCs w:val="0"/>
                <w:sz w:val="18"/>
                <w:szCs w:val="18"/>
              </w:rPr>
              <w:t>Combate a la pobreza y reducción de carencias sociales</w:t>
            </w:r>
          </w:p>
        </w:tc>
        <w:tc>
          <w:tcPr>
            <w:cnfStyle w:val="000010000000" w:firstRow="0" w:lastRow="0" w:firstColumn="0" w:lastColumn="0" w:oddVBand="1" w:evenVBand="0" w:oddHBand="0" w:evenHBand="0" w:firstRowFirstColumn="0" w:firstRowLastColumn="0" w:lastRowFirstColumn="0" w:lastRowLastColumn="0"/>
            <w:tcW w:w="1932" w:type="pct"/>
          </w:tcPr>
          <w:p w14:paraId="3740787F" w14:textId="77777777" w:rsidR="00D313D5" w:rsidRPr="00B42001" w:rsidRDefault="00D313D5" w:rsidP="00E6209B">
            <w:pPr>
              <w:pStyle w:val="TableParagraph"/>
              <w:spacing w:line="360" w:lineRule="auto"/>
              <w:ind w:left="108"/>
              <w:jc w:val="both"/>
              <w:rPr>
                <w:rFonts w:ascii="Century Gothic" w:hAnsi="Century Gothic"/>
                <w:sz w:val="18"/>
                <w:szCs w:val="18"/>
              </w:rPr>
            </w:pPr>
            <w:r w:rsidRPr="00B42001">
              <w:rPr>
                <w:rFonts w:ascii="Century Gothic" w:hAnsi="Century Gothic"/>
                <w:sz w:val="18"/>
                <w:szCs w:val="18"/>
              </w:rPr>
              <w:t xml:space="preserve">En las estrategias de combate a la pobreza a los gobiernos se les ha olvidado que la pobreza es el resultado de fallas en diversas áreas: un municipio con un bajo o nulo crecimiento económico y una estructura fragmentada de la seguridad social. La pobreza es sobre todo un síntoma de muchas cosas que no van bien. </w:t>
            </w:r>
          </w:p>
        </w:tc>
        <w:tc>
          <w:tcPr>
            <w:cnfStyle w:val="000100000000" w:firstRow="0" w:lastRow="0" w:firstColumn="0" w:lastColumn="1" w:oddVBand="0" w:evenVBand="0" w:oddHBand="0" w:evenHBand="0" w:firstRowFirstColumn="0" w:firstRowLastColumn="0" w:lastRowFirstColumn="0" w:lastRowLastColumn="0"/>
            <w:tcW w:w="1920" w:type="pct"/>
          </w:tcPr>
          <w:p w14:paraId="3F5B7A93" w14:textId="77777777" w:rsidR="00D313D5" w:rsidRPr="00B42001" w:rsidRDefault="00D313D5" w:rsidP="00E6209B">
            <w:pPr>
              <w:pStyle w:val="TableParagraph"/>
              <w:spacing w:before="2" w:line="360" w:lineRule="auto"/>
              <w:ind w:left="107" w:right="201"/>
              <w:jc w:val="both"/>
              <w:rPr>
                <w:rFonts w:ascii="Century Gothic" w:hAnsi="Century Gothic"/>
                <w:b w:val="0"/>
                <w:bCs w:val="0"/>
                <w:sz w:val="18"/>
                <w:szCs w:val="18"/>
              </w:rPr>
            </w:pPr>
            <w:r w:rsidRPr="00B42001">
              <w:rPr>
                <w:rFonts w:ascii="Century Gothic" w:hAnsi="Century Gothic"/>
                <w:b w:val="0"/>
                <w:bCs w:val="0"/>
                <w:sz w:val="18"/>
                <w:szCs w:val="18"/>
              </w:rPr>
              <w:t>Para reducir la pobreza no basta con atacar los síntomas con programas sociales, por más que sean muchos y electoralmente efectivos. El crecimiento económico es vital para reducir la pobreza.</w:t>
            </w:r>
          </w:p>
        </w:tc>
      </w:tr>
      <w:tr w:rsidR="00D313D5" w:rsidRPr="00B42001" w14:paraId="1E6512E6" w14:textId="77777777" w:rsidTr="00B42001">
        <w:trPr>
          <w:trHeight w:val="1271"/>
        </w:trPr>
        <w:tc>
          <w:tcPr>
            <w:cnfStyle w:val="001000000000" w:firstRow="0" w:lastRow="0" w:firstColumn="1" w:lastColumn="0" w:oddVBand="0" w:evenVBand="0" w:oddHBand="0" w:evenHBand="0" w:firstRowFirstColumn="0" w:firstRowLastColumn="0" w:lastRowFirstColumn="0" w:lastRowLastColumn="0"/>
            <w:tcW w:w="1147" w:type="pct"/>
          </w:tcPr>
          <w:p w14:paraId="736E3349" w14:textId="77777777" w:rsidR="00D313D5" w:rsidRPr="00B42001" w:rsidRDefault="00D313D5" w:rsidP="00E6209B">
            <w:pPr>
              <w:pStyle w:val="TableParagraph"/>
              <w:spacing w:before="2" w:line="360" w:lineRule="auto"/>
              <w:jc w:val="both"/>
              <w:rPr>
                <w:rFonts w:ascii="Century Gothic" w:hAnsi="Century Gothic"/>
                <w:b w:val="0"/>
                <w:bCs w:val="0"/>
                <w:color w:val="FF0000"/>
                <w:w w:val="85"/>
                <w:sz w:val="18"/>
                <w:szCs w:val="18"/>
              </w:rPr>
            </w:pPr>
            <w:r w:rsidRPr="00B42001">
              <w:rPr>
                <w:rFonts w:ascii="Century Gothic" w:hAnsi="Century Gothic"/>
                <w:b w:val="0"/>
                <w:bCs w:val="0"/>
                <w:sz w:val="18"/>
                <w:szCs w:val="18"/>
              </w:rPr>
              <w:t>Mujeres con bienestar integral</w:t>
            </w:r>
          </w:p>
        </w:tc>
        <w:tc>
          <w:tcPr>
            <w:cnfStyle w:val="000010000000" w:firstRow="0" w:lastRow="0" w:firstColumn="0" w:lastColumn="0" w:oddVBand="1" w:evenVBand="0" w:oddHBand="0" w:evenHBand="0" w:firstRowFirstColumn="0" w:firstRowLastColumn="0" w:lastRowFirstColumn="0" w:lastRowLastColumn="0"/>
            <w:tcW w:w="1932" w:type="pct"/>
          </w:tcPr>
          <w:p w14:paraId="65B26F1A" w14:textId="77777777" w:rsidR="00D313D5" w:rsidRPr="00B42001" w:rsidRDefault="00D313D5" w:rsidP="00E6209B">
            <w:pPr>
              <w:pStyle w:val="TableParagraph"/>
              <w:spacing w:before="146" w:line="360" w:lineRule="auto"/>
              <w:ind w:right="204"/>
              <w:jc w:val="both"/>
              <w:rPr>
                <w:rFonts w:ascii="Century Gothic" w:hAnsi="Century Gothic"/>
                <w:sz w:val="18"/>
                <w:szCs w:val="18"/>
              </w:rPr>
            </w:pPr>
            <w:r w:rsidRPr="00B42001">
              <w:rPr>
                <w:rFonts w:ascii="Century Gothic" w:hAnsi="Century Gothic"/>
                <w:sz w:val="18"/>
                <w:szCs w:val="18"/>
              </w:rPr>
              <w:t xml:space="preserve">El municipio se ha caracterizado por salvaguardar la integridad física y patrimonial de las mujeres sin embargo todavía existe una brecha de desigualdad y de empoderamiento de la mujer </w:t>
            </w:r>
            <w:proofErr w:type="spellStart"/>
            <w:r w:rsidRPr="00B42001">
              <w:rPr>
                <w:rFonts w:ascii="Century Gothic" w:hAnsi="Century Gothic"/>
                <w:sz w:val="18"/>
                <w:szCs w:val="18"/>
              </w:rPr>
              <w:t>Islense</w:t>
            </w:r>
            <w:proofErr w:type="spellEnd"/>
            <w:r w:rsidRPr="00B42001">
              <w:rPr>
                <w:rFonts w:ascii="Century Gothic" w:hAnsi="Century Gothic"/>
                <w:sz w:val="18"/>
                <w:szCs w:val="18"/>
              </w:rPr>
              <w:t>.</w:t>
            </w:r>
          </w:p>
        </w:tc>
        <w:tc>
          <w:tcPr>
            <w:cnfStyle w:val="000100000000" w:firstRow="0" w:lastRow="0" w:firstColumn="0" w:lastColumn="1" w:oddVBand="0" w:evenVBand="0" w:oddHBand="0" w:evenHBand="0" w:firstRowFirstColumn="0" w:firstRowLastColumn="0" w:lastRowFirstColumn="0" w:lastRowLastColumn="0"/>
            <w:tcW w:w="1920" w:type="pct"/>
          </w:tcPr>
          <w:p w14:paraId="095D34C1" w14:textId="77777777" w:rsidR="00D313D5" w:rsidRPr="00B42001" w:rsidRDefault="00D313D5" w:rsidP="00E6209B">
            <w:pPr>
              <w:pStyle w:val="TableParagraph"/>
              <w:spacing w:before="4" w:line="360" w:lineRule="auto"/>
              <w:ind w:left="107" w:right="205"/>
              <w:jc w:val="both"/>
              <w:rPr>
                <w:rFonts w:ascii="Century Gothic" w:hAnsi="Century Gothic"/>
                <w:b w:val="0"/>
                <w:bCs w:val="0"/>
                <w:sz w:val="18"/>
                <w:szCs w:val="18"/>
              </w:rPr>
            </w:pPr>
          </w:p>
          <w:p w14:paraId="57BD90B3" w14:textId="77777777" w:rsidR="00D313D5" w:rsidRPr="00B42001" w:rsidRDefault="00D313D5" w:rsidP="00E6209B">
            <w:pPr>
              <w:pStyle w:val="TableParagraph"/>
              <w:spacing w:before="4" w:line="360" w:lineRule="auto"/>
              <w:ind w:left="107" w:right="205"/>
              <w:jc w:val="both"/>
              <w:rPr>
                <w:rFonts w:ascii="Century Gothic" w:hAnsi="Century Gothic"/>
                <w:b w:val="0"/>
                <w:bCs w:val="0"/>
                <w:sz w:val="18"/>
                <w:szCs w:val="18"/>
              </w:rPr>
            </w:pPr>
            <w:r w:rsidRPr="00B42001">
              <w:rPr>
                <w:rFonts w:ascii="Century Gothic" w:hAnsi="Century Gothic"/>
                <w:b w:val="0"/>
                <w:bCs w:val="0"/>
                <w:sz w:val="18"/>
                <w:szCs w:val="18"/>
              </w:rPr>
              <w:t xml:space="preserve">Se apoyará de manera integral a las mujeres </w:t>
            </w:r>
            <w:proofErr w:type="spellStart"/>
            <w:r w:rsidRPr="00B42001">
              <w:rPr>
                <w:rFonts w:ascii="Century Gothic" w:hAnsi="Century Gothic"/>
                <w:b w:val="0"/>
                <w:bCs w:val="0"/>
                <w:sz w:val="18"/>
                <w:szCs w:val="18"/>
              </w:rPr>
              <w:t>islenses</w:t>
            </w:r>
            <w:proofErr w:type="spellEnd"/>
            <w:r w:rsidRPr="00B42001">
              <w:rPr>
                <w:rFonts w:ascii="Century Gothic" w:hAnsi="Century Gothic"/>
                <w:b w:val="0"/>
                <w:bCs w:val="0"/>
                <w:sz w:val="18"/>
                <w:szCs w:val="18"/>
              </w:rPr>
              <w:t xml:space="preserve"> con la finalidad para su empoderamiento y mejores condiciones de vida.</w:t>
            </w:r>
          </w:p>
        </w:tc>
      </w:tr>
      <w:tr w:rsidR="00D313D5" w:rsidRPr="00B42001" w14:paraId="09FB686E" w14:textId="77777777" w:rsidTr="00B42001">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1147" w:type="pct"/>
          </w:tcPr>
          <w:p w14:paraId="2692BC4D" w14:textId="77777777" w:rsidR="00D313D5" w:rsidRPr="00B42001" w:rsidRDefault="00D313D5" w:rsidP="00E6209B">
            <w:pPr>
              <w:pStyle w:val="TableParagraph"/>
              <w:spacing w:before="2" w:line="360" w:lineRule="auto"/>
              <w:jc w:val="both"/>
              <w:rPr>
                <w:rFonts w:ascii="Century Gothic" w:hAnsi="Century Gothic"/>
                <w:b w:val="0"/>
                <w:bCs w:val="0"/>
                <w:color w:val="FF0000"/>
                <w:w w:val="85"/>
                <w:sz w:val="18"/>
                <w:szCs w:val="18"/>
              </w:rPr>
            </w:pPr>
            <w:r w:rsidRPr="00B42001">
              <w:rPr>
                <w:rFonts w:ascii="Century Gothic" w:hAnsi="Century Gothic"/>
                <w:b w:val="0"/>
                <w:bCs w:val="0"/>
                <w:sz w:val="18"/>
                <w:szCs w:val="18"/>
              </w:rPr>
              <w:t>Atención a grupos vulnerables</w:t>
            </w:r>
          </w:p>
        </w:tc>
        <w:tc>
          <w:tcPr>
            <w:cnfStyle w:val="000010000000" w:firstRow="0" w:lastRow="0" w:firstColumn="0" w:lastColumn="0" w:oddVBand="1" w:evenVBand="0" w:oddHBand="0" w:evenHBand="0" w:firstRowFirstColumn="0" w:firstRowLastColumn="0" w:lastRowFirstColumn="0" w:lastRowLastColumn="0"/>
            <w:tcW w:w="1932" w:type="pct"/>
          </w:tcPr>
          <w:p w14:paraId="664E9908" w14:textId="77777777" w:rsidR="00D313D5" w:rsidRPr="00B42001" w:rsidRDefault="00D313D5" w:rsidP="00E6209B">
            <w:pPr>
              <w:pStyle w:val="TableParagraph"/>
              <w:spacing w:before="146" w:line="360" w:lineRule="auto"/>
              <w:ind w:left="108" w:right="204"/>
              <w:jc w:val="both"/>
              <w:rPr>
                <w:rFonts w:ascii="Century Gothic" w:hAnsi="Century Gothic"/>
                <w:sz w:val="18"/>
                <w:szCs w:val="18"/>
              </w:rPr>
            </w:pPr>
            <w:r w:rsidRPr="00B42001">
              <w:rPr>
                <w:rFonts w:ascii="Century Gothic" w:hAnsi="Century Gothic"/>
                <w:sz w:val="18"/>
                <w:szCs w:val="18"/>
              </w:rPr>
              <w:t>Los apoyos relacionados a estos sectores de la población son insuficientes para atender la demanda social.</w:t>
            </w:r>
          </w:p>
        </w:tc>
        <w:tc>
          <w:tcPr>
            <w:cnfStyle w:val="000100000000" w:firstRow="0" w:lastRow="0" w:firstColumn="0" w:lastColumn="1" w:oddVBand="0" w:evenVBand="0" w:oddHBand="0" w:evenHBand="0" w:firstRowFirstColumn="0" w:firstRowLastColumn="0" w:lastRowFirstColumn="0" w:lastRowLastColumn="0"/>
            <w:tcW w:w="1920" w:type="pct"/>
          </w:tcPr>
          <w:p w14:paraId="7051B78C" w14:textId="77777777" w:rsidR="00D313D5" w:rsidRPr="00B42001" w:rsidRDefault="00D313D5" w:rsidP="00E6209B">
            <w:pPr>
              <w:pStyle w:val="TableParagraph"/>
              <w:spacing w:line="360" w:lineRule="auto"/>
              <w:ind w:right="205"/>
              <w:jc w:val="both"/>
              <w:rPr>
                <w:rFonts w:ascii="Century Gothic" w:hAnsi="Century Gothic"/>
                <w:b w:val="0"/>
                <w:bCs w:val="0"/>
                <w:sz w:val="18"/>
                <w:szCs w:val="18"/>
              </w:rPr>
            </w:pPr>
            <w:r w:rsidRPr="00B42001">
              <w:rPr>
                <w:rFonts w:ascii="Century Gothic" w:hAnsi="Century Gothic"/>
                <w:b w:val="0"/>
                <w:bCs w:val="0"/>
                <w:sz w:val="18"/>
                <w:szCs w:val="18"/>
              </w:rPr>
              <w:t>Gestión de programas que salvaguarden los derechos de los niños, jóvenes, adultos mayores y personas en situación de discapacidad. Además, se realizarán actividades sociales, culturales, deportivas y de esparcimiento.</w:t>
            </w:r>
          </w:p>
        </w:tc>
      </w:tr>
      <w:tr w:rsidR="00D313D5" w:rsidRPr="00B42001" w14:paraId="22A94837" w14:textId="77777777" w:rsidTr="00B42001">
        <w:trPr>
          <w:trHeight w:val="1271"/>
        </w:trPr>
        <w:tc>
          <w:tcPr>
            <w:cnfStyle w:val="001000000000" w:firstRow="0" w:lastRow="0" w:firstColumn="1" w:lastColumn="0" w:oddVBand="0" w:evenVBand="0" w:oddHBand="0" w:evenHBand="0" w:firstRowFirstColumn="0" w:firstRowLastColumn="0" w:lastRowFirstColumn="0" w:lastRowLastColumn="0"/>
            <w:tcW w:w="1147" w:type="pct"/>
          </w:tcPr>
          <w:p w14:paraId="0CE1ED1A" w14:textId="77777777" w:rsidR="00D313D5" w:rsidRPr="00B42001" w:rsidRDefault="00D313D5" w:rsidP="00E6209B">
            <w:pPr>
              <w:pStyle w:val="TableParagraph"/>
              <w:spacing w:before="2" w:line="360" w:lineRule="auto"/>
              <w:jc w:val="both"/>
              <w:rPr>
                <w:rFonts w:ascii="Century Gothic" w:hAnsi="Century Gothic"/>
                <w:b w:val="0"/>
                <w:bCs w:val="0"/>
                <w:w w:val="85"/>
                <w:sz w:val="18"/>
                <w:szCs w:val="18"/>
              </w:rPr>
            </w:pPr>
            <w:r w:rsidRPr="00B42001">
              <w:rPr>
                <w:rFonts w:ascii="Century Gothic" w:hAnsi="Century Gothic"/>
                <w:b w:val="0"/>
                <w:bCs w:val="0"/>
                <w:sz w:val="18"/>
                <w:szCs w:val="18"/>
              </w:rPr>
              <w:t>Educación de excelencia y humanista para el bienestar de las niñas, niños, adolescentes, jóvenes y adultos</w:t>
            </w:r>
          </w:p>
        </w:tc>
        <w:tc>
          <w:tcPr>
            <w:cnfStyle w:val="000010000000" w:firstRow="0" w:lastRow="0" w:firstColumn="0" w:lastColumn="0" w:oddVBand="1" w:evenVBand="0" w:oddHBand="0" w:evenHBand="0" w:firstRowFirstColumn="0" w:firstRowLastColumn="0" w:lastRowFirstColumn="0" w:lastRowLastColumn="0"/>
            <w:tcW w:w="1932" w:type="pct"/>
          </w:tcPr>
          <w:p w14:paraId="5251A735" w14:textId="77777777" w:rsidR="00D313D5" w:rsidRPr="00B42001" w:rsidRDefault="00D313D5" w:rsidP="00E6209B">
            <w:pPr>
              <w:pStyle w:val="TableParagraph"/>
              <w:spacing w:before="146" w:line="360" w:lineRule="auto"/>
              <w:ind w:left="108" w:right="204"/>
              <w:rPr>
                <w:rFonts w:ascii="Century Gothic" w:hAnsi="Century Gothic"/>
                <w:sz w:val="18"/>
                <w:szCs w:val="18"/>
              </w:rPr>
            </w:pPr>
            <w:r w:rsidRPr="00B42001">
              <w:rPr>
                <w:rFonts w:ascii="Century Gothic" w:hAnsi="Century Gothic"/>
                <w:sz w:val="18"/>
                <w:szCs w:val="18"/>
              </w:rPr>
              <w:t xml:space="preserve">Según los distintos indicadores que miden la calidad de vida, en nuestro municipio, los ingresos son la principal causa de abandono de estudios. </w:t>
            </w:r>
          </w:p>
        </w:tc>
        <w:tc>
          <w:tcPr>
            <w:cnfStyle w:val="000100000000" w:firstRow="0" w:lastRow="0" w:firstColumn="0" w:lastColumn="1" w:oddVBand="0" w:evenVBand="0" w:oddHBand="0" w:evenHBand="0" w:firstRowFirstColumn="0" w:firstRowLastColumn="0" w:lastRowFirstColumn="0" w:lastRowLastColumn="0"/>
            <w:tcW w:w="1920" w:type="pct"/>
          </w:tcPr>
          <w:p w14:paraId="21886EE7" w14:textId="77777777" w:rsidR="00D313D5" w:rsidRPr="00B42001" w:rsidRDefault="00D313D5" w:rsidP="00E6209B">
            <w:pPr>
              <w:pStyle w:val="TableParagraph"/>
              <w:spacing w:before="4" w:line="360" w:lineRule="auto"/>
              <w:ind w:right="205"/>
              <w:jc w:val="both"/>
              <w:rPr>
                <w:rFonts w:ascii="Century Gothic" w:hAnsi="Century Gothic"/>
                <w:b w:val="0"/>
                <w:bCs w:val="0"/>
                <w:sz w:val="18"/>
                <w:szCs w:val="18"/>
              </w:rPr>
            </w:pPr>
            <w:r w:rsidRPr="00B42001">
              <w:rPr>
                <w:rFonts w:ascii="Century Gothic" w:hAnsi="Century Gothic"/>
                <w:b w:val="0"/>
                <w:bCs w:val="0"/>
                <w:sz w:val="18"/>
                <w:szCs w:val="18"/>
              </w:rPr>
              <w:t>Se gestionarán becas que estimulen e incrementen la matrícula de alumnos en las escuelas del municipio.</w:t>
            </w:r>
          </w:p>
          <w:p w14:paraId="0A1354CF" w14:textId="77777777" w:rsidR="00D313D5" w:rsidRPr="00B42001" w:rsidRDefault="00D313D5" w:rsidP="00E6209B">
            <w:pPr>
              <w:pStyle w:val="TableParagraph"/>
              <w:spacing w:before="4" w:line="360" w:lineRule="auto"/>
              <w:ind w:right="205"/>
              <w:jc w:val="both"/>
              <w:rPr>
                <w:rFonts w:ascii="Century Gothic" w:hAnsi="Century Gothic"/>
                <w:b w:val="0"/>
                <w:bCs w:val="0"/>
                <w:sz w:val="18"/>
                <w:szCs w:val="18"/>
              </w:rPr>
            </w:pPr>
          </w:p>
        </w:tc>
      </w:tr>
      <w:tr w:rsidR="00D313D5" w:rsidRPr="00B42001" w14:paraId="24CA01EA" w14:textId="77777777" w:rsidTr="00B42001">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1147" w:type="pct"/>
          </w:tcPr>
          <w:p w14:paraId="5344369A" w14:textId="77777777" w:rsidR="00D313D5" w:rsidRPr="00B42001" w:rsidRDefault="00D313D5" w:rsidP="00E6209B">
            <w:pPr>
              <w:pStyle w:val="TableParagraph"/>
              <w:spacing w:before="149" w:line="360" w:lineRule="auto"/>
              <w:ind w:right="721"/>
              <w:jc w:val="both"/>
              <w:rPr>
                <w:rFonts w:ascii="Century Gothic" w:hAnsi="Century Gothic"/>
                <w:b w:val="0"/>
                <w:bCs w:val="0"/>
                <w:sz w:val="18"/>
                <w:szCs w:val="18"/>
              </w:rPr>
            </w:pPr>
            <w:r w:rsidRPr="00B42001">
              <w:rPr>
                <w:rFonts w:ascii="Century Gothic" w:hAnsi="Century Gothic"/>
                <w:b w:val="0"/>
                <w:bCs w:val="0"/>
                <w:sz w:val="18"/>
                <w:szCs w:val="18"/>
              </w:rPr>
              <w:t xml:space="preserve">Acceso a la salud integral </w:t>
            </w:r>
          </w:p>
        </w:tc>
        <w:tc>
          <w:tcPr>
            <w:cnfStyle w:val="000010000000" w:firstRow="0" w:lastRow="0" w:firstColumn="0" w:lastColumn="0" w:oddVBand="1" w:evenVBand="0" w:oddHBand="0" w:evenHBand="0" w:firstRowFirstColumn="0" w:firstRowLastColumn="0" w:lastRowFirstColumn="0" w:lastRowLastColumn="0"/>
            <w:tcW w:w="1932" w:type="pct"/>
          </w:tcPr>
          <w:p w14:paraId="7AEF9CDD" w14:textId="77777777" w:rsidR="00D313D5" w:rsidRPr="00B42001" w:rsidRDefault="00D313D5" w:rsidP="00E6209B">
            <w:pPr>
              <w:pStyle w:val="TableParagraph"/>
              <w:spacing w:line="360" w:lineRule="auto"/>
              <w:ind w:left="108" w:right="203"/>
              <w:jc w:val="both"/>
              <w:rPr>
                <w:rFonts w:ascii="Century Gothic" w:hAnsi="Century Gothic"/>
                <w:sz w:val="18"/>
                <w:szCs w:val="18"/>
              </w:rPr>
            </w:pPr>
            <w:r w:rsidRPr="00B42001">
              <w:rPr>
                <w:rFonts w:ascii="Century Gothic" w:hAnsi="Century Gothic"/>
                <w:sz w:val="18"/>
                <w:szCs w:val="18"/>
              </w:rPr>
              <w:t xml:space="preserve">El sistema de salud municipal es insuficiente, debido a que la población ha crecido y con ello la demanda, las clínicas son insuficientes y no se cuentan con los equipamientos necesarios para </w:t>
            </w:r>
            <w:r w:rsidRPr="00B42001">
              <w:rPr>
                <w:rFonts w:ascii="Century Gothic" w:hAnsi="Century Gothic"/>
                <w:sz w:val="18"/>
                <w:szCs w:val="18"/>
              </w:rPr>
              <w:lastRenderedPageBreak/>
              <w:t>atender a la población, la falta de medicamentos y programas de apoyo es notorio</w:t>
            </w:r>
          </w:p>
        </w:tc>
        <w:tc>
          <w:tcPr>
            <w:cnfStyle w:val="000100000000" w:firstRow="0" w:lastRow="0" w:firstColumn="0" w:lastColumn="1" w:oddVBand="0" w:evenVBand="0" w:oddHBand="0" w:evenHBand="0" w:firstRowFirstColumn="0" w:firstRowLastColumn="0" w:lastRowFirstColumn="0" w:lastRowLastColumn="0"/>
            <w:tcW w:w="1920" w:type="pct"/>
          </w:tcPr>
          <w:p w14:paraId="5561D234" w14:textId="14706C1E" w:rsidR="00D313D5" w:rsidRPr="00B42001" w:rsidRDefault="00D313D5" w:rsidP="00E6209B">
            <w:pPr>
              <w:pStyle w:val="TableParagraph"/>
              <w:spacing w:before="22" w:line="360" w:lineRule="auto"/>
              <w:ind w:right="207"/>
              <w:jc w:val="both"/>
              <w:rPr>
                <w:rFonts w:ascii="Century Gothic" w:hAnsi="Century Gothic"/>
                <w:b w:val="0"/>
                <w:bCs w:val="0"/>
                <w:sz w:val="18"/>
                <w:szCs w:val="18"/>
              </w:rPr>
            </w:pPr>
            <w:r w:rsidRPr="00B42001">
              <w:rPr>
                <w:rFonts w:ascii="Century Gothic" w:hAnsi="Century Gothic"/>
                <w:b w:val="0"/>
                <w:bCs w:val="0"/>
                <w:sz w:val="18"/>
                <w:szCs w:val="18"/>
              </w:rPr>
              <w:lastRenderedPageBreak/>
              <w:t xml:space="preserve">Contar con el personal necesario y capacitado para atender las necesidades de las poblaciones más vulnerables en zonas </w:t>
            </w:r>
            <w:r w:rsidR="00F94661" w:rsidRPr="00B42001">
              <w:rPr>
                <w:rFonts w:ascii="Century Gothic" w:hAnsi="Century Gothic"/>
                <w:b w:val="0"/>
                <w:bCs w:val="0"/>
                <w:sz w:val="18"/>
                <w:szCs w:val="18"/>
              </w:rPr>
              <w:t>subtendidas</w:t>
            </w:r>
            <w:r w:rsidRPr="00B42001">
              <w:rPr>
                <w:rFonts w:ascii="Century Gothic" w:hAnsi="Century Gothic"/>
                <w:b w:val="0"/>
                <w:bCs w:val="0"/>
                <w:sz w:val="18"/>
                <w:szCs w:val="18"/>
              </w:rPr>
              <w:t xml:space="preserve">, reducir las inequidades y responder a las necesidades de salud </w:t>
            </w:r>
            <w:r w:rsidRPr="00B42001">
              <w:rPr>
                <w:rFonts w:ascii="Century Gothic" w:hAnsi="Century Gothic"/>
                <w:b w:val="0"/>
                <w:bCs w:val="0"/>
                <w:sz w:val="18"/>
                <w:szCs w:val="18"/>
              </w:rPr>
              <w:lastRenderedPageBreak/>
              <w:t>de las personas y comunidades, es un eje estratégico esencial para lograr el acceso efectivo a los servicios de salud de calidad.</w:t>
            </w:r>
          </w:p>
        </w:tc>
      </w:tr>
      <w:tr w:rsidR="00D313D5" w:rsidRPr="00B42001" w14:paraId="4A429E11" w14:textId="77777777" w:rsidTr="00B42001">
        <w:trPr>
          <w:trHeight w:val="999"/>
        </w:trPr>
        <w:tc>
          <w:tcPr>
            <w:cnfStyle w:val="001000000000" w:firstRow="0" w:lastRow="0" w:firstColumn="1" w:lastColumn="0" w:oddVBand="0" w:evenVBand="0" w:oddHBand="0" w:evenHBand="0" w:firstRowFirstColumn="0" w:firstRowLastColumn="0" w:lastRowFirstColumn="0" w:lastRowLastColumn="0"/>
            <w:tcW w:w="1147" w:type="pct"/>
          </w:tcPr>
          <w:p w14:paraId="74B82C7F" w14:textId="77777777" w:rsidR="00D313D5" w:rsidRPr="00B42001" w:rsidRDefault="00D313D5" w:rsidP="00E6209B">
            <w:pPr>
              <w:pStyle w:val="TableParagraph"/>
              <w:spacing w:before="2" w:line="360" w:lineRule="auto"/>
              <w:ind w:right="721"/>
              <w:jc w:val="both"/>
              <w:rPr>
                <w:rFonts w:ascii="Century Gothic" w:hAnsi="Century Gothic"/>
                <w:b w:val="0"/>
                <w:bCs w:val="0"/>
                <w:sz w:val="18"/>
                <w:szCs w:val="18"/>
              </w:rPr>
            </w:pPr>
            <w:r w:rsidRPr="00B42001">
              <w:rPr>
                <w:rFonts w:ascii="Century Gothic" w:hAnsi="Century Gothic"/>
                <w:b w:val="0"/>
                <w:bCs w:val="0"/>
                <w:sz w:val="18"/>
                <w:szCs w:val="18"/>
              </w:rPr>
              <w:t xml:space="preserve">Fomento a la cultura y al arte </w:t>
            </w:r>
          </w:p>
        </w:tc>
        <w:tc>
          <w:tcPr>
            <w:cnfStyle w:val="000010000000" w:firstRow="0" w:lastRow="0" w:firstColumn="0" w:lastColumn="0" w:oddVBand="1" w:evenVBand="0" w:oddHBand="0" w:evenHBand="0" w:firstRowFirstColumn="0" w:firstRowLastColumn="0" w:lastRowFirstColumn="0" w:lastRowLastColumn="0"/>
            <w:tcW w:w="1932" w:type="pct"/>
          </w:tcPr>
          <w:p w14:paraId="588FF0B5" w14:textId="77777777" w:rsidR="00D313D5" w:rsidRPr="00B42001" w:rsidRDefault="00D313D5" w:rsidP="00E6209B">
            <w:pPr>
              <w:pStyle w:val="TableParagraph"/>
              <w:spacing w:before="2" w:line="360" w:lineRule="auto"/>
              <w:ind w:left="108" w:right="208"/>
              <w:jc w:val="both"/>
              <w:rPr>
                <w:rFonts w:ascii="Century Gothic" w:hAnsi="Century Gothic"/>
                <w:sz w:val="18"/>
                <w:szCs w:val="18"/>
              </w:rPr>
            </w:pPr>
            <w:r w:rsidRPr="00B42001">
              <w:rPr>
                <w:rFonts w:ascii="Century Gothic" w:hAnsi="Century Gothic"/>
                <w:sz w:val="18"/>
                <w:szCs w:val="18"/>
              </w:rPr>
              <w:t xml:space="preserve">La población </w:t>
            </w:r>
            <w:proofErr w:type="spellStart"/>
            <w:r w:rsidRPr="00B42001">
              <w:rPr>
                <w:rFonts w:ascii="Century Gothic" w:hAnsi="Century Gothic"/>
                <w:sz w:val="18"/>
                <w:szCs w:val="18"/>
              </w:rPr>
              <w:t>Islense</w:t>
            </w:r>
            <w:proofErr w:type="spellEnd"/>
            <w:r w:rsidRPr="00B42001">
              <w:rPr>
                <w:rFonts w:ascii="Century Gothic" w:hAnsi="Century Gothic"/>
                <w:sz w:val="18"/>
                <w:szCs w:val="18"/>
              </w:rPr>
              <w:t xml:space="preserve"> carece de una cultura de creatividad y de aprecio al arte, motivo por el cual, es difícil que las futuras generaciones puedan valorar las obras de arte</w:t>
            </w:r>
          </w:p>
        </w:tc>
        <w:tc>
          <w:tcPr>
            <w:cnfStyle w:val="000100000000" w:firstRow="0" w:lastRow="0" w:firstColumn="0" w:lastColumn="1" w:oddVBand="0" w:evenVBand="0" w:oddHBand="0" w:evenHBand="0" w:firstRowFirstColumn="0" w:firstRowLastColumn="0" w:lastRowFirstColumn="0" w:lastRowLastColumn="0"/>
            <w:tcW w:w="1920" w:type="pct"/>
          </w:tcPr>
          <w:p w14:paraId="2512313D" w14:textId="77777777" w:rsidR="00D313D5" w:rsidRPr="00B42001" w:rsidRDefault="00D313D5" w:rsidP="00E6209B">
            <w:pPr>
              <w:pStyle w:val="TableParagraph"/>
              <w:spacing w:before="1" w:line="360" w:lineRule="auto"/>
              <w:rPr>
                <w:rFonts w:ascii="Century Gothic" w:hAnsi="Century Gothic"/>
                <w:b w:val="0"/>
                <w:bCs w:val="0"/>
                <w:w w:val="95"/>
                <w:sz w:val="18"/>
                <w:szCs w:val="18"/>
              </w:rPr>
            </w:pPr>
            <w:proofErr w:type="gramStart"/>
            <w:r w:rsidRPr="00B42001">
              <w:rPr>
                <w:rFonts w:ascii="Century Gothic" w:hAnsi="Century Gothic"/>
                <w:b w:val="0"/>
                <w:bCs w:val="0"/>
                <w:w w:val="95"/>
                <w:sz w:val="18"/>
                <w:szCs w:val="18"/>
              </w:rPr>
              <w:t>Asegurar</w:t>
            </w:r>
            <w:proofErr w:type="gramEnd"/>
            <w:r w:rsidRPr="00B42001">
              <w:rPr>
                <w:rFonts w:ascii="Century Gothic" w:hAnsi="Century Gothic"/>
                <w:b w:val="0"/>
                <w:bCs w:val="0"/>
                <w:w w:val="95"/>
                <w:sz w:val="18"/>
                <w:szCs w:val="18"/>
              </w:rPr>
              <w:t xml:space="preserve"> que la Cultura persista en una sociedad consiste en transmitir esta generacionalmente, siendo la población joven quienes den continuidad a los conocimientos, valores e intereses que los distingue y los hacen diferentes a otros.</w:t>
            </w:r>
          </w:p>
          <w:p w14:paraId="45F7B0B3" w14:textId="77777777" w:rsidR="00D313D5" w:rsidRPr="00B42001" w:rsidRDefault="00D313D5" w:rsidP="00E6209B">
            <w:pPr>
              <w:pStyle w:val="TableParagraph"/>
              <w:spacing w:before="1" w:line="360" w:lineRule="auto"/>
              <w:ind w:left="107"/>
              <w:jc w:val="both"/>
              <w:rPr>
                <w:rFonts w:ascii="Century Gothic" w:hAnsi="Century Gothic"/>
                <w:b w:val="0"/>
                <w:bCs w:val="0"/>
                <w:sz w:val="18"/>
                <w:szCs w:val="18"/>
              </w:rPr>
            </w:pPr>
          </w:p>
        </w:tc>
      </w:tr>
      <w:tr w:rsidR="00D313D5" w:rsidRPr="00B42001" w14:paraId="52A407B7" w14:textId="77777777" w:rsidTr="00B42001">
        <w:trPr>
          <w:cnfStyle w:val="010000000000" w:firstRow="0" w:lastRow="1" w:firstColumn="0" w:lastColumn="0" w:oddVBand="0" w:evenVBand="0" w:oddHBand="0" w:evenHBand="0" w:firstRowFirstColumn="0" w:firstRowLastColumn="0" w:lastRowFirstColumn="0" w:lastRowLastColumn="0"/>
          <w:trHeight w:val="1144"/>
        </w:trPr>
        <w:tc>
          <w:tcPr>
            <w:cnfStyle w:val="001000000000" w:firstRow="0" w:lastRow="0" w:firstColumn="1" w:lastColumn="0" w:oddVBand="0" w:evenVBand="0" w:oddHBand="0" w:evenHBand="0" w:firstRowFirstColumn="0" w:firstRowLastColumn="0" w:lastRowFirstColumn="0" w:lastRowLastColumn="0"/>
            <w:tcW w:w="1147" w:type="pct"/>
          </w:tcPr>
          <w:p w14:paraId="78B6C03F" w14:textId="77777777" w:rsidR="00D313D5" w:rsidRPr="00B42001" w:rsidRDefault="00D313D5" w:rsidP="00E6209B">
            <w:pPr>
              <w:pStyle w:val="TableParagraph"/>
              <w:spacing w:before="2" w:line="360" w:lineRule="auto"/>
              <w:rPr>
                <w:rFonts w:ascii="Century Gothic" w:hAnsi="Century Gothic"/>
                <w:b w:val="0"/>
                <w:bCs w:val="0"/>
                <w:sz w:val="18"/>
                <w:szCs w:val="18"/>
              </w:rPr>
            </w:pPr>
            <w:r w:rsidRPr="00B42001">
              <w:rPr>
                <w:rFonts w:ascii="Century Gothic" w:hAnsi="Century Gothic"/>
                <w:b w:val="0"/>
                <w:bCs w:val="0"/>
                <w:sz w:val="18"/>
                <w:szCs w:val="18"/>
              </w:rPr>
              <w:t>Vivienda y servicios públicos dignos</w:t>
            </w:r>
          </w:p>
        </w:tc>
        <w:tc>
          <w:tcPr>
            <w:cnfStyle w:val="000010000000" w:firstRow="0" w:lastRow="0" w:firstColumn="0" w:lastColumn="0" w:oddVBand="1" w:evenVBand="0" w:oddHBand="0" w:evenHBand="0" w:firstRowFirstColumn="0" w:firstRowLastColumn="0" w:lastRowFirstColumn="0" w:lastRowLastColumn="0"/>
            <w:tcW w:w="1932" w:type="pct"/>
          </w:tcPr>
          <w:p w14:paraId="15FA3B6F" w14:textId="77777777" w:rsidR="00D313D5" w:rsidRPr="00B42001" w:rsidRDefault="00D313D5" w:rsidP="00E6209B">
            <w:pPr>
              <w:pStyle w:val="TableParagraph"/>
              <w:spacing w:before="158" w:line="360" w:lineRule="auto"/>
              <w:ind w:left="108" w:right="206"/>
              <w:jc w:val="both"/>
              <w:rPr>
                <w:rFonts w:ascii="Century Gothic" w:hAnsi="Century Gothic"/>
                <w:b w:val="0"/>
                <w:bCs w:val="0"/>
                <w:sz w:val="18"/>
                <w:szCs w:val="18"/>
                <w:lang w:val="es-MX"/>
              </w:rPr>
            </w:pPr>
            <w:r w:rsidRPr="00B42001">
              <w:rPr>
                <w:rFonts w:ascii="Century Gothic" w:hAnsi="Century Gothic"/>
                <w:b w:val="0"/>
                <w:bCs w:val="0"/>
                <w:sz w:val="18"/>
                <w:szCs w:val="18"/>
                <w:lang w:val="es-MX"/>
              </w:rPr>
              <w:t>El acceso a una vivienda y servicios dignos y asequible se ha convertido en uno de los mayores retos que enfrentan el municipio.  La creciente urbanización, los altos costos de construcción y la especulación inmobiliaria han generado una crisis que afecta por igual a San Antonio la Isla.</w:t>
            </w:r>
          </w:p>
        </w:tc>
        <w:tc>
          <w:tcPr>
            <w:cnfStyle w:val="000100000000" w:firstRow="0" w:lastRow="0" w:firstColumn="0" w:lastColumn="1" w:oddVBand="0" w:evenVBand="0" w:oddHBand="0" w:evenHBand="0" w:firstRowFirstColumn="0" w:firstRowLastColumn="0" w:lastRowFirstColumn="0" w:lastRowLastColumn="0"/>
            <w:tcW w:w="1920" w:type="pct"/>
          </w:tcPr>
          <w:p w14:paraId="3BC6BF41" w14:textId="77777777" w:rsidR="00D313D5" w:rsidRPr="00B42001" w:rsidRDefault="00D313D5" w:rsidP="00E6209B">
            <w:pPr>
              <w:pStyle w:val="TableParagraph"/>
              <w:spacing w:before="2" w:line="360" w:lineRule="auto"/>
              <w:rPr>
                <w:rFonts w:ascii="Century Gothic" w:hAnsi="Century Gothic"/>
                <w:b w:val="0"/>
                <w:bCs w:val="0"/>
                <w:sz w:val="18"/>
                <w:szCs w:val="18"/>
              </w:rPr>
            </w:pPr>
            <w:r w:rsidRPr="00B42001">
              <w:rPr>
                <w:rFonts w:ascii="Century Gothic" w:hAnsi="Century Gothic"/>
                <w:b w:val="0"/>
                <w:bCs w:val="0"/>
                <w:sz w:val="18"/>
                <w:szCs w:val="18"/>
              </w:rPr>
              <w:t xml:space="preserve">La prestación de los Servicios Públicos corresponde a una actividad del Gobierno Municipal para satisfacer las necesidades básicas y elevar las condiciones de vida de las comunidades. Para llevar se llevarán a cabo las tareas de organización, administración, funcionamiento y construcción de relaciones con el usuario del servicio. </w:t>
            </w:r>
          </w:p>
        </w:tc>
      </w:tr>
    </w:tbl>
    <w:p w14:paraId="33335E89" w14:textId="1ADFAC19" w:rsidR="00D313D5" w:rsidRDefault="00D313D5" w:rsidP="00D313D5">
      <w:pPr>
        <w:spacing w:after="160" w:line="360" w:lineRule="auto"/>
        <w:jc w:val="both"/>
        <w:rPr>
          <w:rFonts w:ascii="Century Gothic" w:hAnsi="Century Gothic"/>
          <w:bCs/>
          <w:color w:val="025850"/>
          <w:sz w:val="22"/>
          <w:szCs w:val="22"/>
        </w:rPr>
      </w:pPr>
    </w:p>
    <w:p w14:paraId="11D9F528" w14:textId="77777777" w:rsidR="00D313D5" w:rsidRDefault="00D313D5">
      <w:pPr>
        <w:rPr>
          <w:rFonts w:ascii="Century Gothic" w:hAnsi="Century Gothic"/>
          <w:bCs/>
          <w:color w:val="025850"/>
          <w:sz w:val="22"/>
          <w:szCs w:val="22"/>
        </w:rPr>
      </w:pPr>
      <w:r>
        <w:rPr>
          <w:rFonts w:ascii="Century Gothic" w:hAnsi="Century Gothic"/>
          <w:bCs/>
          <w:color w:val="025850"/>
          <w:sz w:val="22"/>
          <w:szCs w:val="22"/>
        </w:rPr>
        <w:br w:type="page"/>
      </w:r>
    </w:p>
    <w:p w14:paraId="3692424C" w14:textId="77777777" w:rsidR="00D313D5" w:rsidRDefault="00D313D5" w:rsidP="00D313D5">
      <w:pPr>
        <w:spacing w:after="160" w:line="360" w:lineRule="auto"/>
        <w:jc w:val="both"/>
        <w:rPr>
          <w:rFonts w:ascii="Century Gothic" w:hAnsi="Century Gothic"/>
          <w:bCs/>
          <w:color w:val="025850"/>
          <w:sz w:val="22"/>
          <w:szCs w:val="22"/>
        </w:rPr>
        <w:sectPr w:rsidR="00D313D5" w:rsidSect="00D313D5">
          <w:pgSz w:w="15840" w:h="12240" w:orient="landscape"/>
          <w:pgMar w:top="1440" w:right="1440" w:bottom="1440" w:left="1440" w:header="709" w:footer="709" w:gutter="0"/>
          <w:cols w:space="708"/>
          <w:docGrid w:linePitch="360"/>
        </w:sectPr>
      </w:pPr>
    </w:p>
    <w:p w14:paraId="24061C37" w14:textId="2FE44B16" w:rsidR="00D313D5" w:rsidRPr="00D313D5" w:rsidRDefault="00D313D5" w:rsidP="00D313D5">
      <w:pPr>
        <w:spacing w:after="160"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lastRenderedPageBreak/>
        <w:t>Instrumentación Estratégica</w:t>
      </w:r>
    </w:p>
    <w:p w14:paraId="1975276D"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Objetivo</w:t>
      </w:r>
    </w:p>
    <w:p w14:paraId="3E7631FA"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4.1 </w:t>
      </w:r>
      <w:r w:rsidRPr="00D313D5">
        <w:rPr>
          <w:rFonts w:ascii="Century Gothic" w:hAnsi="Century Gothic"/>
          <w:sz w:val="22"/>
          <w:szCs w:val="22"/>
        </w:rPr>
        <w:t xml:space="preserve">Disminuir la pobreza en la entidad y procurar el ejercicio pleno de los derechos sociales de las y los islenses, para propiciar su desarrollo humano y, por ende, su bienestar integral. </w:t>
      </w:r>
    </w:p>
    <w:p w14:paraId="57681232"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4E8EE1DA"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sz w:val="22"/>
          <w:szCs w:val="22"/>
        </w:rPr>
        <w:t>4.1.1 Impulsar programas, proyectos y acciones de desarrollo social que permitan elevar el bienestar de las personas en situación de vulnerabilidad, pobreza, carencias sociales y marginación.</w:t>
      </w:r>
    </w:p>
    <w:p w14:paraId="5A7B524B"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4810E8E1" w14:textId="77777777" w:rsidR="00D313D5" w:rsidRPr="00D313D5" w:rsidRDefault="00D313D5" w:rsidP="00E50CE9">
      <w:pPr>
        <w:pStyle w:val="Prrafodelista"/>
        <w:numPr>
          <w:ilvl w:val="0"/>
          <w:numId w:val="53"/>
        </w:numPr>
        <w:spacing w:after="160" w:line="360" w:lineRule="auto"/>
        <w:jc w:val="both"/>
        <w:rPr>
          <w:rFonts w:ascii="Century Gothic" w:hAnsi="Century Gothic"/>
          <w:sz w:val="22"/>
          <w:szCs w:val="22"/>
        </w:rPr>
      </w:pPr>
      <w:r w:rsidRPr="00D313D5">
        <w:rPr>
          <w:rFonts w:ascii="Century Gothic" w:hAnsi="Century Gothic"/>
          <w:sz w:val="22"/>
          <w:szCs w:val="22"/>
        </w:rPr>
        <w:t>4.1.1.1 Gestionar talleres que capaciten a padres y madres de familia</w:t>
      </w:r>
      <w:r w:rsidRPr="00D313D5">
        <w:rPr>
          <w:rFonts w:ascii="Century Gothic" w:hAnsi="Century Gothic"/>
          <w:sz w:val="22"/>
          <w:szCs w:val="22"/>
        </w:rPr>
        <w:tab/>
      </w:r>
    </w:p>
    <w:p w14:paraId="4BC2CD37" w14:textId="77777777" w:rsidR="00D313D5" w:rsidRPr="00D313D5" w:rsidRDefault="00D313D5" w:rsidP="00E50CE9">
      <w:pPr>
        <w:pStyle w:val="Prrafodelista"/>
        <w:numPr>
          <w:ilvl w:val="0"/>
          <w:numId w:val="53"/>
        </w:numPr>
        <w:spacing w:after="160" w:line="360" w:lineRule="auto"/>
        <w:jc w:val="both"/>
        <w:rPr>
          <w:rFonts w:ascii="Century Gothic" w:hAnsi="Century Gothic"/>
          <w:sz w:val="22"/>
          <w:szCs w:val="22"/>
        </w:rPr>
      </w:pPr>
      <w:r w:rsidRPr="00D313D5">
        <w:rPr>
          <w:rFonts w:ascii="Century Gothic" w:hAnsi="Century Gothic"/>
          <w:sz w:val="22"/>
          <w:szCs w:val="22"/>
        </w:rPr>
        <w:t>4.1.1.2 Gestionar talleres que capaciten a personas en Estado de vulnerabilidad</w:t>
      </w:r>
    </w:p>
    <w:p w14:paraId="0B4789C8" w14:textId="099A7BB9" w:rsidR="00D313D5" w:rsidRPr="00D313D5" w:rsidRDefault="00D313D5" w:rsidP="00E50CE9">
      <w:pPr>
        <w:pStyle w:val="Prrafodelista"/>
        <w:numPr>
          <w:ilvl w:val="0"/>
          <w:numId w:val="53"/>
        </w:numPr>
        <w:spacing w:after="160" w:line="360" w:lineRule="auto"/>
        <w:jc w:val="both"/>
        <w:rPr>
          <w:rFonts w:ascii="Century Gothic" w:hAnsi="Century Gothic"/>
          <w:sz w:val="22"/>
          <w:szCs w:val="22"/>
        </w:rPr>
      </w:pPr>
      <w:r w:rsidRPr="00D313D5">
        <w:rPr>
          <w:rFonts w:ascii="Century Gothic" w:hAnsi="Century Gothic"/>
          <w:sz w:val="22"/>
          <w:szCs w:val="22"/>
        </w:rPr>
        <w:t>4.1.1.3 Realizar jornadas de salud</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527D661E" w14:textId="77777777" w:rsidR="00D313D5" w:rsidRPr="00D313D5" w:rsidRDefault="00D313D5" w:rsidP="00E50CE9">
      <w:pPr>
        <w:pStyle w:val="Prrafodelista"/>
        <w:numPr>
          <w:ilvl w:val="0"/>
          <w:numId w:val="53"/>
        </w:numPr>
        <w:spacing w:after="160" w:line="360" w:lineRule="auto"/>
        <w:jc w:val="both"/>
        <w:rPr>
          <w:rFonts w:ascii="Century Gothic" w:hAnsi="Century Gothic"/>
          <w:sz w:val="22"/>
          <w:szCs w:val="22"/>
        </w:rPr>
      </w:pPr>
      <w:r w:rsidRPr="00D313D5">
        <w:rPr>
          <w:rFonts w:ascii="Century Gothic" w:hAnsi="Century Gothic"/>
          <w:sz w:val="22"/>
          <w:szCs w:val="22"/>
        </w:rPr>
        <w:t>4.1.1.4 Gestionar apoyos invernales</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2FC36A09" w14:textId="77777777" w:rsidR="00D313D5" w:rsidRPr="00D313D5" w:rsidRDefault="00D313D5" w:rsidP="00E50CE9">
      <w:pPr>
        <w:pStyle w:val="Prrafodelista"/>
        <w:numPr>
          <w:ilvl w:val="0"/>
          <w:numId w:val="53"/>
        </w:numPr>
        <w:spacing w:after="160" w:line="360" w:lineRule="auto"/>
        <w:jc w:val="both"/>
        <w:rPr>
          <w:rFonts w:ascii="Century Gothic" w:hAnsi="Century Gothic"/>
          <w:sz w:val="22"/>
          <w:szCs w:val="22"/>
        </w:rPr>
      </w:pPr>
      <w:r w:rsidRPr="00D313D5">
        <w:rPr>
          <w:rFonts w:ascii="Century Gothic" w:hAnsi="Century Gothic"/>
          <w:sz w:val="22"/>
          <w:szCs w:val="22"/>
        </w:rPr>
        <w:t>4.1.1.5 Realizar actividades recreativas, culturales y deportivas</w:t>
      </w:r>
    </w:p>
    <w:p w14:paraId="76C7ACA3" w14:textId="77777777" w:rsidR="00D313D5" w:rsidRPr="00D313D5" w:rsidRDefault="00D313D5" w:rsidP="00E50CE9">
      <w:pPr>
        <w:pStyle w:val="Prrafodelista"/>
        <w:numPr>
          <w:ilvl w:val="0"/>
          <w:numId w:val="53"/>
        </w:numPr>
        <w:spacing w:after="160" w:line="360" w:lineRule="auto"/>
        <w:jc w:val="both"/>
        <w:rPr>
          <w:rFonts w:ascii="Century Gothic" w:hAnsi="Century Gothic"/>
          <w:sz w:val="22"/>
          <w:szCs w:val="22"/>
        </w:rPr>
      </w:pPr>
      <w:r w:rsidRPr="00D313D5">
        <w:rPr>
          <w:rFonts w:ascii="Century Gothic" w:hAnsi="Century Gothic"/>
          <w:sz w:val="22"/>
          <w:szCs w:val="22"/>
        </w:rPr>
        <w:t>4.1.1.6 Entrega de donativos para la salud</w:t>
      </w:r>
      <w:r w:rsidRPr="00D313D5">
        <w:rPr>
          <w:rFonts w:ascii="Century Gothic" w:hAnsi="Century Gothic"/>
          <w:sz w:val="22"/>
          <w:szCs w:val="22"/>
        </w:rPr>
        <w:tab/>
      </w:r>
    </w:p>
    <w:p w14:paraId="6536F375"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Objetivo</w:t>
      </w:r>
    </w:p>
    <w:p w14:paraId="0826AE4B"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4.2 </w:t>
      </w:r>
      <w:r w:rsidRPr="00D313D5">
        <w:rPr>
          <w:rFonts w:ascii="Century Gothic" w:hAnsi="Century Gothic"/>
          <w:sz w:val="22"/>
          <w:szCs w:val="22"/>
        </w:rPr>
        <w:t xml:space="preserve">Fomentar el bienestar integral y empoderamiento de las mujeres en condición de pobreza y vulnerabilidad. </w:t>
      </w:r>
    </w:p>
    <w:p w14:paraId="4EF91E1B"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4604C7C0"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4.2.1 </w:t>
      </w:r>
      <w:r w:rsidRPr="00D313D5">
        <w:rPr>
          <w:rFonts w:ascii="Century Gothic" w:hAnsi="Century Gothic"/>
          <w:sz w:val="22"/>
          <w:szCs w:val="22"/>
        </w:rPr>
        <w:t>Implementar programas, proyectos y acciones de desarrollo social que permitan a las mujeres en situación de pobreza y vulnerabilidad, mejorar su nivel y calidad de vida.</w:t>
      </w:r>
    </w:p>
    <w:p w14:paraId="406FF7B4"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227E7DE6" w14:textId="77777777"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t xml:space="preserve">4.2.1.1 Realizar conferencias a la mujer y comunidad LGBTIQ+ </w:t>
      </w:r>
    </w:p>
    <w:p w14:paraId="69B09B4C" w14:textId="77777777"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t xml:space="preserve">4.2.1.2 Realizar talleres de Globoflexia </w:t>
      </w:r>
    </w:p>
    <w:p w14:paraId="37429C09" w14:textId="2F5F8DAD"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t>4.2.1.3 Llevar a cabo bazares con nombre delicia Islenses y Arco Iris</w:t>
      </w:r>
    </w:p>
    <w:p w14:paraId="1168CE8D" w14:textId="77777777"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t>4.2.1.4 Realizar cursos de colocación de extensiones de pestañas</w:t>
      </w:r>
    </w:p>
    <w:p w14:paraId="7CC8C36C" w14:textId="77777777"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t>4.2.1.5 Brindar clases defensa personal</w:t>
      </w:r>
    </w:p>
    <w:p w14:paraId="3CFDFC06" w14:textId="77777777"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lastRenderedPageBreak/>
        <w:t xml:space="preserve">4.2.1.6 Realizar la gestión para la obtención de mastografías gratuitas </w:t>
      </w:r>
    </w:p>
    <w:p w14:paraId="615CCC02" w14:textId="4CBB4434" w:rsidR="00D313D5" w:rsidRPr="00D313D5" w:rsidRDefault="00D313D5" w:rsidP="00E50CE9">
      <w:pPr>
        <w:pStyle w:val="Prrafodelista"/>
        <w:numPr>
          <w:ilvl w:val="0"/>
          <w:numId w:val="58"/>
        </w:numPr>
        <w:spacing w:after="160" w:line="360" w:lineRule="auto"/>
        <w:jc w:val="both"/>
        <w:rPr>
          <w:rFonts w:ascii="Century Gothic" w:hAnsi="Century Gothic"/>
          <w:sz w:val="22"/>
          <w:szCs w:val="22"/>
        </w:rPr>
      </w:pPr>
      <w:r w:rsidRPr="00D313D5">
        <w:rPr>
          <w:rFonts w:ascii="Century Gothic" w:hAnsi="Century Gothic"/>
          <w:sz w:val="22"/>
          <w:szCs w:val="22"/>
        </w:rPr>
        <w:t xml:space="preserve">4.2.1.7 Brindar un curso de manualidades de </w:t>
      </w:r>
      <w:proofErr w:type="spellStart"/>
      <w:r w:rsidRPr="00D313D5">
        <w:rPr>
          <w:rFonts w:ascii="Century Gothic" w:hAnsi="Century Gothic"/>
          <w:sz w:val="22"/>
          <w:szCs w:val="22"/>
        </w:rPr>
        <w:t>pet</w:t>
      </w:r>
      <w:proofErr w:type="spellEnd"/>
    </w:p>
    <w:p w14:paraId="400B4FC1"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Objetivo</w:t>
      </w:r>
    </w:p>
    <w:p w14:paraId="0CFF6F97"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4.3 </w:t>
      </w:r>
      <w:r w:rsidRPr="00D313D5">
        <w:rPr>
          <w:rFonts w:ascii="Century Gothic" w:hAnsi="Century Gothic"/>
          <w:sz w:val="22"/>
          <w:szCs w:val="22"/>
        </w:rPr>
        <w:t xml:space="preserve">Garantizar el derecho a la educación de excelencia, favoreciendo la formación ciudadana, la cultura del deporte, ciencia, tecnología, innovación y humanismo, para una convivencia en comunidad, sin discriminación, con equidad y reconociendo la diversidad cultural y regional. </w:t>
      </w:r>
    </w:p>
    <w:p w14:paraId="3E68AA7B" w14:textId="77777777" w:rsidR="00D313D5" w:rsidRPr="00D313D5" w:rsidRDefault="00D313D5" w:rsidP="00D313D5">
      <w:pPr>
        <w:spacing w:line="360" w:lineRule="auto"/>
        <w:jc w:val="both"/>
        <w:rPr>
          <w:rFonts w:ascii="Century Gothic" w:hAnsi="Century Gothic"/>
          <w:color w:val="025850"/>
          <w:sz w:val="22"/>
          <w:szCs w:val="22"/>
        </w:rPr>
      </w:pPr>
      <w:r w:rsidRPr="00D313D5">
        <w:rPr>
          <w:rFonts w:ascii="Century Gothic" w:hAnsi="Century Gothic"/>
          <w:b/>
          <w:color w:val="025850"/>
          <w:sz w:val="22"/>
          <w:szCs w:val="22"/>
        </w:rPr>
        <w:t>Estrategia</w:t>
      </w:r>
      <w:r w:rsidRPr="00D313D5">
        <w:rPr>
          <w:rFonts w:ascii="Century Gothic" w:hAnsi="Century Gothic"/>
          <w:color w:val="025850"/>
          <w:sz w:val="22"/>
          <w:szCs w:val="22"/>
        </w:rPr>
        <w:t xml:space="preserve"> </w:t>
      </w:r>
    </w:p>
    <w:p w14:paraId="5060F41E"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sz w:val="22"/>
          <w:szCs w:val="22"/>
        </w:rPr>
        <w:t>4.3.1Fomentar la educación socioemocional, la salud mental y física.</w:t>
      </w:r>
    </w:p>
    <w:p w14:paraId="32820F05"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428710C7"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4.3.1.1 Aplicar el Programa Municipal de Prevención del Consumo de Sustancias Psicoactivas en Instituciones Escolares.</w:t>
      </w:r>
    </w:p>
    <w:p w14:paraId="529B7397"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4.3.1.2 Realizar en la biblioteca digital cursos de computación básica para niños y/o adultos.</w:t>
      </w:r>
    </w:p>
    <w:p w14:paraId="30AE44C5"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4.3.1.3 Fomentar actividades de lectura en la biblioteca municipal o en las escuelas.</w:t>
      </w:r>
    </w:p>
    <w:p w14:paraId="2890F609"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4.3.1.4 Promocionar ofertas educativas de la Universidad Digital</w:t>
      </w:r>
    </w:p>
    <w:p w14:paraId="5C3B8126"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4.3.1.5 Brindar pláticas de orientación vocacional a alumnos de educación media superior.</w:t>
      </w:r>
    </w:p>
    <w:p w14:paraId="71D66C63"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4.3.1.6 Brindar pláticas para evitar la deserción escolar.</w:t>
      </w:r>
    </w:p>
    <w:p w14:paraId="4A090D26" w14:textId="77777777" w:rsidR="00D313D5" w:rsidRPr="00D313D5" w:rsidRDefault="00D313D5" w:rsidP="00E50CE9">
      <w:pPr>
        <w:pStyle w:val="Prrafodelista"/>
        <w:numPr>
          <w:ilvl w:val="0"/>
          <w:numId w:val="49"/>
        </w:numPr>
        <w:spacing w:after="160" w:line="360" w:lineRule="auto"/>
        <w:jc w:val="both"/>
        <w:rPr>
          <w:rFonts w:ascii="Century Gothic" w:hAnsi="Century Gothic"/>
          <w:sz w:val="22"/>
          <w:szCs w:val="22"/>
        </w:rPr>
      </w:pPr>
      <w:r w:rsidRPr="00D313D5">
        <w:rPr>
          <w:rFonts w:ascii="Century Gothic" w:hAnsi="Century Gothic"/>
          <w:sz w:val="22"/>
          <w:szCs w:val="22"/>
        </w:rPr>
        <w:t>4.3.1.7 Apoyar a la población municipal para el registro en las plataformas educativas digitales.</w:t>
      </w:r>
    </w:p>
    <w:p w14:paraId="584A35F5"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3204D8F6"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4.3.2</w:t>
      </w:r>
      <w:r w:rsidRPr="00D313D5">
        <w:rPr>
          <w:rFonts w:ascii="Century Gothic" w:hAnsi="Century Gothic"/>
          <w:sz w:val="22"/>
          <w:szCs w:val="22"/>
        </w:rPr>
        <w:t>Promover una cultura deportiva inclusiva y accesible.</w:t>
      </w:r>
    </w:p>
    <w:p w14:paraId="7F0430DA"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5ED31314" w14:textId="77777777" w:rsidR="00D313D5" w:rsidRPr="00D313D5" w:rsidRDefault="00D313D5" w:rsidP="00E50CE9">
      <w:pPr>
        <w:pStyle w:val="Prrafodelista"/>
        <w:widowControl w:val="0"/>
        <w:numPr>
          <w:ilvl w:val="0"/>
          <w:numId w:val="49"/>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4.3.2.1 Fomentar y organizar programas de activación física y eventos recreativos comunitarios, para identificar talentos deportivos y vincularlos con apoyos estatales y federales.</w:t>
      </w:r>
    </w:p>
    <w:p w14:paraId="628FD814" w14:textId="77777777" w:rsidR="00D313D5" w:rsidRPr="00D313D5" w:rsidRDefault="00D313D5" w:rsidP="00D313D5">
      <w:pPr>
        <w:spacing w:line="360" w:lineRule="auto"/>
        <w:jc w:val="both"/>
        <w:rPr>
          <w:rFonts w:ascii="Century Gothic" w:hAnsi="Century Gothic"/>
          <w:b/>
          <w:sz w:val="22"/>
          <w:szCs w:val="22"/>
        </w:rPr>
      </w:pPr>
      <w:r w:rsidRPr="00D313D5">
        <w:rPr>
          <w:rFonts w:ascii="Century Gothic" w:hAnsi="Century Gothic"/>
          <w:b/>
          <w:color w:val="025850"/>
          <w:sz w:val="22"/>
          <w:szCs w:val="22"/>
        </w:rPr>
        <w:t>Estrategia</w:t>
      </w:r>
      <w:r w:rsidRPr="00D313D5">
        <w:rPr>
          <w:rFonts w:ascii="Century Gothic" w:hAnsi="Century Gothic"/>
          <w:b/>
          <w:sz w:val="22"/>
          <w:szCs w:val="22"/>
        </w:rPr>
        <w:t xml:space="preserve"> </w:t>
      </w:r>
    </w:p>
    <w:p w14:paraId="43617419"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4.3.3 </w:t>
      </w:r>
      <w:r w:rsidRPr="00D313D5">
        <w:rPr>
          <w:rFonts w:ascii="Century Gothic" w:hAnsi="Century Gothic"/>
          <w:sz w:val="22"/>
          <w:szCs w:val="22"/>
        </w:rPr>
        <w:t>Implementar políticas públicas de promoción deportiva e integración social que promuevan el deporte escolar, la masificación deportiva y el alto rendimiento.</w:t>
      </w:r>
    </w:p>
    <w:p w14:paraId="0CAFAE17"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lastRenderedPageBreak/>
        <w:t>Líneas de acción:</w:t>
      </w:r>
    </w:p>
    <w:p w14:paraId="4AB65503" w14:textId="77777777" w:rsidR="00D313D5" w:rsidRPr="00D313D5" w:rsidRDefault="00D313D5" w:rsidP="00E50CE9">
      <w:pPr>
        <w:pStyle w:val="Prrafodelista"/>
        <w:numPr>
          <w:ilvl w:val="0"/>
          <w:numId w:val="59"/>
        </w:numPr>
        <w:spacing w:after="160" w:line="360" w:lineRule="auto"/>
        <w:jc w:val="both"/>
        <w:rPr>
          <w:rFonts w:ascii="Century Gothic" w:hAnsi="Century Gothic"/>
          <w:b/>
          <w:sz w:val="22"/>
          <w:szCs w:val="22"/>
        </w:rPr>
      </w:pPr>
      <w:r w:rsidRPr="00D313D5">
        <w:rPr>
          <w:rFonts w:ascii="Century Gothic" w:hAnsi="Century Gothic"/>
          <w:sz w:val="22"/>
          <w:szCs w:val="22"/>
        </w:rPr>
        <w:t>4.3.3.1 Apoyar a las asociaciones deportivas y deportistas estatales en su participación en eventos nacionales.</w:t>
      </w:r>
    </w:p>
    <w:p w14:paraId="4FE837D2" w14:textId="77777777" w:rsidR="00D313D5" w:rsidRPr="00D313D5" w:rsidRDefault="00D313D5" w:rsidP="00E50CE9">
      <w:pPr>
        <w:pStyle w:val="Prrafodelista"/>
        <w:numPr>
          <w:ilvl w:val="0"/>
          <w:numId w:val="59"/>
        </w:numPr>
        <w:spacing w:after="160" w:line="360" w:lineRule="auto"/>
        <w:jc w:val="both"/>
        <w:rPr>
          <w:rFonts w:ascii="Century Gothic" w:hAnsi="Century Gothic"/>
          <w:b/>
          <w:sz w:val="22"/>
          <w:szCs w:val="22"/>
        </w:rPr>
      </w:pPr>
      <w:r w:rsidRPr="00D313D5">
        <w:rPr>
          <w:rFonts w:ascii="Century Gothic" w:hAnsi="Century Gothic"/>
          <w:sz w:val="22"/>
          <w:szCs w:val="22"/>
        </w:rPr>
        <w:t>4.3.3.2 Detectar y apoyar a niños y jóvenes que presenten aptitudes sobresalientes en las disciplinas deportivas</w:t>
      </w:r>
    </w:p>
    <w:p w14:paraId="1AB24410" w14:textId="77777777" w:rsidR="00D313D5" w:rsidRPr="00D313D5" w:rsidRDefault="00D313D5" w:rsidP="00E50CE9">
      <w:pPr>
        <w:pStyle w:val="Prrafodelista"/>
        <w:numPr>
          <w:ilvl w:val="0"/>
          <w:numId w:val="59"/>
        </w:numPr>
        <w:spacing w:after="160" w:line="360" w:lineRule="auto"/>
        <w:jc w:val="both"/>
        <w:rPr>
          <w:rFonts w:ascii="Century Gothic" w:hAnsi="Century Gothic"/>
          <w:b/>
          <w:sz w:val="22"/>
          <w:szCs w:val="22"/>
        </w:rPr>
      </w:pPr>
      <w:r w:rsidRPr="00D313D5">
        <w:rPr>
          <w:rFonts w:ascii="Century Gothic" w:hAnsi="Century Gothic"/>
          <w:sz w:val="22"/>
          <w:szCs w:val="22"/>
        </w:rPr>
        <w:t xml:space="preserve">4.3.3.3Coordinar acciones con las asociaciones deportivas de la entidad para hacer más eficiente el desempeño de los deportistas islenses. </w:t>
      </w:r>
    </w:p>
    <w:p w14:paraId="43E9EC4F"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Objetivo</w:t>
      </w:r>
    </w:p>
    <w:p w14:paraId="001B6C05"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4.4</w:t>
      </w:r>
      <w:r w:rsidRPr="00D313D5">
        <w:rPr>
          <w:rFonts w:ascii="Century Gothic" w:hAnsi="Century Gothic"/>
          <w:sz w:val="22"/>
          <w:szCs w:val="22"/>
        </w:rPr>
        <w:t xml:space="preserve">Incrementar el acceso de la población a viviendas adecuadas, mejorando las condiciones de habitabilidad y de los servicios públicos. </w:t>
      </w:r>
    </w:p>
    <w:p w14:paraId="370B9CB6"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5387C1FE"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4.4.1</w:t>
      </w:r>
      <w:r w:rsidRPr="00D313D5">
        <w:rPr>
          <w:rFonts w:ascii="Century Gothic" w:hAnsi="Century Gothic"/>
          <w:sz w:val="22"/>
          <w:szCs w:val="22"/>
        </w:rPr>
        <w:t>Mejorar las condiciones de habitabilidad de las viviendas de la población más vulnerable.</w:t>
      </w:r>
    </w:p>
    <w:p w14:paraId="1A2A0744"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596574F2" w14:textId="77777777" w:rsidR="00D313D5" w:rsidRPr="00D313D5" w:rsidRDefault="00D313D5" w:rsidP="00E50CE9">
      <w:pPr>
        <w:numPr>
          <w:ilvl w:val="0"/>
          <w:numId w:val="60"/>
        </w:numPr>
        <w:spacing w:after="160" w:line="360" w:lineRule="auto"/>
        <w:contextualSpacing/>
        <w:jc w:val="both"/>
        <w:rPr>
          <w:rFonts w:ascii="Century Gothic" w:hAnsi="Century Gothic"/>
          <w:sz w:val="22"/>
          <w:szCs w:val="22"/>
        </w:rPr>
      </w:pPr>
      <w:r w:rsidRPr="00D313D5">
        <w:rPr>
          <w:rFonts w:ascii="Century Gothic" w:hAnsi="Century Gothic"/>
          <w:sz w:val="22"/>
          <w:szCs w:val="22"/>
        </w:rPr>
        <w:t xml:space="preserve">4.4.1.1Instrumentar acciones de mejoramiento de la vivienda en el municipio </w:t>
      </w:r>
    </w:p>
    <w:p w14:paraId="24445F6D" w14:textId="77777777" w:rsidR="00D313D5" w:rsidRPr="00D313D5" w:rsidRDefault="00D313D5" w:rsidP="00D313D5">
      <w:pPr>
        <w:spacing w:line="360" w:lineRule="auto"/>
        <w:jc w:val="both"/>
        <w:rPr>
          <w:rFonts w:ascii="Century Gothic" w:hAnsi="Century Gothic"/>
          <w:color w:val="025850"/>
          <w:sz w:val="22"/>
          <w:szCs w:val="22"/>
        </w:rPr>
      </w:pPr>
      <w:r w:rsidRPr="00D313D5">
        <w:rPr>
          <w:rFonts w:ascii="Century Gothic" w:hAnsi="Century Gothic"/>
          <w:b/>
          <w:color w:val="025850"/>
          <w:sz w:val="22"/>
          <w:szCs w:val="22"/>
        </w:rPr>
        <w:t>Estrategia</w:t>
      </w:r>
      <w:r w:rsidRPr="00D313D5">
        <w:rPr>
          <w:rFonts w:ascii="Century Gothic" w:hAnsi="Century Gothic"/>
          <w:color w:val="025850"/>
          <w:sz w:val="22"/>
          <w:szCs w:val="22"/>
        </w:rPr>
        <w:t xml:space="preserve"> </w:t>
      </w:r>
    </w:p>
    <w:p w14:paraId="6E0DA792"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sz w:val="22"/>
          <w:szCs w:val="22"/>
        </w:rPr>
        <w:t>4.4.2 Fortalecer la capacidad de los municipios para brindar servicios públicos eficientes, sostenibles y de alta calidad.</w:t>
      </w:r>
    </w:p>
    <w:p w14:paraId="1CE2771D"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37005CBE" w14:textId="77777777" w:rsidR="00D313D5" w:rsidRPr="00D313D5" w:rsidRDefault="00D313D5" w:rsidP="00E50CE9">
      <w:pPr>
        <w:numPr>
          <w:ilvl w:val="0"/>
          <w:numId w:val="41"/>
        </w:numPr>
        <w:spacing w:after="160" w:line="360" w:lineRule="auto"/>
        <w:contextualSpacing/>
        <w:jc w:val="both"/>
        <w:rPr>
          <w:rFonts w:ascii="Century Gothic" w:hAnsi="Century Gothic"/>
          <w:sz w:val="22"/>
          <w:szCs w:val="22"/>
        </w:rPr>
      </w:pPr>
      <w:r w:rsidRPr="00D313D5">
        <w:rPr>
          <w:rFonts w:ascii="Century Gothic" w:hAnsi="Century Gothic"/>
          <w:sz w:val="22"/>
          <w:szCs w:val="22"/>
        </w:rPr>
        <w:t>4.4.2.1 Brindar mantenimiento a áreas verdes de espacios públicos.</w:t>
      </w:r>
    </w:p>
    <w:p w14:paraId="23F2AA42" w14:textId="77777777" w:rsidR="00D313D5" w:rsidRPr="00D313D5" w:rsidRDefault="00D313D5" w:rsidP="00E50CE9">
      <w:pPr>
        <w:numPr>
          <w:ilvl w:val="0"/>
          <w:numId w:val="41"/>
        </w:numPr>
        <w:spacing w:after="160" w:line="360" w:lineRule="auto"/>
        <w:contextualSpacing/>
        <w:jc w:val="both"/>
        <w:rPr>
          <w:rFonts w:ascii="Century Gothic" w:hAnsi="Century Gothic"/>
          <w:sz w:val="22"/>
          <w:szCs w:val="22"/>
        </w:rPr>
      </w:pPr>
      <w:r w:rsidRPr="00D313D5">
        <w:rPr>
          <w:rFonts w:ascii="Century Gothic" w:hAnsi="Century Gothic"/>
          <w:sz w:val="22"/>
          <w:szCs w:val="22"/>
        </w:rPr>
        <w:t>4.4.2.2 Realizar acciones de rehabilitación y mantenimiento de alumbrado</w:t>
      </w:r>
    </w:p>
    <w:p w14:paraId="2F7A7986" w14:textId="77777777" w:rsidR="00D313D5" w:rsidRPr="00D313D5" w:rsidRDefault="00D313D5" w:rsidP="00D313D5">
      <w:pPr>
        <w:spacing w:line="360" w:lineRule="auto"/>
        <w:jc w:val="both"/>
        <w:rPr>
          <w:rFonts w:ascii="Century Gothic" w:hAnsi="Century Gothic"/>
          <w:b/>
          <w:sz w:val="22"/>
          <w:szCs w:val="22"/>
        </w:rPr>
      </w:pPr>
      <w:r w:rsidRPr="00D313D5">
        <w:rPr>
          <w:rFonts w:ascii="Century Gothic" w:hAnsi="Century Gothic"/>
          <w:b/>
          <w:color w:val="025850"/>
          <w:sz w:val="22"/>
          <w:szCs w:val="22"/>
        </w:rPr>
        <w:t>Objetivo</w:t>
      </w:r>
    </w:p>
    <w:p w14:paraId="0894D177"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4.5 </w:t>
      </w:r>
      <w:r w:rsidRPr="00D313D5">
        <w:rPr>
          <w:rFonts w:ascii="Century Gothic" w:hAnsi="Century Gothic"/>
          <w:sz w:val="22"/>
          <w:szCs w:val="22"/>
        </w:rPr>
        <w:t xml:space="preserve">Reducir las desigualdades enfrentadas por las personas pertenecientes a grupos vulnerables y abatir la incidencia en ellos. </w:t>
      </w:r>
    </w:p>
    <w:p w14:paraId="50347628"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07A5B1A7" w14:textId="47346205" w:rsid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4.5.1</w:t>
      </w:r>
      <w:r w:rsidRPr="00D313D5">
        <w:rPr>
          <w:rFonts w:ascii="Century Gothic" w:hAnsi="Century Gothic"/>
          <w:sz w:val="22"/>
          <w:szCs w:val="22"/>
        </w:rPr>
        <w:t>Disminuir la inseguridad alimentaria, favoreciendo el acceso a la alimentación nutritiva y de calidad por parte de la población en situación de vulnerabilidad.</w:t>
      </w:r>
    </w:p>
    <w:p w14:paraId="3FA13F92" w14:textId="28109124" w:rsidR="00D313D5" w:rsidRDefault="00D313D5" w:rsidP="00D313D5">
      <w:pPr>
        <w:spacing w:line="360" w:lineRule="auto"/>
        <w:jc w:val="both"/>
        <w:rPr>
          <w:rFonts w:ascii="Century Gothic" w:hAnsi="Century Gothic"/>
          <w:sz w:val="22"/>
          <w:szCs w:val="22"/>
        </w:rPr>
      </w:pPr>
    </w:p>
    <w:p w14:paraId="1E9CE866" w14:textId="77777777" w:rsidR="00D313D5" w:rsidRPr="00D313D5" w:rsidRDefault="00D313D5" w:rsidP="00D313D5">
      <w:pPr>
        <w:spacing w:line="360" w:lineRule="auto"/>
        <w:jc w:val="both"/>
        <w:rPr>
          <w:rFonts w:ascii="Century Gothic" w:hAnsi="Century Gothic"/>
          <w:sz w:val="22"/>
          <w:szCs w:val="22"/>
        </w:rPr>
      </w:pPr>
    </w:p>
    <w:p w14:paraId="7A9D1454" w14:textId="77777777" w:rsidR="00D313D5" w:rsidRPr="00D313D5" w:rsidRDefault="00D313D5" w:rsidP="00D313D5">
      <w:pPr>
        <w:spacing w:line="360" w:lineRule="auto"/>
        <w:jc w:val="both"/>
        <w:rPr>
          <w:rFonts w:ascii="Century Gothic" w:hAnsi="Century Gothic"/>
          <w:b/>
          <w:bCs/>
          <w:sz w:val="22"/>
          <w:szCs w:val="22"/>
        </w:rPr>
      </w:pPr>
      <w:r w:rsidRPr="00D313D5">
        <w:rPr>
          <w:rFonts w:ascii="Century Gothic" w:hAnsi="Century Gothic"/>
          <w:b/>
          <w:bCs/>
          <w:color w:val="025850"/>
          <w:sz w:val="22"/>
          <w:szCs w:val="22"/>
        </w:rPr>
        <w:lastRenderedPageBreak/>
        <w:t>Líneas de acción:</w:t>
      </w:r>
      <w:r w:rsidRPr="00D313D5">
        <w:rPr>
          <w:rFonts w:ascii="Century Gothic" w:hAnsi="Century Gothic"/>
          <w:sz w:val="22"/>
          <w:szCs w:val="22"/>
        </w:rPr>
        <w:tab/>
      </w:r>
    </w:p>
    <w:p w14:paraId="7721D159" w14:textId="77777777" w:rsidR="00D313D5" w:rsidRPr="00D313D5" w:rsidRDefault="00D313D5" w:rsidP="00E50CE9">
      <w:pPr>
        <w:numPr>
          <w:ilvl w:val="0"/>
          <w:numId w:val="51"/>
        </w:numPr>
        <w:spacing w:after="0" w:line="360" w:lineRule="auto"/>
        <w:contextualSpacing/>
        <w:jc w:val="both"/>
        <w:rPr>
          <w:rFonts w:ascii="Century Gothic" w:hAnsi="Century Gothic"/>
          <w:sz w:val="22"/>
          <w:szCs w:val="22"/>
        </w:rPr>
      </w:pPr>
      <w:r w:rsidRPr="00D313D5">
        <w:rPr>
          <w:rFonts w:ascii="Century Gothic" w:hAnsi="Century Gothic"/>
          <w:sz w:val="22"/>
          <w:szCs w:val="22"/>
        </w:rPr>
        <w:t>4.5.1.1 Fomentar y difundir el consumo de los desayunos calientes y desayunos fríos</w:t>
      </w:r>
    </w:p>
    <w:p w14:paraId="676946D4" w14:textId="77777777" w:rsidR="00D313D5" w:rsidRPr="00D313D5" w:rsidRDefault="00D313D5" w:rsidP="00E50CE9">
      <w:pPr>
        <w:numPr>
          <w:ilvl w:val="0"/>
          <w:numId w:val="51"/>
        </w:numPr>
        <w:spacing w:after="0" w:line="360" w:lineRule="auto"/>
        <w:contextualSpacing/>
        <w:jc w:val="both"/>
        <w:rPr>
          <w:rFonts w:ascii="Century Gothic" w:hAnsi="Century Gothic"/>
          <w:sz w:val="22"/>
          <w:szCs w:val="22"/>
        </w:rPr>
      </w:pPr>
      <w:r w:rsidRPr="00D313D5">
        <w:rPr>
          <w:rFonts w:ascii="Century Gothic" w:hAnsi="Century Gothic"/>
          <w:sz w:val="22"/>
          <w:szCs w:val="22"/>
        </w:rPr>
        <w:t>4.5.1.2 Renovar los comités de desayunos escolares en cada escuela beneficiar</w:t>
      </w:r>
    </w:p>
    <w:p w14:paraId="4CCF2AD3" w14:textId="77777777" w:rsidR="00D313D5" w:rsidRPr="00D313D5" w:rsidRDefault="00D313D5" w:rsidP="00E50CE9">
      <w:pPr>
        <w:numPr>
          <w:ilvl w:val="0"/>
          <w:numId w:val="51"/>
        </w:numPr>
        <w:spacing w:after="0" w:line="360" w:lineRule="auto"/>
        <w:contextualSpacing/>
        <w:jc w:val="both"/>
        <w:rPr>
          <w:rFonts w:ascii="Century Gothic" w:hAnsi="Century Gothic"/>
          <w:sz w:val="22"/>
          <w:szCs w:val="22"/>
        </w:rPr>
      </w:pPr>
      <w:r w:rsidRPr="00D313D5">
        <w:rPr>
          <w:rFonts w:ascii="Century Gothic" w:hAnsi="Century Gothic"/>
          <w:sz w:val="22"/>
          <w:szCs w:val="22"/>
        </w:rPr>
        <w:t>4.5.1.3 Difundir y fomentar la implementación de los huertos familiares</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42AACB80"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2D4DC817"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4.5.2 </w:t>
      </w:r>
      <w:r w:rsidRPr="00D313D5">
        <w:rPr>
          <w:rFonts w:ascii="Century Gothic" w:hAnsi="Century Gothic"/>
          <w:sz w:val="22"/>
          <w:szCs w:val="22"/>
        </w:rPr>
        <w:t>Promover el pleno goce, respeto, protección y promoción de los derechos humanos de niñas, niños y adolescentes.</w:t>
      </w:r>
    </w:p>
    <w:p w14:paraId="1C01E4FD"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0FBA6E18" w14:textId="77777777" w:rsidR="00D313D5" w:rsidRPr="00D313D5" w:rsidRDefault="00D313D5" w:rsidP="00E50CE9">
      <w:pPr>
        <w:numPr>
          <w:ilvl w:val="0"/>
          <w:numId w:val="57"/>
        </w:numPr>
        <w:spacing w:after="160" w:line="360" w:lineRule="auto"/>
        <w:contextualSpacing/>
        <w:jc w:val="both"/>
        <w:rPr>
          <w:rFonts w:ascii="Century Gothic" w:hAnsi="Century Gothic"/>
          <w:sz w:val="22"/>
          <w:szCs w:val="22"/>
        </w:rPr>
      </w:pPr>
      <w:r w:rsidRPr="00D313D5">
        <w:rPr>
          <w:rFonts w:ascii="Century Gothic" w:hAnsi="Century Gothic"/>
          <w:sz w:val="22"/>
          <w:szCs w:val="22"/>
        </w:rPr>
        <w:t>4.5.2.1 Brindar asesorías jurídicas</w:t>
      </w:r>
    </w:p>
    <w:p w14:paraId="7E1E3A53" w14:textId="77777777" w:rsidR="00D313D5" w:rsidRPr="00D313D5" w:rsidRDefault="00D313D5" w:rsidP="00E50CE9">
      <w:pPr>
        <w:numPr>
          <w:ilvl w:val="0"/>
          <w:numId w:val="57"/>
        </w:numPr>
        <w:spacing w:after="160" w:line="360" w:lineRule="auto"/>
        <w:contextualSpacing/>
        <w:jc w:val="both"/>
        <w:rPr>
          <w:rFonts w:ascii="Century Gothic" w:hAnsi="Century Gothic"/>
          <w:sz w:val="22"/>
          <w:szCs w:val="22"/>
        </w:rPr>
      </w:pPr>
      <w:r w:rsidRPr="00D313D5">
        <w:rPr>
          <w:rFonts w:ascii="Century Gothic" w:hAnsi="Century Gothic"/>
          <w:sz w:val="22"/>
          <w:szCs w:val="22"/>
        </w:rPr>
        <w:t>4.5.2.2 Promover audiencias conciliatorias</w:t>
      </w:r>
    </w:p>
    <w:p w14:paraId="68B0776A" w14:textId="77777777" w:rsidR="00D313D5" w:rsidRPr="00D313D5" w:rsidRDefault="00D313D5" w:rsidP="00E50CE9">
      <w:pPr>
        <w:numPr>
          <w:ilvl w:val="0"/>
          <w:numId w:val="57"/>
        </w:numPr>
        <w:spacing w:after="160" w:line="360" w:lineRule="auto"/>
        <w:contextualSpacing/>
        <w:jc w:val="both"/>
        <w:rPr>
          <w:rFonts w:ascii="Century Gothic" w:hAnsi="Century Gothic"/>
          <w:sz w:val="22"/>
          <w:szCs w:val="22"/>
        </w:rPr>
      </w:pPr>
      <w:r w:rsidRPr="00D313D5">
        <w:rPr>
          <w:rFonts w:ascii="Century Gothic" w:hAnsi="Century Gothic"/>
          <w:sz w:val="22"/>
          <w:szCs w:val="22"/>
        </w:rPr>
        <w:t>4.5.2.3 Impartir pláticas familiares</w:t>
      </w:r>
    </w:p>
    <w:p w14:paraId="7D679127" w14:textId="651CBAEF" w:rsidR="00D313D5" w:rsidRPr="00D313D5" w:rsidRDefault="00D313D5" w:rsidP="00E50CE9">
      <w:pPr>
        <w:numPr>
          <w:ilvl w:val="0"/>
          <w:numId w:val="57"/>
        </w:numPr>
        <w:spacing w:after="160" w:line="360" w:lineRule="auto"/>
        <w:contextualSpacing/>
        <w:jc w:val="both"/>
        <w:rPr>
          <w:rFonts w:ascii="Century Gothic" w:hAnsi="Century Gothic"/>
          <w:sz w:val="22"/>
          <w:szCs w:val="22"/>
        </w:rPr>
      </w:pPr>
      <w:r w:rsidRPr="00D313D5">
        <w:rPr>
          <w:rFonts w:ascii="Century Gothic" w:hAnsi="Century Gothic"/>
          <w:sz w:val="22"/>
          <w:szCs w:val="22"/>
        </w:rPr>
        <w:t>4.5.2.4 Elaborar convenios</w:t>
      </w:r>
    </w:p>
    <w:p w14:paraId="09388BAB"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5952D465"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4.5.3</w:t>
      </w:r>
      <w:r w:rsidRPr="00D313D5">
        <w:rPr>
          <w:rFonts w:ascii="Century Gothic" w:hAnsi="Century Gothic"/>
          <w:sz w:val="22"/>
          <w:szCs w:val="22"/>
        </w:rPr>
        <w:t xml:space="preserve">Dotar a las y los islenses en situación de discapacidad, de los satisfactores y servicios indispensables para contar con una vida digna dentro de </w:t>
      </w:r>
      <w:r w:rsidRPr="00D313D5">
        <w:rPr>
          <w:rFonts w:ascii="Century Gothic" w:hAnsi="Century Gothic"/>
          <w:sz w:val="22"/>
          <w:szCs w:val="22"/>
        </w:rPr>
        <w:t>sus circunstancias, bajo una cultura de inclusión social y laboral.</w:t>
      </w:r>
    </w:p>
    <w:p w14:paraId="59AB0626"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1117C962" w14:textId="77777777" w:rsidR="00D313D5" w:rsidRPr="00D313D5" w:rsidRDefault="00D313D5" w:rsidP="00E50CE9">
      <w:pPr>
        <w:numPr>
          <w:ilvl w:val="0"/>
          <w:numId w:val="54"/>
        </w:numPr>
        <w:spacing w:after="160" w:line="360" w:lineRule="auto"/>
        <w:contextualSpacing/>
        <w:jc w:val="both"/>
        <w:rPr>
          <w:rFonts w:ascii="Century Gothic" w:hAnsi="Century Gothic"/>
          <w:sz w:val="22"/>
          <w:szCs w:val="22"/>
        </w:rPr>
      </w:pPr>
      <w:r w:rsidRPr="00D313D5">
        <w:rPr>
          <w:rFonts w:ascii="Century Gothic" w:hAnsi="Century Gothic"/>
          <w:sz w:val="22"/>
          <w:szCs w:val="22"/>
        </w:rPr>
        <w:t>4.5.3.1 Otorgar terapias en la cámara de estimulación sensorial</w:t>
      </w:r>
      <w:r w:rsidRPr="00D313D5">
        <w:rPr>
          <w:rFonts w:ascii="Century Gothic" w:hAnsi="Century Gothic"/>
          <w:sz w:val="22"/>
          <w:szCs w:val="22"/>
        </w:rPr>
        <w:tab/>
      </w:r>
      <w:r w:rsidRPr="00D313D5">
        <w:rPr>
          <w:rFonts w:ascii="Century Gothic" w:hAnsi="Century Gothic"/>
          <w:sz w:val="22"/>
          <w:szCs w:val="22"/>
        </w:rPr>
        <w:tab/>
      </w:r>
    </w:p>
    <w:p w14:paraId="58956574" w14:textId="77777777" w:rsidR="00D313D5" w:rsidRPr="00D313D5" w:rsidRDefault="00D313D5" w:rsidP="00E50CE9">
      <w:pPr>
        <w:numPr>
          <w:ilvl w:val="0"/>
          <w:numId w:val="54"/>
        </w:numPr>
        <w:spacing w:after="160" w:line="360" w:lineRule="auto"/>
        <w:contextualSpacing/>
        <w:jc w:val="both"/>
        <w:rPr>
          <w:rFonts w:ascii="Century Gothic" w:hAnsi="Century Gothic"/>
          <w:sz w:val="22"/>
          <w:szCs w:val="22"/>
        </w:rPr>
      </w:pPr>
      <w:r w:rsidRPr="00D313D5">
        <w:rPr>
          <w:rFonts w:ascii="Century Gothic" w:hAnsi="Century Gothic"/>
          <w:sz w:val="22"/>
          <w:szCs w:val="22"/>
        </w:rPr>
        <w:t>4.5.3.2 Otorgar terapias físicas, ocupacional y lenguaje</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7661FD76" w14:textId="77777777" w:rsidR="00D313D5" w:rsidRPr="00D313D5" w:rsidRDefault="00D313D5" w:rsidP="00E50CE9">
      <w:pPr>
        <w:numPr>
          <w:ilvl w:val="0"/>
          <w:numId w:val="54"/>
        </w:numPr>
        <w:spacing w:after="160" w:line="360" w:lineRule="auto"/>
        <w:contextualSpacing/>
        <w:jc w:val="both"/>
        <w:rPr>
          <w:rFonts w:ascii="Century Gothic" w:hAnsi="Century Gothic"/>
          <w:sz w:val="22"/>
          <w:szCs w:val="22"/>
        </w:rPr>
      </w:pPr>
      <w:r w:rsidRPr="00D313D5">
        <w:rPr>
          <w:rFonts w:ascii="Century Gothic" w:hAnsi="Century Gothic"/>
          <w:sz w:val="22"/>
          <w:szCs w:val="22"/>
        </w:rPr>
        <w:t>4.5.3.3 Brindar consultas de rehabilitación a personas con discapacidad</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28458E68"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0F74ED0C"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4.5.4 </w:t>
      </w:r>
      <w:r w:rsidRPr="00D313D5">
        <w:rPr>
          <w:rFonts w:ascii="Century Gothic" w:hAnsi="Century Gothic"/>
          <w:sz w:val="22"/>
          <w:szCs w:val="22"/>
        </w:rPr>
        <w:t>Brindar atención oportuna y de calidad en materia de salud física y mental, nutrición, educación, cultura, recreación y asistencia jurídica, sustentada en una cultura de respeto y trato digno a las personas adultas mayores.</w:t>
      </w:r>
    </w:p>
    <w:p w14:paraId="13B6A0DB"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6045AD93" w14:textId="77777777" w:rsidR="00D313D5" w:rsidRPr="00D313D5" w:rsidRDefault="00D313D5" w:rsidP="00E50CE9">
      <w:pPr>
        <w:numPr>
          <w:ilvl w:val="0"/>
          <w:numId w:val="52"/>
        </w:numPr>
        <w:spacing w:after="160" w:line="360" w:lineRule="auto"/>
        <w:contextualSpacing/>
        <w:jc w:val="both"/>
        <w:rPr>
          <w:rFonts w:ascii="Century Gothic" w:hAnsi="Century Gothic"/>
          <w:sz w:val="22"/>
          <w:szCs w:val="22"/>
        </w:rPr>
      </w:pPr>
      <w:r w:rsidRPr="00D313D5">
        <w:rPr>
          <w:rFonts w:ascii="Century Gothic" w:hAnsi="Century Gothic"/>
          <w:sz w:val="22"/>
          <w:szCs w:val="22"/>
        </w:rPr>
        <w:t>4.5.4.1Otorgar atención gerontológica, psicológica, quiropráctica y de acupuntura</w:t>
      </w:r>
      <w:r w:rsidRPr="00D313D5">
        <w:rPr>
          <w:rFonts w:ascii="Century Gothic" w:hAnsi="Century Gothic"/>
          <w:sz w:val="22"/>
          <w:szCs w:val="22"/>
        </w:rPr>
        <w:tab/>
      </w:r>
      <w:r w:rsidRPr="00D313D5">
        <w:rPr>
          <w:rFonts w:ascii="Century Gothic" w:hAnsi="Century Gothic"/>
          <w:sz w:val="22"/>
          <w:szCs w:val="22"/>
        </w:rPr>
        <w:tab/>
      </w:r>
    </w:p>
    <w:p w14:paraId="6C20CD32" w14:textId="77777777" w:rsidR="00D313D5" w:rsidRPr="00D313D5" w:rsidRDefault="00D313D5" w:rsidP="00E50CE9">
      <w:pPr>
        <w:numPr>
          <w:ilvl w:val="0"/>
          <w:numId w:val="52"/>
        </w:numPr>
        <w:spacing w:after="160" w:line="360" w:lineRule="auto"/>
        <w:contextualSpacing/>
        <w:jc w:val="both"/>
        <w:rPr>
          <w:rFonts w:ascii="Century Gothic" w:hAnsi="Century Gothic"/>
          <w:sz w:val="22"/>
          <w:szCs w:val="22"/>
        </w:rPr>
      </w:pPr>
      <w:r w:rsidRPr="00D313D5">
        <w:rPr>
          <w:rFonts w:ascii="Century Gothic" w:hAnsi="Century Gothic"/>
          <w:sz w:val="22"/>
          <w:szCs w:val="22"/>
        </w:rPr>
        <w:lastRenderedPageBreak/>
        <w:t>4.5.4.1 Clases de manualidades, actividad física, danza</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416CED7A" w14:textId="77777777" w:rsidR="00D313D5" w:rsidRPr="00D313D5" w:rsidRDefault="00D313D5" w:rsidP="00E50CE9">
      <w:pPr>
        <w:numPr>
          <w:ilvl w:val="0"/>
          <w:numId w:val="52"/>
        </w:numPr>
        <w:spacing w:after="160" w:line="360" w:lineRule="auto"/>
        <w:contextualSpacing/>
        <w:jc w:val="both"/>
        <w:rPr>
          <w:rFonts w:ascii="Century Gothic" w:hAnsi="Century Gothic"/>
          <w:sz w:val="22"/>
          <w:szCs w:val="22"/>
        </w:rPr>
      </w:pPr>
      <w:r w:rsidRPr="00D313D5">
        <w:rPr>
          <w:rFonts w:ascii="Century Gothic" w:hAnsi="Century Gothic"/>
          <w:sz w:val="22"/>
          <w:szCs w:val="22"/>
        </w:rPr>
        <w:t>4.5.4.2 Pláticas psicológicas y nutricionales a adultos mayores</w:t>
      </w:r>
    </w:p>
    <w:p w14:paraId="0ADF33F8" w14:textId="77777777" w:rsidR="00D313D5" w:rsidRPr="00D313D5" w:rsidRDefault="00D313D5" w:rsidP="00E50CE9">
      <w:pPr>
        <w:numPr>
          <w:ilvl w:val="0"/>
          <w:numId w:val="52"/>
        </w:numPr>
        <w:spacing w:after="160" w:line="360" w:lineRule="auto"/>
        <w:contextualSpacing/>
        <w:jc w:val="both"/>
        <w:rPr>
          <w:rFonts w:ascii="Century Gothic" w:hAnsi="Century Gothic"/>
          <w:sz w:val="22"/>
          <w:szCs w:val="22"/>
        </w:rPr>
      </w:pPr>
      <w:r w:rsidRPr="00D313D5">
        <w:rPr>
          <w:rFonts w:ascii="Century Gothic" w:hAnsi="Century Gothic"/>
          <w:sz w:val="22"/>
          <w:szCs w:val="22"/>
        </w:rPr>
        <w:t>4.5.4.3 Realizar eventos dirigidos a adultos mayores</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2FD971FC"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43F68F90"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4.5.5 </w:t>
      </w:r>
      <w:r w:rsidRPr="00D313D5">
        <w:rPr>
          <w:rFonts w:ascii="Century Gothic" w:hAnsi="Century Gothic"/>
          <w:sz w:val="22"/>
          <w:szCs w:val="22"/>
        </w:rPr>
        <w:t>Desarrollar espacios que contribuyan al bienestar social de adolescentes y jóvenes.</w:t>
      </w:r>
    </w:p>
    <w:p w14:paraId="64EE57EF"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26B056C0" w14:textId="77777777" w:rsidR="00D313D5" w:rsidRPr="00D313D5" w:rsidRDefault="00D313D5" w:rsidP="00E50CE9">
      <w:pPr>
        <w:numPr>
          <w:ilvl w:val="0"/>
          <w:numId w:val="55"/>
        </w:numPr>
        <w:spacing w:after="160" w:line="360" w:lineRule="auto"/>
        <w:contextualSpacing/>
        <w:jc w:val="both"/>
        <w:rPr>
          <w:rFonts w:ascii="Century Gothic" w:hAnsi="Century Gothic"/>
          <w:sz w:val="22"/>
          <w:szCs w:val="22"/>
        </w:rPr>
      </w:pPr>
      <w:r w:rsidRPr="00D313D5">
        <w:rPr>
          <w:rFonts w:ascii="Century Gothic" w:hAnsi="Century Gothic"/>
          <w:sz w:val="22"/>
          <w:szCs w:val="22"/>
        </w:rPr>
        <w:t>4.5.5.1 Proporcionar consultas de salud nutricional entre los adolescentes</w:t>
      </w:r>
    </w:p>
    <w:p w14:paraId="55FCBEF1" w14:textId="77777777" w:rsidR="00D313D5" w:rsidRPr="00D313D5" w:rsidRDefault="00D313D5" w:rsidP="00E50CE9">
      <w:pPr>
        <w:numPr>
          <w:ilvl w:val="0"/>
          <w:numId w:val="55"/>
        </w:numPr>
        <w:spacing w:after="160" w:line="360" w:lineRule="auto"/>
        <w:contextualSpacing/>
        <w:jc w:val="both"/>
        <w:rPr>
          <w:rFonts w:ascii="Century Gothic" w:hAnsi="Century Gothic"/>
          <w:sz w:val="22"/>
          <w:szCs w:val="22"/>
        </w:rPr>
      </w:pPr>
      <w:r w:rsidRPr="00D313D5">
        <w:rPr>
          <w:rFonts w:ascii="Century Gothic" w:hAnsi="Century Gothic"/>
          <w:sz w:val="22"/>
          <w:szCs w:val="22"/>
        </w:rPr>
        <w:t>4.5.5.2 Proporcionar servicios de salud mental y motivacional</w:t>
      </w:r>
      <w:r w:rsidRPr="00D313D5">
        <w:rPr>
          <w:rFonts w:ascii="Century Gothic" w:hAnsi="Century Gothic"/>
          <w:sz w:val="22"/>
          <w:szCs w:val="22"/>
        </w:rPr>
        <w:tab/>
      </w:r>
      <w:r w:rsidRPr="00D313D5">
        <w:rPr>
          <w:rFonts w:ascii="Century Gothic" w:hAnsi="Century Gothic"/>
          <w:sz w:val="22"/>
          <w:szCs w:val="22"/>
        </w:rPr>
        <w:tab/>
      </w:r>
    </w:p>
    <w:p w14:paraId="5C36106C" w14:textId="77777777" w:rsidR="00D313D5" w:rsidRPr="00D313D5" w:rsidRDefault="00D313D5" w:rsidP="00E50CE9">
      <w:pPr>
        <w:numPr>
          <w:ilvl w:val="0"/>
          <w:numId w:val="55"/>
        </w:numPr>
        <w:spacing w:after="160" w:line="360" w:lineRule="auto"/>
        <w:contextualSpacing/>
        <w:jc w:val="both"/>
        <w:rPr>
          <w:rFonts w:ascii="Century Gothic" w:hAnsi="Century Gothic"/>
          <w:sz w:val="22"/>
          <w:szCs w:val="22"/>
        </w:rPr>
      </w:pPr>
      <w:r w:rsidRPr="00D313D5">
        <w:rPr>
          <w:rFonts w:ascii="Century Gothic" w:hAnsi="Century Gothic"/>
          <w:sz w:val="22"/>
          <w:szCs w:val="22"/>
        </w:rPr>
        <w:t>4.5.5.3 Implementar actividades recreativas, deportivas y culturales</w:t>
      </w:r>
      <w:r w:rsidRPr="00D313D5">
        <w:rPr>
          <w:rFonts w:ascii="Century Gothic" w:hAnsi="Century Gothic"/>
          <w:sz w:val="22"/>
          <w:szCs w:val="22"/>
        </w:rPr>
        <w:tab/>
      </w:r>
    </w:p>
    <w:p w14:paraId="2120D627" w14:textId="77777777" w:rsidR="00D313D5" w:rsidRPr="00D313D5" w:rsidRDefault="00D313D5" w:rsidP="00E50CE9">
      <w:pPr>
        <w:numPr>
          <w:ilvl w:val="0"/>
          <w:numId w:val="55"/>
        </w:numPr>
        <w:spacing w:after="160" w:line="360" w:lineRule="auto"/>
        <w:contextualSpacing/>
        <w:jc w:val="both"/>
        <w:rPr>
          <w:rFonts w:ascii="Century Gothic" w:hAnsi="Century Gothic"/>
          <w:sz w:val="22"/>
          <w:szCs w:val="22"/>
        </w:rPr>
      </w:pPr>
      <w:r w:rsidRPr="00D313D5">
        <w:rPr>
          <w:rFonts w:ascii="Century Gothic" w:hAnsi="Century Gothic"/>
          <w:sz w:val="22"/>
          <w:szCs w:val="22"/>
        </w:rPr>
        <w:t>4.5.5.4 Efectuar talleres educativos y de superación</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03C4649F"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2054E20F"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4.5.6</w:t>
      </w:r>
      <w:r w:rsidRPr="00D313D5">
        <w:rPr>
          <w:rFonts w:ascii="Century Gothic" w:hAnsi="Century Gothic"/>
          <w:sz w:val="22"/>
          <w:szCs w:val="22"/>
        </w:rPr>
        <w:t>Garantizar el acceso a servicios jurídicos, de salud mental y educativos.</w:t>
      </w:r>
    </w:p>
    <w:p w14:paraId="7371190F" w14:textId="77777777" w:rsidR="00D313D5" w:rsidRPr="00D313D5" w:rsidRDefault="00D313D5" w:rsidP="00D313D5">
      <w:pPr>
        <w:spacing w:line="360" w:lineRule="auto"/>
        <w:jc w:val="both"/>
        <w:rPr>
          <w:rFonts w:ascii="Century Gothic" w:hAnsi="Century Gothic"/>
          <w:b/>
          <w:bCs/>
          <w:sz w:val="22"/>
          <w:szCs w:val="22"/>
        </w:rPr>
      </w:pPr>
      <w:r w:rsidRPr="00D313D5">
        <w:rPr>
          <w:rFonts w:ascii="Century Gothic" w:hAnsi="Century Gothic"/>
          <w:b/>
          <w:bCs/>
          <w:color w:val="025850"/>
          <w:sz w:val="22"/>
          <w:szCs w:val="22"/>
        </w:rPr>
        <w:t>Líneas de acción:</w:t>
      </w:r>
      <w:r w:rsidRPr="00D313D5">
        <w:rPr>
          <w:rFonts w:ascii="Century Gothic" w:hAnsi="Century Gothic"/>
          <w:color w:val="025850"/>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54DB5CD1" w14:textId="77777777" w:rsidR="00D313D5" w:rsidRPr="00D313D5" w:rsidRDefault="00D313D5" w:rsidP="00E50CE9">
      <w:pPr>
        <w:numPr>
          <w:ilvl w:val="0"/>
          <w:numId w:val="56"/>
        </w:numPr>
        <w:spacing w:after="160" w:line="360" w:lineRule="auto"/>
        <w:contextualSpacing/>
        <w:jc w:val="both"/>
        <w:rPr>
          <w:rFonts w:ascii="Century Gothic" w:hAnsi="Century Gothic"/>
          <w:sz w:val="22"/>
          <w:szCs w:val="22"/>
        </w:rPr>
      </w:pPr>
      <w:r w:rsidRPr="00D313D5">
        <w:rPr>
          <w:rFonts w:ascii="Century Gothic" w:hAnsi="Century Gothic"/>
          <w:sz w:val="22"/>
          <w:szCs w:val="22"/>
        </w:rPr>
        <w:t>4.5.6.1 Impartir platicas de promoción de la salud mental y prevención de adicciones</w:t>
      </w:r>
      <w:r w:rsidRPr="00D313D5">
        <w:rPr>
          <w:rFonts w:ascii="Century Gothic" w:hAnsi="Century Gothic"/>
          <w:sz w:val="22"/>
          <w:szCs w:val="22"/>
        </w:rPr>
        <w:tab/>
      </w:r>
    </w:p>
    <w:p w14:paraId="7E84AE3D" w14:textId="77777777" w:rsidR="00D313D5" w:rsidRPr="00D313D5" w:rsidRDefault="00D313D5" w:rsidP="00E50CE9">
      <w:pPr>
        <w:numPr>
          <w:ilvl w:val="0"/>
          <w:numId w:val="56"/>
        </w:numPr>
        <w:spacing w:after="160" w:line="360" w:lineRule="auto"/>
        <w:contextualSpacing/>
        <w:jc w:val="both"/>
        <w:rPr>
          <w:rFonts w:ascii="Century Gothic" w:hAnsi="Century Gothic"/>
          <w:sz w:val="22"/>
          <w:szCs w:val="22"/>
        </w:rPr>
      </w:pPr>
      <w:r w:rsidRPr="00D313D5">
        <w:rPr>
          <w:rFonts w:ascii="Century Gothic" w:hAnsi="Century Gothic"/>
          <w:sz w:val="22"/>
          <w:szCs w:val="22"/>
        </w:rPr>
        <w:t>4.5.6.2 Realizar actividades complementarias del área de Psicología</w:t>
      </w:r>
    </w:p>
    <w:p w14:paraId="431D6514" w14:textId="77777777" w:rsidR="00D313D5" w:rsidRPr="00D313D5" w:rsidRDefault="00D313D5" w:rsidP="00E50CE9">
      <w:pPr>
        <w:numPr>
          <w:ilvl w:val="0"/>
          <w:numId w:val="56"/>
        </w:numPr>
        <w:spacing w:after="160" w:line="360" w:lineRule="auto"/>
        <w:contextualSpacing/>
        <w:jc w:val="both"/>
        <w:rPr>
          <w:rFonts w:ascii="Century Gothic" w:hAnsi="Century Gothic"/>
          <w:sz w:val="22"/>
          <w:szCs w:val="22"/>
        </w:rPr>
      </w:pPr>
      <w:r w:rsidRPr="00D313D5">
        <w:rPr>
          <w:rFonts w:ascii="Century Gothic" w:hAnsi="Century Gothic"/>
          <w:sz w:val="22"/>
          <w:szCs w:val="22"/>
        </w:rPr>
        <w:t>4.5.6.3 Realizar actividades complementarias del área de enfermería</w:t>
      </w:r>
    </w:p>
    <w:p w14:paraId="59BB811D" w14:textId="77777777" w:rsidR="00D313D5" w:rsidRPr="00D313D5" w:rsidRDefault="00D313D5" w:rsidP="00E50CE9">
      <w:pPr>
        <w:numPr>
          <w:ilvl w:val="0"/>
          <w:numId w:val="56"/>
        </w:numPr>
        <w:spacing w:after="160" w:line="360" w:lineRule="auto"/>
        <w:contextualSpacing/>
        <w:jc w:val="both"/>
        <w:rPr>
          <w:rFonts w:ascii="Century Gothic" w:hAnsi="Century Gothic"/>
          <w:sz w:val="22"/>
          <w:szCs w:val="22"/>
        </w:rPr>
      </w:pPr>
      <w:r w:rsidRPr="00D313D5">
        <w:rPr>
          <w:rFonts w:ascii="Century Gothic" w:hAnsi="Century Gothic"/>
          <w:sz w:val="22"/>
          <w:szCs w:val="22"/>
        </w:rPr>
        <w:t>4.5.6.4 Realizar actividades complementarias del área de Trabajo Social</w:t>
      </w:r>
    </w:p>
    <w:p w14:paraId="09550F01" w14:textId="77777777" w:rsidR="00D313D5" w:rsidRPr="00D313D5" w:rsidRDefault="00D313D5" w:rsidP="00E50CE9">
      <w:pPr>
        <w:numPr>
          <w:ilvl w:val="0"/>
          <w:numId w:val="56"/>
        </w:numPr>
        <w:spacing w:after="160" w:line="360" w:lineRule="auto"/>
        <w:contextualSpacing/>
        <w:jc w:val="both"/>
        <w:rPr>
          <w:rFonts w:ascii="Century Gothic" w:hAnsi="Century Gothic"/>
          <w:sz w:val="22"/>
          <w:szCs w:val="22"/>
        </w:rPr>
      </w:pPr>
      <w:r w:rsidRPr="00D313D5">
        <w:rPr>
          <w:rFonts w:ascii="Century Gothic" w:hAnsi="Century Gothic"/>
          <w:sz w:val="22"/>
          <w:szCs w:val="22"/>
        </w:rPr>
        <w:t>4.5.6.5 Realizar escuela para padres</w:t>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r w:rsidRPr="00D313D5">
        <w:rPr>
          <w:rFonts w:ascii="Century Gothic" w:hAnsi="Century Gothic"/>
          <w:sz w:val="22"/>
          <w:szCs w:val="22"/>
        </w:rPr>
        <w:tab/>
      </w:r>
    </w:p>
    <w:p w14:paraId="1F2D4832"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Objetivo</w:t>
      </w:r>
    </w:p>
    <w:p w14:paraId="27376DCC"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4.6</w:t>
      </w:r>
      <w:r w:rsidRPr="00D313D5">
        <w:rPr>
          <w:rFonts w:ascii="Century Gothic" w:hAnsi="Century Gothic"/>
          <w:sz w:val="22"/>
          <w:szCs w:val="22"/>
        </w:rPr>
        <w:t xml:space="preserve">Otorgar servicios y apoyos que favorezcan la integración y el desarrollo de las familias. </w:t>
      </w:r>
    </w:p>
    <w:p w14:paraId="147BF777"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Estrategia</w:t>
      </w:r>
    </w:p>
    <w:p w14:paraId="72D1473A"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4.6.1 </w:t>
      </w:r>
      <w:r w:rsidRPr="00D313D5">
        <w:rPr>
          <w:rFonts w:ascii="Century Gothic" w:hAnsi="Century Gothic"/>
          <w:sz w:val="22"/>
          <w:szCs w:val="22"/>
        </w:rPr>
        <w:t>Mejorar la calidad de vida de las familias islenses bajo un enfoque de asistencia social.</w:t>
      </w:r>
    </w:p>
    <w:p w14:paraId="61A66259"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4717C7EC" w14:textId="77777777" w:rsidR="00D313D5" w:rsidRPr="00D313D5" w:rsidRDefault="00D313D5" w:rsidP="00E50CE9">
      <w:pPr>
        <w:numPr>
          <w:ilvl w:val="0"/>
          <w:numId w:val="53"/>
        </w:numPr>
        <w:spacing w:after="160" w:line="360" w:lineRule="auto"/>
        <w:contextualSpacing/>
        <w:jc w:val="both"/>
        <w:rPr>
          <w:rFonts w:ascii="Century Gothic" w:hAnsi="Century Gothic"/>
          <w:sz w:val="22"/>
          <w:szCs w:val="22"/>
        </w:rPr>
      </w:pPr>
      <w:r w:rsidRPr="00D313D5">
        <w:rPr>
          <w:rFonts w:ascii="Century Gothic" w:hAnsi="Century Gothic"/>
          <w:sz w:val="22"/>
          <w:szCs w:val="22"/>
        </w:rPr>
        <w:t xml:space="preserve">4.6.1.1 Gestionar </w:t>
      </w:r>
      <w:bookmarkStart w:id="11" w:name="_Hlk183689316"/>
      <w:r w:rsidRPr="00D313D5">
        <w:rPr>
          <w:rFonts w:ascii="Century Gothic" w:hAnsi="Century Gothic"/>
          <w:sz w:val="22"/>
          <w:szCs w:val="22"/>
        </w:rPr>
        <w:t xml:space="preserve">talleres de capacitación </w:t>
      </w:r>
      <w:bookmarkEnd w:id="11"/>
      <w:r w:rsidRPr="00D313D5">
        <w:rPr>
          <w:rFonts w:ascii="Century Gothic" w:hAnsi="Century Gothic"/>
          <w:sz w:val="22"/>
          <w:szCs w:val="22"/>
        </w:rPr>
        <w:t>a padres y madres</w:t>
      </w:r>
      <w:r w:rsidRPr="00D313D5">
        <w:rPr>
          <w:rFonts w:ascii="Century Gothic" w:hAnsi="Century Gothic"/>
          <w:sz w:val="22"/>
          <w:szCs w:val="22"/>
        </w:rPr>
        <w:tab/>
      </w:r>
      <w:r w:rsidRPr="00D313D5">
        <w:rPr>
          <w:rFonts w:ascii="Century Gothic" w:hAnsi="Century Gothic"/>
          <w:sz w:val="22"/>
          <w:szCs w:val="22"/>
        </w:rPr>
        <w:tab/>
      </w:r>
    </w:p>
    <w:p w14:paraId="765D8F88" w14:textId="77777777" w:rsidR="00D313D5" w:rsidRPr="00D313D5" w:rsidRDefault="00D313D5" w:rsidP="00E50CE9">
      <w:pPr>
        <w:numPr>
          <w:ilvl w:val="0"/>
          <w:numId w:val="53"/>
        </w:numPr>
        <w:spacing w:after="160" w:line="360" w:lineRule="auto"/>
        <w:contextualSpacing/>
        <w:jc w:val="both"/>
        <w:rPr>
          <w:rFonts w:ascii="Century Gothic" w:hAnsi="Century Gothic"/>
          <w:sz w:val="22"/>
          <w:szCs w:val="22"/>
        </w:rPr>
      </w:pPr>
      <w:r w:rsidRPr="00D313D5">
        <w:rPr>
          <w:rFonts w:ascii="Century Gothic" w:hAnsi="Century Gothic"/>
          <w:sz w:val="22"/>
          <w:szCs w:val="22"/>
        </w:rPr>
        <w:lastRenderedPageBreak/>
        <w:t>4.6.1.2 Gestionar talleres de capacitación a personas vulnerables</w:t>
      </w:r>
    </w:p>
    <w:p w14:paraId="7E585CB3" w14:textId="77777777" w:rsidR="00D313D5" w:rsidRPr="00D313D5" w:rsidRDefault="00D313D5" w:rsidP="00E50CE9">
      <w:pPr>
        <w:numPr>
          <w:ilvl w:val="0"/>
          <w:numId w:val="53"/>
        </w:numPr>
        <w:spacing w:after="160" w:line="360" w:lineRule="auto"/>
        <w:contextualSpacing/>
        <w:jc w:val="both"/>
        <w:rPr>
          <w:rFonts w:ascii="Century Gothic" w:hAnsi="Century Gothic"/>
          <w:sz w:val="22"/>
          <w:szCs w:val="22"/>
        </w:rPr>
      </w:pPr>
      <w:r w:rsidRPr="00D313D5">
        <w:rPr>
          <w:rFonts w:ascii="Century Gothic" w:hAnsi="Century Gothic"/>
          <w:sz w:val="22"/>
          <w:szCs w:val="22"/>
        </w:rPr>
        <w:t>4.6.1.3 Realizar Jornadas de salud</w:t>
      </w:r>
    </w:p>
    <w:p w14:paraId="1EE92874" w14:textId="77777777" w:rsidR="00D313D5" w:rsidRPr="00D313D5" w:rsidRDefault="00D313D5" w:rsidP="00E50CE9">
      <w:pPr>
        <w:numPr>
          <w:ilvl w:val="0"/>
          <w:numId w:val="53"/>
        </w:numPr>
        <w:spacing w:after="160" w:line="360" w:lineRule="auto"/>
        <w:contextualSpacing/>
        <w:jc w:val="both"/>
        <w:rPr>
          <w:rFonts w:ascii="Century Gothic" w:hAnsi="Century Gothic"/>
          <w:sz w:val="22"/>
          <w:szCs w:val="22"/>
        </w:rPr>
      </w:pPr>
      <w:r w:rsidRPr="00D313D5">
        <w:rPr>
          <w:rFonts w:ascii="Century Gothic" w:hAnsi="Century Gothic"/>
          <w:sz w:val="22"/>
          <w:szCs w:val="22"/>
        </w:rPr>
        <w:t>4.6.1.4 Realizar actividades recreativas, culturales y deportivas</w:t>
      </w:r>
    </w:p>
    <w:p w14:paraId="2F0FE24F" w14:textId="11E6FB9F" w:rsidR="00D313D5" w:rsidRPr="00D313D5" w:rsidRDefault="00D313D5" w:rsidP="00E50CE9">
      <w:pPr>
        <w:numPr>
          <w:ilvl w:val="0"/>
          <w:numId w:val="53"/>
        </w:numPr>
        <w:spacing w:after="160" w:line="360" w:lineRule="auto"/>
        <w:contextualSpacing/>
        <w:jc w:val="both"/>
        <w:rPr>
          <w:rFonts w:ascii="Century Gothic" w:hAnsi="Century Gothic"/>
          <w:sz w:val="22"/>
          <w:szCs w:val="22"/>
        </w:rPr>
      </w:pPr>
      <w:r w:rsidRPr="00D313D5">
        <w:rPr>
          <w:rFonts w:ascii="Century Gothic" w:hAnsi="Century Gothic"/>
          <w:sz w:val="22"/>
          <w:szCs w:val="22"/>
        </w:rPr>
        <w:t>4.6.1.5 Entregar donativos para la salud</w:t>
      </w:r>
      <w:r w:rsidRPr="00D313D5">
        <w:rPr>
          <w:rFonts w:ascii="Century Gothic" w:hAnsi="Century Gothic"/>
          <w:sz w:val="22"/>
          <w:szCs w:val="22"/>
        </w:rPr>
        <w:tab/>
      </w:r>
    </w:p>
    <w:p w14:paraId="0F69BC28" w14:textId="77777777" w:rsidR="00D313D5" w:rsidRPr="00D313D5" w:rsidRDefault="00D313D5" w:rsidP="00D313D5">
      <w:pPr>
        <w:spacing w:line="360" w:lineRule="auto"/>
        <w:jc w:val="both"/>
        <w:rPr>
          <w:rFonts w:ascii="Century Gothic" w:hAnsi="Century Gothic"/>
          <w:color w:val="025850"/>
          <w:sz w:val="22"/>
          <w:szCs w:val="22"/>
        </w:rPr>
      </w:pPr>
      <w:r w:rsidRPr="00D313D5">
        <w:rPr>
          <w:rFonts w:ascii="Century Gothic" w:hAnsi="Century Gothic"/>
          <w:b/>
          <w:bCs/>
          <w:color w:val="025850"/>
          <w:sz w:val="22"/>
          <w:szCs w:val="22"/>
        </w:rPr>
        <w:t>Objetivo</w:t>
      </w:r>
    </w:p>
    <w:p w14:paraId="6663FAA2"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sz w:val="22"/>
          <w:szCs w:val="22"/>
        </w:rPr>
        <w:t xml:space="preserve">4.7 Establecer un Sistema de Salud Integral que asegure el acceso a la salud física y mental de todas y todos. </w:t>
      </w:r>
    </w:p>
    <w:p w14:paraId="24930A38"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Estrategia</w:t>
      </w:r>
    </w:p>
    <w:p w14:paraId="37FBD95D"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bCs/>
          <w:sz w:val="22"/>
          <w:szCs w:val="22"/>
        </w:rPr>
        <w:t xml:space="preserve">4.7.1 </w:t>
      </w:r>
      <w:r w:rsidRPr="00D313D5">
        <w:rPr>
          <w:rFonts w:ascii="Century Gothic" w:hAnsi="Century Gothic"/>
          <w:sz w:val="22"/>
          <w:szCs w:val="22"/>
        </w:rPr>
        <w:t>Implementar un modelo para la promoción de la salud y la prevención de las principales causas de morbilidad y mortalidad.</w:t>
      </w:r>
    </w:p>
    <w:p w14:paraId="53CEA884"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3A23A0BA" w14:textId="77777777" w:rsidR="00D313D5" w:rsidRPr="00D313D5" w:rsidRDefault="00D313D5" w:rsidP="00E50CE9">
      <w:pPr>
        <w:numPr>
          <w:ilvl w:val="0"/>
          <w:numId w:val="60"/>
        </w:numPr>
        <w:spacing w:after="160" w:line="360" w:lineRule="auto"/>
        <w:contextualSpacing/>
        <w:jc w:val="both"/>
        <w:rPr>
          <w:rFonts w:ascii="Century Gothic" w:hAnsi="Century Gothic"/>
          <w:sz w:val="22"/>
          <w:szCs w:val="22"/>
        </w:rPr>
      </w:pPr>
      <w:r w:rsidRPr="00D313D5">
        <w:rPr>
          <w:rFonts w:ascii="Century Gothic" w:hAnsi="Century Gothic"/>
          <w:sz w:val="22"/>
          <w:szCs w:val="22"/>
        </w:rPr>
        <w:t xml:space="preserve">4.7.1.1 Instrumentar acciones de mejoramiento de la vivienda en el municipio </w:t>
      </w:r>
    </w:p>
    <w:p w14:paraId="03D9D212" w14:textId="77777777" w:rsidR="00D313D5" w:rsidRPr="00D313D5" w:rsidRDefault="00D313D5" w:rsidP="00E50CE9">
      <w:pPr>
        <w:widowControl w:val="0"/>
        <w:numPr>
          <w:ilvl w:val="0"/>
          <w:numId w:val="60"/>
        </w:numPr>
        <w:autoSpaceDE w:val="0"/>
        <w:autoSpaceDN w:val="0"/>
        <w:spacing w:after="0" w:line="360" w:lineRule="auto"/>
        <w:contextualSpacing/>
        <w:jc w:val="both"/>
        <w:rPr>
          <w:rFonts w:ascii="Century Gothic" w:hAnsi="Century Gothic"/>
          <w:sz w:val="22"/>
          <w:szCs w:val="22"/>
        </w:rPr>
      </w:pPr>
      <w:r w:rsidRPr="00D313D5">
        <w:rPr>
          <w:rFonts w:ascii="Century Gothic" w:hAnsi="Century Gothic"/>
          <w:sz w:val="22"/>
          <w:szCs w:val="22"/>
        </w:rPr>
        <w:t>4.7.1.2 Implementar el sistema de salud municipal</w:t>
      </w:r>
    </w:p>
    <w:p w14:paraId="565CAF7D" w14:textId="77777777" w:rsidR="00D313D5" w:rsidRPr="00D313D5" w:rsidRDefault="00D313D5" w:rsidP="00E50CE9">
      <w:pPr>
        <w:widowControl w:val="0"/>
        <w:numPr>
          <w:ilvl w:val="0"/>
          <w:numId w:val="60"/>
        </w:numPr>
        <w:autoSpaceDE w:val="0"/>
        <w:autoSpaceDN w:val="0"/>
        <w:spacing w:after="0" w:line="360" w:lineRule="auto"/>
        <w:contextualSpacing/>
        <w:jc w:val="both"/>
        <w:rPr>
          <w:rFonts w:ascii="Century Gothic" w:hAnsi="Century Gothic"/>
          <w:sz w:val="22"/>
          <w:szCs w:val="22"/>
        </w:rPr>
      </w:pPr>
      <w:r w:rsidRPr="00D313D5">
        <w:rPr>
          <w:rFonts w:ascii="Century Gothic" w:hAnsi="Century Gothic"/>
          <w:sz w:val="22"/>
          <w:szCs w:val="22"/>
        </w:rPr>
        <w:t>4.7.1.3 Crear reglamentos de la Dirección de salud, vincularas con áreas afines</w:t>
      </w:r>
    </w:p>
    <w:p w14:paraId="3CC53C08" w14:textId="77777777" w:rsidR="00D313D5" w:rsidRPr="00D313D5" w:rsidRDefault="00D313D5" w:rsidP="00E50CE9">
      <w:pPr>
        <w:widowControl w:val="0"/>
        <w:numPr>
          <w:ilvl w:val="0"/>
          <w:numId w:val="60"/>
        </w:numPr>
        <w:autoSpaceDE w:val="0"/>
        <w:autoSpaceDN w:val="0"/>
        <w:spacing w:after="0" w:line="360" w:lineRule="auto"/>
        <w:contextualSpacing/>
        <w:jc w:val="both"/>
        <w:rPr>
          <w:rFonts w:ascii="Century Gothic" w:hAnsi="Century Gothic"/>
          <w:sz w:val="22"/>
          <w:szCs w:val="22"/>
        </w:rPr>
      </w:pPr>
      <w:r w:rsidRPr="00D313D5">
        <w:rPr>
          <w:rFonts w:ascii="Century Gothic" w:hAnsi="Century Gothic"/>
          <w:sz w:val="22"/>
          <w:szCs w:val="22"/>
        </w:rPr>
        <w:t xml:space="preserve">4.7.1.4 Gestionar la creación de la unida IMMS </w:t>
      </w:r>
      <w:r w:rsidRPr="00D313D5">
        <w:rPr>
          <w:rFonts w:ascii="Century Gothic" w:hAnsi="Century Gothic"/>
          <w:sz w:val="22"/>
          <w:szCs w:val="22"/>
        </w:rPr>
        <w:t>Bienestar en San Dimas</w:t>
      </w:r>
    </w:p>
    <w:p w14:paraId="759CCEC7" w14:textId="77777777" w:rsidR="00D313D5" w:rsidRPr="00D313D5" w:rsidRDefault="00D313D5" w:rsidP="00E50CE9">
      <w:pPr>
        <w:widowControl w:val="0"/>
        <w:numPr>
          <w:ilvl w:val="0"/>
          <w:numId w:val="60"/>
        </w:numPr>
        <w:autoSpaceDE w:val="0"/>
        <w:autoSpaceDN w:val="0"/>
        <w:spacing w:after="0" w:line="360" w:lineRule="auto"/>
        <w:contextualSpacing/>
        <w:jc w:val="both"/>
        <w:rPr>
          <w:rFonts w:ascii="Century Gothic" w:hAnsi="Century Gothic"/>
          <w:sz w:val="22"/>
          <w:szCs w:val="22"/>
        </w:rPr>
      </w:pPr>
      <w:r w:rsidRPr="00D313D5">
        <w:rPr>
          <w:rFonts w:ascii="Century Gothic" w:hAnsi="Century Gothic"/>
          <w:sz w:val="22"/>
          <w:szCs w:val="22"/>
        </w:rPr>
        <w:t>4.7.1.5 Normar el Funcionamiento del Rastro</w:t>
      </w:r>
    </w:p>
    <w:p w14:paraId="20EBBA75" w14:textId="713D9A5A" w:rsidR="00D313D5" w:rsidRPr="00D313D5" w:rsidRDefault="00D313D5" w:rsidP="00E50CE9">
      <w:pPr>
        <w:widowControl w:val="0"/>
        <w:numPr>
          <w:ilvl w:val="0"/>
          <w:numId w:val="60"/>
        </w:numPr>
        <w:autoSpaceDE w:val="0"/>
        <w:autoSpaceDN w:val="0"/>
        <w:spacing w:after="0" w:line="360" w:lineRule="auto"/>
        <w:contextualSpacing/>
        <w:jc w:val="both"/>
        <w:rPr>
          <w:rFonts w:ascii="Century Gothic" w:hAnsi="Century Gothic"/>
          <w:sz w:val="22"/>
          <w:szCs w:val="22"/>
        </w:rPr>
      </w:pPr>
      <w:r w:rsidRPr="00D313D5">
        <w:rPr>
          <w:rFonts w:ascii="Century Gothic" w:hAnsi="Century Gothic"/>
          <w:sz w:val="22"/>
          <w:szCs w:val="22"/>
        </w:rPr>
        <w:t>4.7.1.6 Gestionar la creación de la Unidad de Control y Bienestar Animal</w:t>
      </w:r>
    </w:p>
    <w:p w14:paraId="0E5CE43D" w14:textId="77777777" w:rsidR="00D313D5" w:rsidRPr="00D313D5" w:rsidRDefault="00D313D5" w:rsidP="00D313D5">
      <w:pPr>
        <w:spacing w:line="360" w:lineRule="auto"/>
        <w:jc w:val="both"/>
        <w:rPr>
          <w:rFonts w:ascii="Century Gothic" w:hAnsi="Century Gothic"/>
          <w:b/>
          <w:color w:val="025850"/>
          <w:sz w:val="22"/>
          <w:szCs w:val="22"/>
        </w:rPr>
      </w:pPr>
      <w:r w:rsidRPr="00D313D5">
        <w:rPr>
          <w:rFonts w:ascii="Century Gothic" w:hAnsi="Century Gothic"/>
          <w:b/>
          <w:color w:val="025850"/>
          <w:sz w:val="22"/>
          <w:szCs w:val="22"/>
        </w:rPr>
        <w:t>Objetivo</w:t>
      </w:r>
    </w:p>
    <w:p w14:paraId="1CACA173"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sz w:val="22"/>
          <w:szCs w:val="22"/>
        </w:rPr>
        <w:t xml:space="preserve">4.8 </w:t>
      </w:r>
      <w:r w:rsidRPr="00D313D5">
        <w:rPr>
          <w:rFonts w:ascii="Century Gothic" w:hAnsi="Century Gothic"/>
          <w:sz w:val="22"/>
          <w:szCs w:val="22"/>
        </w:rPr>
        <w:t>Fortalecer el derecho al acceso a la cultura, para convertirlo en un elemento transformador y promotor del bienestar personal y colectivo.</w:t>
      </w:r>
    </w:p>
    <w:p w14:paraId="25BA6F7A"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Estrategia</w:t>
      </w:r>
    </w:p>
    <w:p w14:paraId="7C5365B9" w14:textId="77777777" w:rsidR="00D313D5" w:rsidRPr="00D313D5" w:rsidRDefault="00D313D5" w:rsidP="00D313D5">
      <w:pPr>
        <w:spacing w:line="360" w:lineRule="auto"/>
        <w:jc w:val="both"/>
        <w:rPr>
          <w:rFonts w:ascii="Century Gothic" w:hAnsi="Century Gothic"/>
          <w:sz w:val="22"/>
          <w:szCs w:val="22"/>
        </w:rPr>
      </w:pPr>
      <w:r w:rsidRPr="00D313D5">
        <w:rPr>
          <w:rFonts w:ascii="Century Gothic" w:hAnsi="Century Gothic"/>
          <w:b/>
          <w:bCs/>
          <w:sz w:val="22"/>
          <w:szCs w:val="22"/>
        </w:rPr>
        <w:t xml:space="preserve">4.8.1 </w:t>
      </w:r>
      <w:r w:rsidRPr="00D313D5">
        <w:rPr>
          <w:rFonts w:ascii="Century Gothic" w:hAnsi="Century Gothic"/>
          <w:sz w:val="22"/>
          <w:szCs w:val="22"/>
        </w:rPr>
        <w:t>Estimular el mantenimiento, la promoción, la protección y la recuperación del patrimonio cultural material e inmaterial.</w:t>
      </w:r>
    </w:p>
    <w:p w14:paraId="26725236" w14:textId="77777777" w:rsidR="00D313D5" w:rsidRPr="00D313D5" w:rsidRDefault="00D313D5" w:rsidP="00D313D5">
      <w:pPr>
        <w:spacing w:line="360" w:lineRule="auto"/>
        <w:jc w:val="both"/>
        <w:rPr>
          <w:rFonts w:ascii="Century Gothic" w:hAnsi="Century Gothic"/>
          <w:b/>
          <w:bCs/>
          <w:color w:val="025850"/>
          <w:sz w:val="22"/>
          <w:szCs w:val="22"/>
        </w:rPr>
      </w:pPr>
      <w:r w:rsidRPr="00D313D5">
        <w:rPr>
          <w:rFonts w:ascii="Century Gothic" w:hAnsi="Century Gothic"/>
          <w:b/>
          <w:bCs/>
          <w:color w:val="025850"/>
          <w:sz w:val="22"/>
          <w:szCs w:val="22"/>
        </w:rPr>
        <w:t>Líneas de acción:</w:t>
      </w:r>
    </w:p>
    <w:p w14:paraId="0AC89998"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4.8.1.1 Realizar talleres artísticos y culturales</w:t>
      </w:r>
    </w:p>
    <w:p w14:paraId="4CB903A1"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4.8.1.2 Realizar cursos de verano</w:t>
      </w:r>
    </w:p>
    <w:p w14:paraId="70CD2628"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4.8.1.3 Realizar Festivales</w:t>
      </w:r>
    </w:p>
    <w:p w14:paraId="093DB13D"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4.8.1.4 Programar Semanas culturales</w:t>
      </w:r>
    </w:p>
    <w:p w14:paraId="1EC5296F"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4.8.1.5 Apreciación de Avance de Talleres</w:t>
      </w:r>
    </w:p>
    <w:p w14:paraId="0CD34A9D"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4.8.1.6 Asistir a Reuniones con Casas de Cultura</w:t>
      </w:r>
    </w:p>
    <w:p w14:paraId="20E220DC"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 xml:space="preserve">4.8.1.7 Realizar intercambios culturales </w:t>
      </w:r>
      <w:r w:rsidRPr="00D313D5">
        <w:rPr>
          <w:rFonts w:ascii="Century Gothic" w:hAnsi="Century Gothic"/>
          <w:sz w:val="22"/>
          <w:szCs w:val="22"/>
        </w:rPr>
        <w:lastRenderedPageBreak/>
        <w:t>(municipales, intermunicipales y apoyo a la comunidad)</w:t>
      </w:r>
    </w:p>
    <w:p w14:paraId="1E1357C3"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4.8.1.8 Programar ponencias y conferencias</w:t>
      </w:r>
    </w:p>
    <w:p w14:paraId="671AA463"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4.8.1.9 Realizar exposiciones artísticas y recitales (artes plásticas, música, danza, cine y teatro)</w:t>
      </w:r>
    </w:p>
    <w:p w14:paraId="04214DEC" w14:textId="77777777" w:rsidR="00D313D5" w:rsidRPr="00D313D5" w:rsidRDefault="00D313D5" w:rsidP="00E50CE9">
      <w:pPr>
        <w:widowControl w:val="0"/>
        <w:numPr>
          <w:ilvl w:val="0"/>
          <w:numId w:val="50"/>
        </w:numPr>
        <w:autoSpaceDE w:val="0"/>
        <w:autoSpaceDN w:val="0"/>
        <w:spacing w:after="0" w:line="360" w:lineRule="auto"/>
        <w:jc w:val="both"/>
        <w:rPr>
          <w:rFonts w:ascii="Century Gothic" w:hAnsi="Century Gothic"/>
          <w:sz w:val="22"/>
          <w:szCs w:val="22"/>
        </w:rPr>
      </w:pPr>
      <w:r w:rsidRPr="00D313D5">
        <w:rPr>
          <w:rFonts w:ascii="Century Gothic" w:hAnsi="Century Gothic"/>
          <w:sz w:val="22"/>
          <w:szCs w:val="22"/>
        </w:rPr>
        <w:t>4.8.1.10 Atender a Visitantes en el Museo Municipal (MMTT)</w:t>
      </w:r>
    </w:p>
    <w:p w14:paraId="0CB7160D" w14:textId="77777777" w:rsidR="00D313D5" w:rsidRPr="00023A4E" w:rsidRDefault="00D313D5" w:rsidP="00E50CE9">
      <w:pPr>
        <w:widowControl w:val="0"/>
        <w:numPr>
          <w:ilvl w:val="0"/>
          <w:numId w:val="50"/>
        </w:numPr>
        <w:autoSpaceDE w:val="0"/>
        <w:autoSpaceDN w:val="0"/>
        <w:spacing w:after="0" w:line="360" w:lineRule="auto"/>
        <w:jc w:val="both"/>
        <w:rPr>
          <w:rFonts w:ascii="Century Gothic" w:hAnsi="Century Gothic"/>
          <w:color w:val="8DD873" w:themeColor="accent6" w:themeTint="99"/>
          <w:sz w:val="22"/>
          <w:szCs w:val="22"/>
        </w:rPr>
      </w:pPr>
      <w:r w:rsidRPr="00D313D5">
        <w:rPr>
          <w:rFonts w:ascii="Century Gothic" w:hAnsi="Century Gothic"/>
          <w:sz w:val="22"/>
          <w:szCs w:val="22"/>
        </w:rPr>
        <w:t>4.8.1.11 Realizar actividades que permitan disminuir el rezago educativo en el municipio</w:t>
      </w:r>
    </w:p>
    <w:p w14:paraId="7B58DB3D" w14:textId="34D6FC1A" w:rsidR="00D313D5" w:rsidRPr="00D313D5" w:rsidRDefault="00D313D5" w:rsidP="00D313D5">
      <w:pPr>
        <w:spacing w:after="160" w:line="360" w:lineRule="auto"/>
        <w:jc w:val="both"/>
        <w:rPr>
          <w:rFonts w:ascii="Century Gothic" w:hAnsi="Century Gothic"/>
          <w:bCs/>
          <w:color w:val="025850"/>
          <w:sz w:val="22"/>
          <w:szCs w:val="22"/>
        </w:rPr>
      </w:pPr>
    </w:p>
    <w:p w14:paraId="10018E97" w14:textId="6357660E" w:rsidR="00D313D5" w:rsidRDefault="00D313D5">
      <w:pPr>
        <w:rPr>
          <w:rFonts w:ascii="Century Gothic" w:eastAsia="Times New Roman" w:hAnsi="Century Gothic" w:cs="Times New Roman"/>
          <w:sz w:val="22"/>
          <w:szCs w:val="22"/>
          <w:lang w:eastAsia="es-MX"/>
        </w:rPr>
      </w:pPr>
      <w:r>
        <w:rPr>
          <w:rFonts w:ascii="Century Gothic" w:eastAsia="Times New Roman" w:hAnsi="Century Gothic" w:cs="Times New Roman"/>
          <w:sz w:val="22"/>
          <w:szCs w:val="22"/>
          <w:lang w:eastAsia="es-MX"/>
        </w:rPr>
        <w:br w:type="page"/>
      </w:r>
    </w:p>
    <w:p w14:paraId="2E31880F" w14:textId="77777777" w:rsidR="00D313D5" w:rsidRDefault="00D313D5" w:rsidP="00D313D5">
      <w:pPr>
        <w:spacing w:after="100" w:afterAutospacing="1" w:line="240" w:lineRule="auto"/>
        <w:jc w:val="both"/>
        <w:rPr>
          <w:rFonts w:ascii="Century Gothic" w:eastAsia="Times New Roman" w:hAnsi="Century Gothic" w:cs="Times New Roman"/>
          <w:sz w:val="22"/>
          <w:szCs w:val="22"/>
          <w:lang w:eastAsia="es-MX"/>
        </w:rPr>
        <w:sectPr w:rsidR="00D313D5" w:rsidSect="00D313D5">
          <w:pgSz w:w="15840" w:h="12240" w:orient="landscape"/>
          <w:pgMar w:top="1440" w:right="1440" w:bottom="1440" w:left="1440" w:header="709" w:footer="709" w:gutter="0"/>
          <w:cols w:num="2" w:space="708"/>
          <w:docGrid w:linePitch="360"/>
        </w:sectPr>
      </w:pPr>
    </w:p>
    <w:p w14:paraId="78908857" w14:textId="77777777" w:rsidR="00D313D5" w:rsidRPr="00E50CE9" w:rsidRDefault="00D313D5" w:rsidP="00E50CE9">
      <w:pPr>
        <w:spacing w:after="0" w:line="240" w:lineRule="auto"/>
        <w:rPr>
          <w:rFonts w:ascii="Century Gothic" w:hAnsi="Century Gothic"/>
          <w:b/>
          <w:color w:val="025850"/>
          <w:sz w:val="22"/>
          <w:szCs w:val="22"/>
        </w:rPr>
      </w:pPr>
      <w:r w:rsidRPr="00E50CE9">
        <w:rPr>
          <w:rFonts w:ascii="Century Gothic" w:hAnsi="Century Gothic"/>
          <w:b/>
          <w:color w:val="025850"/>
          <w:sz w:val="22"/>
          <w:szCs w:val="22"/>
        </w:rPr>
        <w:lastRenderedPageBreak/>
        <w:t>Metas terminales e intermedias</w:t>
      </w:r>
    </w:p>
    <w:tbl>
      <w:tblPr>
        <w:tblStyle w:val="Tablaconcuadrcula4-nfasis2"/>
        <w:tblW w:w="5528" w:type="pct"/>
        <w:tblInd w:w="-572" w:type="dxa"/>
        <w:tblLook w:val="04A0" w:firstRow="1" w:lastRow="0" w:firstColumn="1" w:lastColumn="0" w:noHBand="0" w:noVBand="1"/>
      </w:tblPr>
      <w:tblGrid>
        <w:gridCol w:w="7060"/>
        <w:gridCol w:w="1390"/>
        <w:gridCol w:w="1927"/>
        <w:gridCol w:w="1329"/>
        <w:gridCol w:w="1306"/>
        <w:gridCol w:w="1306"/>
      </w:tblGrid>
      <w:tr w:rsidR="00E50CE9" w:rsidRPr="00E50CE9" w14:paraId="3D44C01D" w14:textId="77777777" w:rsidTr="00E50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388DCDDA"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Meta por Actividad</w:t>
            </w:r>
          </w:p>
        </w:tc>
        <w:tc>
          <w:tcPr>
            <w:tcW w:w="485" w:type="pct"/>
          </w:tcPr>
          <w:p w14:paraId="331EEA41" w14:textId="77777777" w:rsidR="00D313D5" w:rsidRPr="00E50CE9" w:rsidRDefault="00D313D5" w:rsidP="00E6209B">
            <w:pP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Unidad de Medida</w:t>
            </w:r>
          </w:p>
        </w:tc>
        <w:tc>
          <w:tcPr>
            <w:tcW w:w="673" w:type="pct"/>
          </w:tcPr>
          <w:p w14:paraId="440D9315" w14:textId="77777777" w:rsidR="00D313D5" w:rsidRPr="00E50CE9" w:rsidRDefault="00D313D5" w:rsidP="00E6209B">
            <w:pP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Total, de Metas Programadas durante la administración</w:t>
            </w:r>
          </w:p>
        </w:tc>
        <w:tc>
          <w:tcPr>
            <w:tcW w:w="464" w:type="pct"/>
          </w:tcPr>
          <w:p w14:paraId="57D073CE" w14:textId="77777777" w:rsidR="00D313D5" w:rsidRPr="00E50CE9" w:rsidRDefault="00D313D5" w:rsidP="00E6209B">
            <w:pP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Programado 2025</w:t>
            </w:r>
          </w:p>
        </w:tc>
        <w:tc>
          <w:tcPr>
            <w:tcW w:w="456" w:type="pct"/>
          </w:tcPr>
          <w:p w14:paraId="72F7843E" w14:textId="77777777" w:rsidR="00D313D5" w:rsidRPr="00E50CE9" w:rsidRDefault="00D313D5" w:rsidP="00E6209B">
            <w:pP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Programado 2026</w:t>
            </w:r>
          </w:p>
        </w:tc>
        <w:tc>
          <w:tcPr>
            <w:tcW w:w="456" w:type="pct"/>
          </w:tcPr>
          <w:p w14:paraId="1C9939A2" w14:textId="77777777" w:rsidR="00D313D5" w:rsidRPr="00E50CE9" w:rsidRDefault="00D313D5" w:rsidP="00E6209B">
            <w:pPr>
              <w:cnfStyle w:val="100000000000" w:firstRow="1"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Programado 2027</w:t>
            </w:r>
          </w:p>
        </w:tc>
      </w:tr>
      <w:tr w:rsidR="00E50CE9" w:rsidRPr="00E50CE9" w14:paraId="5E64CA12"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118ADE39"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Coordinar la entrega de gestiones de los programas sociales</w:t>
            </w:r>
          </w:p>
        </w:tc>
        <w:tc>
          <w:tcPr>
            <w:tcW w:w="485" w:type="pct"/>
          </w:tcPr>
          <w:p w14:paraId="177BE157"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Eventos</w:t>
            </w:r>
          </w:p>
        </w:tc>
        <w:tc>
          <w:tcPr>
            <w:tcW w:w="673" w:type="pct"/>
          </w:tcPr>
          <w:p w14:paraId="068075AA"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64" w:type="pct"/>
          </w:tcPr>
          <w:p w14:paraId="092EB0E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5F4680D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2EC88A0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r>
      <w:tr w:rsidR="00E50CE9" w:rsidRPr="00E50CE9" w14:paraId="4E5089DF"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5BA8FAF7"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Integrar el padrón de beneficiarios de personas de baja y muy baja marginación </w:t>
            </w:r>
          </w:p>
        </w:tc>
        <w:tc>
          <w:tcPr>
            <w:tcW w:w="485" w:type="pct"/>
          </w:tcPr>
          <w:p w14:paraId="7CB0BB2E"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 xml:space="preserve">Documento </w:t>
            </w:r>
          </w:p>
        </w:tc>
        <w:tc>
          <w:tcPr>
            <w:tcW w:w="673" w:type="pct"/>
          </w:tcPr>
          <w:p w14:paraId="2309D1AB"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64" w:type="pct"/>
          </w:tcPr>
          <w:p w14:paraId="4ABD4DA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c>
          <w:tcPr>
            <w:tcW w:w="456" w:type="pct"/>
          </w:tcPr>
          <w:p w14:paraId="5B5828C0"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c>
          <w:tcPr>
            <w:tcW w:w="456" w:type="pct"/>
          </w:tcPr>
          <w:p w14:paraId="602032FA"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r>
      <w:tr w:rsidR="00E50CE9" w:rsidRPr="00E50CE9" w14:paraId="16DF6FC6"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2C5FCD1"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Gestión de programas sociales </w:t>
            </w:r>
          </w:p>
        </w:tc>
        <w:tc>
          <w:tcPr>
            <w:tcW w:w="485" w:type="pct"/>
          </w:tcPr>
          <w:p w14:paraId="0080986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Gestión</w:t>
            </w:r>
          </w:p>
        </w:tc>
        <w:tc>
          <w:tcPr>
            <w:tcW w:w="673" w:type="pct"/>
          </w:tcPr>
          <w:p w14:paraId="6062421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18</w:t>
            </w:r>
          </w:p>
        </w:tc>
        <w:tc>
          <w:tcPr>
            <w:tcW w:w="464" w:type="pct"/>
          </w:tcPr>
          <w:p w14:paraId="348D5093"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56" w:type="pct"/>
          </w:tcPr>
          <w:p w14:paraId="2C58EC4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56" w:type="pct"/>
          </w:tcPr>
          <w:p w14:paraId="6A6DF1BB"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r>
      <w:tr w:rsidR="00E50CE9" w:rsidRPr="00E50CE9" w14:paraId="00483894"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14CFB46E"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Implementar el sistema de salud municipal </w:t>
            </w:r>
          </w:p>
        </w:tc>
        <w:tc>
          <w:tcPr>
            <w:tcW w:w="485" w:type="pct"/>
          </w:tcPr>
          <w:p w14:paraId="7F49ADF5"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Documento</w:t>
            </w:r>
          </w:p>
        </w:tc>
        <w:tc>
          <w:tcPr>
            <w:tcW w:w="673" w:type="pct"/>
          </w:tcPr>
          <w:p w14:paraId="48A39394"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64" w:type="pct"/>
          </w:tcPr>
          <w:p w14:paraId="46616D1B"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22A3849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76218DC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r>
      <w:tr w:rsidR="00E50CE9" w:rsidRPr="00E50CE9" w14:paraId="1B89AC6A"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DAF24DC"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Crear reglamentos de la Dirección de salud, y vincular con áreas afines</w:t>
            </w:r>
          </w:p>
        </w:tc>
        <w:tc>
          <w:tcPr>
            <w:tcW w:w="485" w:type="pct"/>
          </w:tcPr>
          <w:p w14:paraId="7325F45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Reglamentos</w:t>
            </w:r>
          </w:p>
        </w:tc>
        <w:tc>
          <w:tcPr>
            <w:tcW w:w="673" w:type="pct"/>
          </w:tcPr>
          <w:p w14:paraId="121CD0A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64" w:type="pct"/>
          </w:tcPr>
          <w:p w14:paraId="767E79E6"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6D1772D3"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379CF5AD"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r>
      <w:tr w:rsidR="00E50CE9" w:rsidRPr="00E50CE9" w14:paraId="6E98BE93"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0BA82BB0"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Gestionas la Creación de la Unidad Sanitaria Municipal </w:t>
            </w:r>
          </w:p>
        </w:tc>
        <w:tc>
          <w:tcPr>
            <w:tcW w:w="485" w:type="pct"/>
          </w:tcPr>
          <w:p w14:paraId="4DA0B5DC"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Documento</w:t>
            </w:r>
          </w:p>
        </w:tc>
        <w:tc>
          <w:tcPr>
            <w:tcW w:w="673" w:type="pct"/>
          </w:tcPr>
          <w:p w14:paraId="296D983B"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64" w:type="pct"/>
          </w:tcPr>
          <w:p w14:paraId="6C75EB1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02C7F100"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4B75505C"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r>
      <w:tr w:rsidR="00E50CE9" w:rsidRPr="00E50CE9" w14:paraId="4F0AD514"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4D4067C"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Gestionar la creación de la Unidad IMMS Bienestar en San Dimas.</w:t>
            </w:r>
          </w:p>
        </w:tc>
        <w:tc>
          <w:tcPr>
            <w:tcW w:w="485" w:type="pct"/>
          </w:tcPr>
          <w:p w14:paraId="0509B145"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Documento</w:t>
            </w:r>
          </w:p>
        </w:tc>
        <w:tc>
          <w:tcPr>
            <w:tcW w:w="673" w:type="pct"/>
          </w:tcPr>
          <w:p w14:paraId="5FE25F09"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0</w:t>
            </w:r>
          </w:p>
        </w:tc>
        <w:tc>
          <w:tcPr>
            <w:tcW w:w="464" w:type="pct"/>
          </w:tcPr>
          <w:p w14:paraId="0A64B43D"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0</w:t>
            </w:r>
          </w:p>
        </w:tc>
        <w:tc>
          <w:tcPr>
            <w:tcW w:w="456" w:type="pct"/>
          </w:tcPr>
          <w:p w14:paraId="54634513"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0</w:t>
            </w:r>
          </w:p>
        </w:tc>
        <w:tc>
          <w:tcPr>
            <w:tcW w:w="456" w:type="pct"/>
          </w:tcPr>
          <w:p w14:paraId="7F5DDD97"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0</w:t>
            </w:r>
          </w:p>
        </w:tc>
      </w:tr>
      <w:tr w:rsidR="00E50CE9" w:rsidRPr="00E50CE9" w14:paraId="11C15991"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6D9D3768"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Normar el funcionamiento del rastro</w:t>
            </w:r>
          </w:p>
        </w:tc>
        <w:tc>
          <w:tcPr>
            <w:tcW w:w="485" w:type="pct"/>
          </w:tcPr>
          <w:p w14:paraId="43637423"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Reglamentos</w:t>
            </w:r>
          </w:p>
        </w:tc>
        <w:tc>
          <w:tcPr>
            <w:tcW w:w="673" w:type="pct"/>
          </w:tcPr>
          <w:p w14:paraId="596B372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64" w:type="pct"/>
          </w:tcPr>
          <w:p w14:paraId="012FEE93"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26E0263D"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0027CBC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r>
      <w:tr w:rsidR="00E50CE9" w:rsidRPr="00E50CE9" w14:paraId="27386016"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195B75A"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Gestionar la creación de la unidad municipal de control y bienestar animal  </w:t>
            </w:r>
          </w:p>
        </w:tc>
        <w:tc>
          <w:tcPr>
            <w:tcW w:w="485" w:type="pct"/>
          </w:tcPr>
          <w:p w14:paraId="27A7D394"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Censo</w:t>
            </w:r>
          </w:p>
        </w:tc>
        <w:tc>
          <w:tcPr>
            <w:tcW w:w="673" w:type="pct"/>
          </w:tcPr>
          <w:p w14:paraId="6C6C9AE5"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64" w:type="pct"/>
          </w:tcPr>
          <w:p w14:paraId="1D7F43F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36604A68"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2713372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r>
      <w:tr w:rsidR="00E50CE9" w:rsidRPr="00E50CE9" w14:paraId="573D62C9"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38CB024F"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Aplicar el Programa Municipal de Prevención del Consumo de Sustancias Psicoactivas en Instituciones Escolares, con apoyo de la Titular de Cedula de Genero y Atención a la Violencia y el área de AIA y AIMA del Sistema Municipal DIF.</w:t>
            </w:r>
          </w:p>
        </w:tc>
        <w:tc>
          <w:tcPr>
            <w:tcW w:w="485" w:type="pct"/>
          </w:tcPr>
          <w:p w14:paraId="5F247421"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Escuela</w:t>
            </w:r>
          </w:p>
        </w:tc>
        <w:tc>
          <w:tcPr>
            <w:tcW w:w="673" w:type="pct"/>
          </w:tcPr>
          <w:p w14:paraId="1487F141"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45</w:t>
            </w:r>
          </w:p>
        </w:tc>
        <w:tc>
          <w:tcPr>
            <w:tcW w:w="464" w:type="pct"/>
          </w:tcPr>
          <w:p w14:paraId="3E3F073B"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15</w:t>
            </w:r>
          </w:p>
        </w:tc>
        <w:tc>
          <w:tcPr>
            <w:tcW w:w="456" w:type="pct"/>
          </w:tcPr>
          <w:p w14:paraId="13053A41"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15</w:t>
            </w:r>
          </w:p>
        </w:tc>
        <w:tc>
          <w:tcPr>
            <w:tcW w:w="456" w:type="pct"/>
          </w:tcPr>
          <w:p w14:paraId="4A987E9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15</w:t>
            </w:r>
          </w:p>
        </w:tc>
      </w:tr>
      <w:tr w:rsidR="00E50CE9" w:rsidRPr="00E50CE9" w14:paraId="095695F4"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903A37E"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Implementar en la Biblioteca Digital cursos de computación básica para niños y Adultos, y apoyo de tareas.</w:t>
            </w:r>
          </w:p>
        </w:tc>
        <w:tc>
          <w:tcPr>
            <w:tcW w:w="485" w:type="pct"/>
          </w:tcPr>
          <w:p w14:paraId="4BA3F6E2"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Cursos</w:t>
            </w:r>
          </w:p>
        </w:tc>
        <w:tc>
          <w:tcPr>
            <w:tcW w:w="673" w:type="pct"/>
          </w:tcPr>
          <w:p w14:paraId="6C431B55"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15</w:t>
            </w:r>
          </w:p>
        </w:tc>
        <w:tc>
          <w:tcPr>
            <w:tcW w:w="464" w:type="pct"/>
          </w:tcPr>
          <w:p w14:paraId="657C86E9"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5</w:t>
            </w:r>
          </w:p>
        </w:tc>
        <w:tc>
          <w:tcPr>
            <w:tcW w:w="456" w:type="pct"/>
          </w:tcPr>
          <w:p w14:paraId="75507C5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5</w:t>
            </w:r>
          </w:p>
        </w:tc>
        <w:tc>
          <w:tcPr>
            <w:tcW w:w="456" w:type="pct"/>
          </w:tcPr>
          <w:p w14:paraId="2BC03FA6"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5</w:t>
            </w:r>
          </w:p>
        </w:tc>
      </w:tr>
      <w:tr w:rsidR="00E50CE9" w:rsidRPr="00E50CE9" w14:paraId="3228A3D3"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59C37287"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Fomentar el taller de lectura en la Biblioteca Digital Municipal.</w:t>
            </w:r>
          </w:p>
        </w:tc>
        <w:tc>
          <w:tcPr>
            <w:tcW w:w="485" w:type="pct"/>
          </w:tcPr>
          <w:p w14:paraId="3A0D8A6C"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Actividad</w:t>
            </w:r>
          </w:p>
        </w:tc>
        <w:tc>
          <w:tcPr>
            <w:tcW w:w="673" w:type="pct"/>
          </w:tcPr>
          <w:p w14:paraId="348421DC"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24</w:t>
            </w:r>
          </w:p>
        </w:tc>
        <w:tc>
          <w:tcPr>
            <w:tcW w:w="464" w:type="pct"/>
          </w:tcPr>
          <w:p w14:paraId="4C13B97B"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8</w:t>
            </w:r>
          </w:p>
        </w:tc>
        <w:tc>
          <w:tcPr>
            <w:tcW w:w="456" w:type="pct"/>
          </w:tcPr>
          <w:p w14:paraId="2BBF853E"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8</w:t>
            </w:r>
          </w:p>
        </w:tc>
        <w:tc>
          <w:tcPr>
            <w:tcW w:w="456" w:type="pct"/>
          </w:tcPr>
          <w:p w14:paraId="6D676207"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8</w:t>
            </w:r>
          </w:p>
        </w:tc>
      </w:tr>
      <w:tr w:rsidR="00E50CE9" w:rsidRPr="00E50CE9" w14:paraId="09D7743A"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C21A41A"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Promocionar ofertas educativas de la Universidad Digital y Educación para Adultos INEA, en redes sociales y volanteo en campo.</w:t>
            </w:r>
          </w:p>
        </w:tc>
        <w:tc>
          <w:tcPr>
            <w:tcW w:w="485" w:type="pct"/>
          </w:tcPr>
          <w:p w14:paraId="11A15A1B"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Promoción</w:t>
            </w:r>
          </w:p>
        </w:tc>
        <w:tc>
          <w:tcPr>
            <w:tcW w:w="673" w:type="pct"/>
          </w:tcPr>
          <w:p w14:paraId="760A7D6B"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15</w:t>
            </w:r>
          </w:p>
        </w:tc>
        <w:tc>
          <w:tcPr>
            <w:tcW w:w="464" w:type="pct"/>
          </w:tcPr>
          <w:p w14:paraId="0B7A7A3E"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5</w:t>
            </w:r>
          </w:p>
        </w:tc>
        <w:tc>
          <w:tcPr>
            <w:tcW w:w="456" w:type="pct"/>
          </w:tcPr>
          <w:p w14:paraId="74B0667A"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5</w:t>
            </w:r>
          </w:p>
        </w:tc>
        <w:tc>
          <w:tcPr>
            <w:tcW w:w="456" w:type="pct"/>
          </w:tcPr>
          <w:p w14:paraId="2E583AE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5</w:t>
            </w:r>
          </w:p>
        </w:tc>
      </w:tr>
      <w:tr w:rsidR="00E50CE9" w:rsidRPr="00E50CE9" w14:paraId="63685D25"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2992882C"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Realizar pláticas de orientación vocacional a alumnos de educación media superior.</w:t>
            </w:r>
          </w:p>
        </w:tc>
        <w:tc>
          <w:tcPr>
            <w:tcW w:w="485" w:type="pct"/>
          </w:tcPr>
          <w:p w14:paraId="757ED52D"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Pláticas</w:t>
            </w:r>
          </w:p>
        </w:tc>
        <w:tc>
          <w:tcPr>
            <w:tcW w:w="673" w:type="pct"/>
          </w:tcPr>
          <w:p w14:paraId="1DC50D5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9</w:t>
            </w:r>
          </w:p>
        </w:tc>
        <w:tc>
          <w:tcPr>
            <w:tcW w:w="464" w:type="pct"/>
          </w:tcPr>
          <w:p w14:paraId="2B9DB55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56" w:type="pct"/>
          </w:tcPr>
          <w:p w14:paraId="5C41E826"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56" w:type="pct"/>
          </w:tcPr>
          <w:p w14:paraId="6773E014"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r>
      <w:tr w:rsidR="00E50CE9" w:rsidRPr="00E50CE9" w14:paraId="141019A3"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35CA3447"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Brindar apoyo de pláticas psicológicas para evitar la deserción con apoyo de la psicología del Sistema Municipal DIF.</w:t>
            </w:r>
          </w:p>
        </w:tc>
        <w:tc>
          <w:tcPr>
            <w:tcW w:w="485" w:type="pct"/>
          </w:tcPr>
          <w:p w14:paraId="2944477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Pláticas</w:t>
            </w:r>
          </w:p>
        </w:tc>
        <w:tc>
          <w:tcPr>
            <w:tcW w:w="673" w:type="pct"/>
          </w:tcPr>
          <w:p w14:paraId="3B7722A9"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64" w:type="pct"/>
          </w:tcPr>
          <w:p w14:paraId="6479733A"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22465D0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006A962E"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r>
      <w:tr w:rsidR="00E50CE9" w:rsidRPr="00E50CE9" w14:paraId="15D3D586"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48B43B29"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Apoyar a la población municipal para el registro en las plataformas educativas digitales. (preinscripciones)</w:t>
            </w:r>
          </w:p>
        </w:tc>
        <w:tc>
          <w:tcPr>
            <w:tcW w:w="485" w:type="pct"/>
          </w:tcPr>
          <w:p w14:paraId="454E7B09"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Lista</w:t>
            </w:r>
          </w:p>
        </w:tc>
        <w:tc>
          <w:tcPr>
            <w:tcW w:w="673" w:type="pct"/>
          </w:tcPr>
          <w:p w14:paraId="6ED2D00C"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64" w:type="pct"/>
          </w:tcPr>
          <w:p w14:paraId="28845D03"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c>
          <w:tcPr>
            <w:tcW w:w="456" w:type="pct"/>
          </w:tcPr>
          <w:p w14:paraId="78F1114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c>
          <w:tcPr>
            <w:tcW w:w="456" w:type="pct"/>
          </w:tcPr>
          <w:p w14:paraId="5330E526"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r>
      <w:tr w:rsidR="00E50CE9" w:rsidRPr="00E50CE9" w14:paraId="19FAABC9"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7AB32CAC"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Realizar talleres </w:t>
            </w:r>
          </w:p>
        </w:tc>
        <w:tc>
          <w:tcPr>
            <w:tcW w:w="485" w:type="pct"/>
          </w:tcPr>
          <w:p w14:paraId="46C5CF2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Talleres</w:t>
            </w:r>
          </w:p>
        </w:tc>
        <w:tc>
          <w:tcPr>
            <w:tcW w:w="673" w:type="pct"/>
          </w:tcPr>
          <w:p w14:paraId="2DA7D638"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39</w:t>
            </w:r>
          </w:p>
        </w:tc>
        <w:tc>
          <w:tcPr>
            <w:tcW w:w="464" w:type="pct"/>
          </w:tcPr>
          <w:p w14:paraId="1AD1E2C9"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13</w:t>
            </w:r>
          </w:p>
        </w:tc>
        <w:tc>
          <w:tcPr>
            <w:tcW w:w="456" w:type="pct"/>
          </w:tcPr>
          <w:p w14:paraId="00F5F497"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13</w:t>
            </w:r>
          </w:p>
        </w:tc>
        <w:tc>
          <w:tcPr>
            <w:tcW w:w="456" w:type="pct"/>
          </w:tcPr>
          <w:p w14:paraId="76B507D7"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13</w:t>
            </w:r>
          </w:p>
        </w:tc>
      </w:tr>
      <w:tr w:rsidR="00E50CE9" w:rsidRPr="00E50CE9" w14:paraId="209DD1FA"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409CF398"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Realizar cursos de verano</w:t>
            </w:r>
          </w:p>
        </w:tc>
        <w:tc>
          <w:tcPr>
            <w:tcW w:w="485" w:type="pct"/>
          </w:tcPr>
          <w:p w14:paraId="6039E330"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Cursos</w:t>
            </w:r>
          </w:p>
        </w:tc>
        <w:tc>
          <w:tcPr>
            <w:tcW w:w="673" w:type="pct"/>
          </w:tcPr>
          <w:p w14:paraId="27CD8187"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64" w:type="pct"/>
          </w:tcPr>
          <w:p w14:paraId="11EEF0C3"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16971EB7"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c>
          <w:tcPr>
            <w:tcW w:w="456" w:type="pct"/>
          </w:tcPr>
          <w:p w14:paraId="3E821CF6"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w:t>
            </w:r>
          </w:p>
        </w:tc>
      </w:tr>
      <w:tr w:rsidR="00E50CE9" w:rsidRPr="00E50CE9" w14:paraId="6E046FD8"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618D17AB"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Realizar eventos alusivos</w:t>
            </w:r>
          </w:p>
        </w:tc>
        <w:tc>
          <w:tcPr>
            <w:tcW w:w="485" w:type="pct"/>
          </w:tcPr>
          <w:p w14:paraId="7CD1EFA2"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Eventos</w:t>
            </w:r>
          </w:p>
        </w:tc>
        <w:tc>
          <w:tcPr>
            <w:tcW w:w="673" w:type="pct"/>
          </w:tcPr>
          <w:p w14:paraId="1CE30500"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27</w:t>
            </w:r>
          </w:p>
        </w:tc>
        <w:tc>
          <w:tcPr>
            <w:tcW w:w="464" w:type="pct"/>
          </w:tcPr>
          <w:p w14:paraId="4C43A13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9</w:t>
            </w:r>
          </w:p>
        </w:tc>
        <w:tc>
          <w:tcPr>
            <w:tcW w:w="456" w:type="pct"/>
          </w:tcPr>
          <w:p w14:paraId="598DDC54"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9</w:t>
            </w:r>
          </w:p>
        </w:tc>
        <w:tc>
          <w:tcPr>
            <w:tcW w:w="456" w:type="pct"/>
          </w:tcPr>
          <w:p w14:paraId="324A78AE"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9</w:t>
            </w:r>
          </w:p>
        </w:tc>
      </w:tr>
      <w:tr w:rsidR="00E50CE9" w:rsidRPr="00E50CE9" w14:paraId="2EF03424"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3B4399FF"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Gestionar actividad pinta caritas alusivos a los días del niño y muertos</w:t>
            </w:r>
          </w:p>
        </w:tc>
        <w:tc>
          <w:tcPr>
            <w:tcW w:w="485" w:type="pct"/>
          </w:tcPr>
          <w:p w14:paraId="2B778E1A"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Personas</w:t>
            </w:r>
          </w:p>
        </w:tc>
        <w:tc>
          <w:tcPr>
            <w:tcW w:w="673" w:type="pct"/>
          </w:tcPr>
          <w:p w14:paraId="2493335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750</w:t>
            </w:r>
          </w:p>
        </w:tc>
        <w:tc>
          <w:tcPr>
            <w:tcW w:w="464" w:type="pct"/>
          </w:tcPr>
          <w:p w14:paraId="3E257DC7"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250</w:t>
            </w:r>
          </w:p>
        </w:tc>
        <w:tc>
          <w:tcPr>
            <w:tcW w:w="456" w:type="pct"/>
          </w:tcPr>
          <w:p w14:paraId="3F5707B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250</w:t>
            </w:r>
          </w:p>
        </w:tc>
        <w:tc>
          <w:tcPr>
            <w:tcW w:w="456" w:type="pct"/>
          </w:tcPr>
          <w:p w14:paraId="08D0022D"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250</w:t>
            </w:r>
          </w:p>
        </w:tc>
      </w:tr>
      <w:tr w:rsidR="00E50CE9" w:rsidRPr="00E50CE9" w14:paraId="1175DD2F"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00D20F8"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Organizar Concursos </w:t>
            </w:r>
          </w:p>
        </w:tc>
        <w:tc>
          <w:tcPr>
            <w:tcW w:w="485" w:type="pct"/>
          </w:tcPr>
          <w:p w14:paraId="22B6A668"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Concursos</w:t>
            </w:r>
          </w:p>
        </w:tc>
        <w:tc>
          <w:tcPr>
            <w:tcW w:w="673" w:type="pct"/>
          </w:tcPr>
          <w:p w14:paraId="541AB53A"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9</w:t>
            </w:r>
          </w:p>
        </w:tc>
        <w:tc>
          <w:tcPr>
            <w:tcW w:w="464" w:type="pct"/>
          </w:tcPr>
          <w:p w14:paraId="1FA75CE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56" w:type="pct"/>
          </w:tcPr>
          <w:p w14:paraId="72A47DF5"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c>
          <w:tcPr>
            <w:tcW w:w="456" w:type="pct"/>
          </w:tcPr>
          <w:p w14:paraId="2B8110FF"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w:t>
            </w:r>
          </w:p>
        </w:tc>
      </w:tr>
      <w:tr w:rsidR="00E50CE9" w:rsidRPr="00E50CE9" w14:paraId="01631643"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71B2FFAE"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Realizar Jornadas de Aniversario (Identidad, Homenajes, Costumbre y Tradiciones)</w:t>
            </w:r>
          </w:p>
        </w:tc>
        <w:tc>
          <w:tcPr>
            <w:tcW w:w="485" w:type="pct"/>
          </w:tcPr>
          <w:p w14:paraId="7B07AB7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Jornada</w:t>
            </w:r>
          </w:p>
        </w:tc>
        <w:tc>
          <w:tcPr>
            <w:tcW w:w="673" w:type="pct"/>
          </w:tcPr>
          <w:p w14:paraId="704A252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64" w:type="pct"/>
          </w:tcPr>
          <w:p w14:paraId="677F840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c>
          <w:tcPr>
            <w:tcW w:w="456" w:type="pct"/>
          </w:tcPr>
          <w:p w14:paraId="21F827E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c>
          <w:tcPr>
            <w:tcW w:w="456" w:type="pct"/>
          </w:tcPr>
          <w:p w14:paraId="481FA754"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2</w:t>
            </w:r>
          </w:p>
        </w:tc>
      </w:tr>
      <w:tr w:rsidR="00E50CE9" w:rsidRPr="00E50CE9" w14:paraId="5645B0C3"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5159CC86"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Realización de actividades recreativas</w:t>
            </w:r>
          </w:p>
        </w:tc>
        <w:tc>
          <w:tcPr>
            <w:tcW w:w="485" w:type="pct"/>
          </w:tcPr>
          <w:p w14:paraId="7D0815C1"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Eventos</w:t>
            </w:r>
          </w:p>
        </w:tc>
        <w:tc>
          <w:tcPr>
            <w:tcW w:w="673" w:type="pct"/>
          </w:tcPr>
          <w:p w14:paraId="3A379A0E"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64" w:type="pct"/>
          </w:tcPr>
          <w:p w14:paraId="021DD831"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4DFB7FC1"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c>
          <w:tcPr>
            <w:tcW w:w="456" w:type="pct"/>
          </w:tcPr>
          <w:p w14:paraId="4460F28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4</w:t>
            </w:r>
          </w:p>
        </w:tc>
      </w:tr>
      <w:tr w:rsidR="00E50CE9" w:rsidRPr="00E50CE9" w14:paraId="6E9E6B64"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4A9B02C1"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Coordinar festivales</w:t>
            </w:r>
          </w:p>
        </w:tc>
        <w:tc>
          <w:tcPr>
            <w:tcW w:w="485" w:type="pct"/>
          </w:tcPr>
          <w:p w14:paraId="37C57EC1"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Festival</w:t>
            </w:r>
          </w:p>
        </w:tc>
        <w:tc>
          <w:tcPr>
            <w:tcW w:w="673" w:type="pct"/>
          </w:tcPr>
          <w:p w14:paraId="2E9C8762"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18</w:t>
            </w:r>
          </w:p>
        </w:tc>
        <w:tc>
          <w:tcPr>
            <w:tcW w:w="464" w:type="pct"/>
          </w:tcPr>
          <w:p w14:paraId="46028934"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56" w:type="pct"/>
          </w:tcPr>
          <w:p w14:paraId="6A56581F"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c>
          <w:tcPr>
            <w:tcW w:w="456" w:type="pct"/>
          </w:tcPr>
          <w:p w14:paraId="0D7F7B00"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w:t>
            </w:r>
          </w:p>
        </w:tc>
      </w:tr>
      <w:tr w:rsidR="00E50CE9" w:rsidRPr="00E50CE9" w14:paraId="41018C2B"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4E8AC49A"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Programar ponencias y conferencias</w:t>
            </w:r>
          </w:p>
        </w:tc>
        <w:tc>
          <w:tcPr>
            <w:tcW w:w="485" w:type="pct"/>
          </w:tcPr>
          <w:p w14:paraId="3CA529BA"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Conferencias</w:t>
            </w:r>
          </w:p>
        </w:tc>
        <w:tc>
          <w:tcPr>
            <w:tcW w:w="673" w:type="pct"/>
          </w:tcPr>
          <w:p w14:paraId="273E9FFC"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39</w:t>
            </w:r>
          </w:p>
        </w:tc>
        <w:tc>
          <w:tcPr>
            <w:tcW w:w="464" w:type="pct"/>
          </w:tcPr>
          <w:p w14:paraId="288C511A"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13</w:t>
            </w:r>
          </w:p>
        </w:tc>
        <w:tc>
          <w:tcPr>
            <w:tcW w:w="456" w:type="pct"/>
          </w:tcPr>
          <w:p w14:paraId="2A102205"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13</w:t>
            </w:r>
          </w:p>
        </w:tc>
        <w:tc>
          <w:tcPr>
            <w:tcW w:w="456" w:type="pct"/>
          </w:tcPr>
          <w:p w14:paraId="47F5EFE9"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13</w:t>
            </w:r>
          </w:p>
        </w:tc>
      </w:tr>
      <w:tr w:rsidR="00E50CE9" w:rsidRPr="00E50CE9" w14:paraId="111FDE22" w14:textId="77777777" w:rsidTr="00E50CE9">
        <w:tc>
          <w:tcPr>
            <w:cnfStyle w:val="001000000000" w:firstRow="0" w:lastRow="0" w:firstColumn="1" w:lastColumn="0" w:oddVBand="0" w:evenVBand="0" w:oddHBand="0" w:evenHBand="0" w:firstRowFirstColumn="0" w:firstRowLastColumn="0" w:lastRowFirstColumn="0" w:lastRowLastColumn="0"/>
            <w:tcW w:w="2465" w:type="pct"/>
          </w:tcPr>
          <w:p w14:paraId="736B353E" w14:textId="134CB8BD" w:rsidR="00D313D5" w:rsidRPr="00E50CE9" w:rsidRDefault="00D313D5" w:rsidP="00E6209B">
            <w:pPr>
              <w:rPr>
                <w:rFonts w:ascii="Century Gothic" w:hAnsi="Century Gothic"/>
                <w:sz w:val="16"/>
                <w:szCs w:val="16"/>
              </w:rPr>
            </w:pPr>
            <w:r w:rsidRPr="00E50CE9">
              <w:rPr>
                <w:rFonts w:ascii="Century Gothic" w:hAnsi="Century Gothic"/>
                <w:sz w:val="16"/>
                <w:szCs w:val="16"/>
              </w:rPr>
              <w:t xml:space="preserve">Realizar exposiciones de obras plásticas (Escultura, </w:t>
            </w:r>
            <w:r w:rsidR="00E50CE9" w:rsidRPr="00E50CE9">
              <w:rPr>
                <w:rFonts w:ascii="Century Gothic" w:hAnsi="Century Gothic"/>
                <w:sz w:val="16"/>
                <w:szCs w:val="16"/>
              </w:rPr>
              <w:t>Orfebrería, Dibujo, Grabado</w:t>
            </w:r>
            <w:r w:rsidRPr="00E50CE9">
              <w:rPr>
                <w:rFonts w:ascii="Century Gothic" w:hAnsi="Century Gothic"/>
                <w:sz w:val="16"/>
                <w:szCs w:val="16"/>
              </w:rPr>
              <w:t>,</w:t>
            </w:r>
            <w:r w:rsidR="00E50CE9" w:rsidRPr="00E50CE9">
              <w:rPr>
                <w:rFonts w:ascii="Century Gothic" w:hAnsi="Century Gothic"/>
                <w:sz w:val="16"/>
                <w:szCs w:val="16"/>
              </w:rPr>
              <w:t xml:space="preserve"> </w:t>
            </w:r>
            <w:r w:rsidRPr="00E50CE9">
              <w:rPr>
                <w:rFonts w:ascii="Century Gothic" w:hAnsi="Century Gothic"/>
                <w:sz w:val="16"/>
                <w:szCs w:val="16"/>
              </w:rPr>
              <w:t>Cerámica,</w:t>
            </w:r>
            <w:r w:rsidR="00E50CE9" w:rsidRPr="00E50CE9">
              <w:rPr>
                <w:rFonts w:ascii="Century Gothic" w:hAnsi="Century Gothic"/>
                <w:sz w:val="16"/>
                <w:szCs w:val="16"/>
              </w:rPr>
              <w:t xml:space="preserve"> </w:t>
            </w:r>
            <w:r w:rsidRPr="00E50CE9">
              <w:rPr>
                <w:rFonts w:ascii="Century Gothic" w:hAnsi="Century Gothic"/>
                <w:sz w:val="16"/>
                <w:szCs w:val="16"/>
              </w:rPr>
              <w:t>Artesanía.)</w:t>
            </w:r>
          </w:p>
        </w:tc>
        <w:tc>
          <w:tcPr>
            <w:tcW w:w="485" w:type="pct"/>
          </w:tcPr>
          <w:p w14:paraId="72E693BE"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Exposiciones</w:t>
            </w:r>
          </w:p>
        </w:tc>
        <w:tc>
          <w:tcPr>
            <w:tcW w:w="673" w:type="pct"/>
          </w:tcPr>
          <w:p w14:paraId="12BEC28F"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36</w:t>
            </w:r>
          </w:p>
        </w:tc>
        <w:tc>
          <w:tcPr>
            <w:tcW w:w="464" w:type="pct"/>
          </w:tcPr>
          <w:p w14:paraId="3B3A9608"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56" w:type="pct"/>
          </w:tcPr>
          <w:p w14:paraId="519A7F95"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c>
          <w:tcPr>
            <w:tcW w:w="456" w:type="pct"/>
          </w:tcPr>
          <w:p w14:paraId="2F1D4654" w14:textId="77777777" w:rsidR="00D313D5" w:rsidRPr="00E50CE9" w:rsidRDefault="00D313D5" w:rsidP="00E6209B">
            <w:pPr>
              <w:cnfStyle w:val="000000000000" w:firstRow="0" w:lastRow="0" w:firstColumn="0" w:lastColumn="0" w:oddVBand="0" w:evenVBand="0" w:oddHBand="0"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12</w:t>
            </w:r>
          </w:p>
        </w:tc>
      </w:tr>
      <w:tr w:rsidR="00E50CE9" w:rsidRPr="00E50CE9" w14:paraId="767C791A" w14:textId="77777777" w:rsidTr="00E50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5" w:type="pct"/>
          </w:tcPr>
          <w:p w14:paraId="0E997B1F" w14:textId="77777777" w:rsidR="00D313D5" w:rsidRPr="00E50CE9" w:rsidRDefault="00D313D5" w:rsidP="00E6209B">
            <w:pPr>
              <w:rPr>
                <w:rFonts w:ascii="Century Gothic" w:hAnsi="Century Gothic"/>
                <w:sz w:val="16"/>
                <w:szCs w:val="16"/>
              </w:rPr>
            </w:pPr>
            <w:r w:rsidRPr="00E50CE9">
              <w:rPr>
                <w:rFonts w:ascii="Century Gothic" w:hAnsi="Century Gothic"/>
                <w:sz w:val="16"/>
                <w:szCs w:val="16"/>
              </w:rPr>
              <w:t>Atender a Visitantes en el Museo Municipal (MMTT)</w:t>
            </w:r>
          </w:p>
        </w:tc>
        <w:tc>
          <w:tcPr>
            <w:tcW w:w="485" w:type="pct"/>
          </w:tcPr>
          <w:p w14:paraId="311513A7"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Bitácora</w:t>
            </w:r>
          </w:p>
        </w:tc>
        <w:tc>
          <w:tcPr>
            <w:tcW w:w="673" w:type="pct"/>
          </w:tcPr>
          <w:p w14:paraId="109FBAC6"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1950</w:t>
            </w:r>
          </w:p>
        </w:tc>
        <w:tc>
          <w:tcPr>
            <w:tcW w:w="464" w:type="pct"/>
          </w:tcPr>
          <w:p w14:paraId="5ACCEDE2"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650</w:t>
            </w:r>
          </w:p>
        </w:tc>
        <w:tc>
          <w:tcPr>
            <w:tcW w:w="456" w:type="pct"/>
          </w:tcPr>
          <w:p w14:paraId="02CEDA89"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650</w:t>
            </w:r>
          </w:p>
        </w:tc>
        <w:tc>
          <w:tcPr>
            <w:tcW w:w="456" w:type="pct"/>
          </w:tcPr>
          <w:p w14:paraId="54A26EAB" w14:textId="77777777" w:rsidR="00D313D5" w:rsidRPr="00E50CE9" w:rsidRDefault="00D313D5" w:rsidP="00E6209B">
            <w:pPr>
              <w:cnfStyle w:val="000000100000" w:firstRow="0" w:lastRow="0" w:firstColumn="0" w:lastColumn="0" w:oddVBand="0" w:evenVBand="0" w:oddHBand="1" w:evenHBand="0" w:firstRowFirstColumn="0" w:firstRowLastColumn="0" w:lastRowFirstColumn="0" w:lastRowLastColumn="0"/>
              <w:rPr>
                <w:rFonts w:ascii="Century Gothic" w:hAnsi="Century Gothic"/>
                <w:sz w:val="16"/>
                <w:szCs w:val="16"/>
              </w:rPr>
            </w:pPr>
            <w:r w:rsidRPr="00E50CE9">
              <w:rPr>
                <w:rFonts w:ascii="Century Gothic" w:hAnsi="Century Gothic"/>
                <w:sz w:val="16"/>
                <w:szCs w:val="16"/>
              </w:rPr>
              <w:t>650</w:t>
            </w:r>
          </w:p>
        </w:tc>
      </w:tr>
    </w:tbl>
    <w:p w14:paraId="2DAD4FC8" w14:textId="3D2F71FA" w:rsidR="00E50CE9" w:rsidRDefault="00E50CE9" w:rsidP="00E30B91">
      <w:pPr>
        <w:spacing w:after="160" w:line="360" w:lineRule="auto"/>
        <w:rPr>
          <w:rFonts w:ascii="Century Gothic" w:hAnsi="Century Gothic"/>
          <w:bCs/>
          <w:color w:val="000000" w:themeColor="text1"/>
          <w:sz w:val="22"/>
          <w:szCs w:val="22"/>
        </w:rPr>
      </w:pPr>
    </w:p>
    <w:p w14:paraId="60345783" w14:textId="77777777" w:rsidR="00E50CE9" w:rsidRDefault="00E50CE9">
      <w:pPr>
        <w:rPr>
          <w:rFonts w:ascii="Century Gothic" w:hAnsi="Century Gothic"/>
          <w:bCs/>
          <w:color w:val="000000" w:themeColor="text1"/>
          <w:sz w:val="22"/>
          <w:szCs w:val="22"/>
        </w:rPr>
      </w:pPr>
      <w:r>
        <w:rPr>
          <w:rFonts w:ascii="Century Gothic" w:hAnsi="Century Gothic"/>
          <w:bCs/>
          <w:color w:val="000000" w:themeColor="text1"/>
          <w:sz w:val="22"/>
          <w:szCs w:val="22"/>
        </w:rPr>
        <w:br w:type="page"/>
      </w:r>
    </w:p>
    <w:p w14:paraId="63A0F087" w14:textId="63EA9DA6" w:rsidR="00E50CE9" w:rsidRDefault="00E50CE9" w:rsidP="00E50CE9">
      <w:pPr>
        <w:spacing w:after="0" w:line="240" w:lineRule="auto"/>
        <w:rPr>
          <w:rFonts w:ascii="Century Gothic" w:hAnsi="Century Gothic"/>
          <w:b/>
          <w:color w:val="025850"/>
          <w:sz w:val="22"/>
          <w:szCs w:val="22"/>
        </w:rPr>
      </w:pPr>
      <w:r w:rsidRPr="00E50CE9">
        <w:rPr>
          <w:rFonts w:ascii="Century Gothic" w:hAnsi="Century Gothic"/>
          <w:b/>
          <w:color w:val="025850"/>
          <w:sz w:val="22"/>
          <w:szCs w:val="22"/>
        </w:rPr>
        <w:lastRenderedPageBreak/>
        <w:t>Acciones Insignias Municipales</w:t>
      </w:r>
    </w:p>
    <w:tbl>
      <w:tblPr>
        <w:tblStyle w:val="Tablaconcuadrcula4-nfasis2"/>
        <w:tblW w:w="5164" w:type="pct"/>
        <w:tblLook w:val="04A0" w:firstRow="1" w:lastRow="0" w:firstColumn="1" w:lastColumn="0" w:noHBand="0" w:noVBand="1"/>
      </w:tblPr>
      <w:tblGrid>
        <w:gridCol w:w="2140"/>
        <w:gridCol w:w="198"/>
        <w:gridCol w:w="877"/>
        <w:gridCol w:w="3007"/>
        <w:gridCol w:w="4293"/>
        <w:gridCol w:w="2860"/>
      </w:tblGrid>
      <w:tr w:rsidR="00E50CE9" w:rsidRPr="00E50CE9" w14:paraId="55E64453" w14:textId="77777777" w:rsidTr="00B42001">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202" w:type="pct"/>
            <w:gridSpan w:val="3"/>
          </w:tcPr>
          <w:p w14:paraId="6C577A06" w14:textId="77777777" w:rsidR="00E50CE9" w:rsidRPr="00E50CE9" w:rsidRDefault="00E50CE9" w:rsidP="00E50CE9">
            <w:pPr>
              <w:jc w:val="both"/>
              <w:rPr>
                <w:rFonts w:ascii="Century Gothic" w:hAnsi="Century Gothic"/>
                <w:bCs w:val="0"/>
                <w:color w:val="auto"/>
                <w:sz w:val="18"/>
                <w:szCs w:val="18"/>
              </w:rPr>
            </w:pPr>
            <w:r w:rsidRPr="00E50CE9">
              <w:rPr>
                <w:rFonts w:ascii="Century Gothic" w:hAnsi="Century Gothic"/>
                <w:noProof/>
                <w:sz w:val="18"/>
                <w:szCs w:val="18"/>
              </w:rPr>
              <w:drawing>
                <wp:inline distT="0" distB="0" distL="0" distR="0" wp14:anchorId="4BD405E0" wp14:editId="6CD60EE6">
                  <wp:extent cx="663192" cy="630755"/>
                  <wp:effectExtent l="0" t="0" r="3810" b="0"/>
                  <wp:docPr id="1196544843" name="Imagen 119654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2384" cy="639498"/>
                          </a:xfrm>
                          <a:prstGeom prst="rect">
                            <a:avLst/>
                          </a:prstGeom>
                          <a:noFill/>
                          <a:ln>
                            <a:noFill/>
                          </a:ln>
                        </pic:spPr>
                      </pic:pic>
                    </a:graphicData>
                  </a:graphic>
                </wp:inline>
              </w:drawing>
            </w:r>
          </w:p>
        </w:tc>
        <w:tc>
          <w:tcPr>
            <w:tcW w:w="3798" w:type="pct"/>
            <w:gridSpan w:val="3"/>
          </w:tcPr>
          <w:p w14:paraId="72F13455" w14:textId="77777777" w:rsidR="00E50CE9" w:rsidRPr="00E50CE9" w:rsidRDefault="00E50CE9" w:rsidP="00E50CE9">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p>
          <w:p w14:paraId="2A71A055" w14:textId="77777777" w:rsidR="00E50CE9" w:rsidRPr="00E50CE9" w:rsidRDefault="00E50CE9" w:rsidP="00E50CE9">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18"/>
                <w:szCs w:val="18"/>
              </w:rPr>
            </w:pPr>
          </w:p>
          <w:p w14:paraId="6420B5AB" w14:textId="77777777" w:rsidR="00E50CE9" w:rsidRPr="00E50CE9" w:rsidRDefault="00E50CE9" w:rsidP="00E50CE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18"/>
                <w:szCs w:val="18"/>
              </w:rPr>
            </w:pPr>
            <w:r w:rsidRPr="00E50CE9">
              <w:rPr>
                <w:rFonts w:ascii="Century Gothic" w:hAnsi="Century Gothic"/>
                <w:sz w:val="18"/>
                <w:szCs w:val="18"/>
              </w:rPr>
              <w:t>INSTRUMENTAR PROGRAMAS DE INCLUSIÓN SOCIAL</w:t>
            </w:r>
          </w:p>
        </w:tc>
      </w:tr>
      <w:tr w:rsidR="00E50CE9" w:rsidRPr="00E50CE9" w14:paraId="650C2A5A" w14:textId="77777777" w:rsidTr="00B4200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5000" w:type="pct"/>
            <w:gridSpan w:val="6"/>
          </w:tcPr>
          <w:p w14:paraId="7DD810DF"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Objetivo:  Acelerar la transformación económica para consolidar la productividad y competitividad, propiciando empleos dignos que permitan el desarrollo profesional y laboral de las personas.</w:t>
            </w:r>
          </w:p>
        </w:tc>
      </w:tr>
      <w:tr w:rsidR="00E50CE9" w:rsidRPr="00E50CE9" w14:paraId="09525467" w14:textId="77777777" w:rsidTr="00B42001">
        <w:trPr>
          <w:trHeight w:val="140"/>
        </w:trPr>
        <w:tc>
          <w:tcPr>
            <w:cnfStyle w:val="001000000000" w:firstRow="0" w:lastRow="0" w:firstColumn="1" w:lastColumn="0" w:oddVBand="0" w:evenVBand="0" w:oddHBand="0" w:evenHBand="0" w:firstRowFirstColumn="0" w:firstRowLastColumn="0" w:lastRowFirstColumn="0" w:lastRowLastColumn="0"/>
            <w:tcW w:w="5000" w:type="pct"/>
            <w:gridSpan w:val="6"/>
          </w:tcPr>
          <w:p w14:paraId="1EC1BBE7"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Alineación</w:t>
            </w:r>
          </w:p>
        </w:tc>
      </w:tr>
      <w:tr w:rsidR="00E50CE9" w:rsidRPr="00E50CE9" w14:paraId="384ACB6D" w14:textId="77777777" w:rsidTr="00B42001">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800" w:type="pct"/>
          </w:tcPr>
          <w:p w14:paraId="367CB1D6" w14:textId="77777777" w:rsidR="00E50CE9" w:rsidRPr="00B42001" w:rsidRDefault="00E50CE9" w:rsidP="00E50CE9">
            <w:pPr>
              <w:jc w:val="both"/>
              <w:rPr>
                <w:rFonts w:ascii="Century Gothic" w:hAnsi="Century Gothic"/>
                <w:b w:val="0"/>
                <w:sz w:val="18"/>
                <w:szCs w:val="18"/>
              </w:rPr>
            </w:pPr>
          </w:p>
          <w:p w14:paraId="68BF1DFB"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ODS</w:t>
            </w:r>
          </w:p>
        </w:tc>
        <w:tc>
          <w:tcPr>
            <w:tcW w:w="4200" w:type="pct"/>
            <w:gridSpan w:val="5"/>
          </w:tcPr>
          <w:p w14:paraId="06EE0BB7" w14:textId="170F9ED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noProof/>
                <w:sz w:val="18"/>
                <w:szCs w:val="18"/>
              </w:rPr>
              <w:drawing>
                <wp:anchor distT="0" distB="0" distL="114300" distR="114300" simplePos="0" relativeHeight="251721728" behindDoc="0" locked="0" layoutInCell="1" allowOverlap="1" wp14:anchorId="09DD39BF" wp14:editId="0560C79A">
                  <wp:simplePos x="0" y="0"/>
                  <wp:positionH relativeFrom="margin">
                    <wp:posOffset>3676015</wp:posOffset>
                  </wp:positionH>
                  <wp:positionV relativeFrom="page">
                    <wp:posOffset>29322</wp:posOffset>
                  </wp:positionV>
                  <wp:extent cx="359410" cy="359410"/>
                  <wp:effectExtent l="0" t="0" r="2540" b="2540"/>
                  <wp:wrapNone/>
                  <wp:docPr id="1196544851"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bCs/>
                <w:noProof/>
                <w:sz w:val="18"/>
                <w:szCs w:val="18"/>
              </w:rPr>
              <w:drawing>
                <wp:anchor distT="0" distB="0" distL="114300" distR="114300" simplePos="0" relativeHeight="251720704" behindDoc="0" locked="0" layoutInCell="1" allowOverlap="1" wp14:anchorId="231D8026" wp14:editId="183D5E8B">
                  <wp:simplePos x="0" y="0"/>
                  <wp:positionH relativeFrom="margin">
                    <wp:posOffset>2787650</wp:posOffset>
                  </wp:positionH>
                  <wp:positionV relativeFrom="page">
                    <wp:posOffset>27417</wp:posOffset>
                  </wp:positionV>
                  <wp:extent cx="359410" cy="359410"/>
                  <wp:effectExtent l="0" t="0" r="2540" b="2540"/>
                  <wp:wrapNone/>
                  <wp:docPr id="1196544850" name="Imagen 7" descr="Objetivo 4 - EDUCA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etivo 4 - EDUCACIÓN DE CALI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bCs/>
                <w:noProof/>
                <w:sz w:val="18"/>
                <w:szCs w:val="18"/>
              </w:rPr>
              <w:drawing>
                <wp:anchor distT="0" distB="0" distL="114300" distR="114300" simplePos="0" relativeHeight="251719680" behindDoc="0" locked="0" layoutInCell="1" allowOverlap="1" wp14:anchorId="05A283A4" wp14:editId="4F33FB52">
                  <wp:simplePos x="0" y="0"/>
                  <wp:positionH relativeFrom="margin">
                    <wp:posOffset>1887220</wp:posOffset>
                  </wp:positionH>
                  <wp:positionV relativeFrom="page">
                    <wp:posOffset>42657</wp:posOffset>
                  </wp:positionV>
                  <wp:extent cx="359410" cy="359410"/>
                  <wp:effectExtent l="0" t="0" r="2540" b="2540"/>
                  <wp:wrapNone/>
                  <wp:docPr id="1196544849" name="Imagen 6" descr="Objetivo 3 - SALUD Y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3 - SALUD Y BIENE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bCs/>
                <w:noProof/>
                <w:sz w:val="18"/>
                <w:szCs w:val="18"/>
              </w:rPr>
              <w:drawing>
                <wp:anchor distT="0" distB="0" distL="114300" distR="114300" simplePos="0" relativeHeight="251722752" behindDoc="1" locked="0" layoutInCell="1" allowOverlap="1" wp14:anchorId="2AA97F68" wp14:editId="15EE8AA3">
                  <wp:simplePos x="0" y="0"/>
                  <wp:positionH relativeFrom="column">
                    <wp:posOffset>327660</wp:posOffset>
                  </wp:positionH>
                  <wp:positionV relativeFrom="paragraph">
                    <wp:posOffset>52182</wp:posOffset>
                  </wp:positionV>
                  <wp:extent cx="359410" cy="359410"/>
                  <wp:effectExtent l="0" t="0" r="2540" b="2540"/>
                  <wp:wrapTight wrapText="bothSides">
                    <wp:wrapPolygon edited="0">
                      <wp:start x="0" y="0"/>
                      <wp:lineTo x="0" y="20608"/>
                      <wp:lineTo x="20608" y="20608"/>
                      <wp:lineTo x="20608" y="0"/>
                      <wp:lineTo x="0" y="0"/>
                    </wp:wrapPolygon>
                  </wp:wrapTight>
                  <wp:docPr id="1196544852" name="Imagen 3" descr="Objetivo 1: FIN DE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1: FIN DE LA POBRE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B42001">
              <w:rPr>
                <w:rFonts w:ascii="Century Gothic" w:hAnsi="Century Gothic"/>
                <w:bCs/>
                <w:noProof/>
                <w:sz w:val="18"/>
                <w:szCs w:val="18"/>
              </w:rPr>
              <w:drawing>
                <wp:anchor distT="0" distB="0" distL="114300" distR="114300" simplePos="0" relativeHeight="251718656" behindDoc="0" locked="0" layoutInCell="1" allowOverlap="1" wp14:anchorId="0AA34ACC" wp14:editId="4F5D73E5">
                  <wp:simplePos x="0" y="0"/>
                  <wp:positionH relativeFrom="margin">
                    <wp:posOffset>1113155</wp:posOffset>
                  </wp:positionH>
                  <wp:positionV relativeFrom="page">
                    <wp:posOffset>56627</wp:posOffset>
                  </wp:positionV>
                  <wp:extent cx="359410" cy="359410"/>
                  <wp:effectExtent l="0" t="0" r="2540" b="2540"/>
                  <wp:wrapNone/>
                  <wp:docPr id="1196544848" name="Imagen 4" descr="Objetivo 2 - HAMBRE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tivo 2 - HAMBRE CE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4423AC"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52198687"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r>
      <w:tr w:rsidR="00E50CE9" w:rsidRPr="00E50CE9" w14:paraId="08255122" w14:textId="77777777" w:rsidTr="00B42001">
        <w:trPr>
          <w:trHeight w:val="151"/>
        </w:trPr>
        <w:tc>
          <w:tcPr>
            <w:cnfStyle w:val="001000000000" w:firstRow="0" w:lastRow="0" w:firstColumn="1" w:lastColumn="0" w:oddVBand="0" w:evenVBand="0" w:oddHBand="0" w:evenHBand="0" w:firstRowFirstColumn="0" w:firstRowLastColumn="0" w:lastRowFirstColumn="0" w:lastRowLastColumn="0"/>
            <w:tcW w:w="2326" w:type="pct"/>
            <w:gridSpan w:val="4"/>
          </w:tcPr>
          <w:p w14:paraId="286ADB08"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Plan Nacional de Desarrollo</w:t>
            </w:r>
          </w:p>
        </w:tc>
        <w:tc>
          <w:tcPr>
            <w:tcW w:w="2674" w:type="pct"/>
            <w:gridSpan w:val="2"/>
          </w:tcPr>
          <w:p w14:paraId="266191DB" w14:textId="77777777" w:rsidR="00E50CE9" w:rsidRPr="00B42001" w:rsidRDefault="00E50CE9" w:rsidP="00E50C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PDEM 2023-2027</w:t>
            </w:r>
          </w:p>
        </w:tc>
      </w:tr>
      <w:tr w:rsidR="00E50CE9" w:rsidRPr="00E50CE9" w14:paraId="7101318D" w14:textId="77777777" w:rsidTr="00B42001">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2326" w:type="pct"/>
            <w:gridSpan w:val="4"/>
          </w:tcPr>
          <w:p w14:paraId="1AA63F46"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Tema. 01</w:t>
            </w:r>
          </w:p>
          <w:p w14:paraId="76D62390"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Subtema</w:t>
            </w:r>
          </w:p>
        </w:tc>
        <w:tc>
          <w:tcPr>
            <w:tcW w:w="2674" w:type="pct"/>
            <w:gridSpan w:val="2"/>
          </w:tcPr>
          <w:p w14:paraId="101F41ED"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Objetivo</w:t>
            </w:r>
          </w:p>
          <w:p w14:paraId="1A30E942"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Objetivo 4.3 Reducir las desigualdades enfrentadas por las personas pertenecientes a grupos vulnerables y abatir la incidencia en ellos.</w:t>
            </w:r>
          </w:p>
          <w:p w14:paraId="61713961"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4FB3251D"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Estrategia</w:t>
            </w:r>
          </w:p>
          <w:p w14:paraId="26A3B270"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4.3.1 Disminuir la inseguridad alimentaria, favoreciendo el acceso a la alimentación nutritiva y de calidad por parte de la población en situación de vulnerabilidad.</w:t>
            </w:r>
          </w:p>
        </w:tc>
      </w:tr>
      <w:tr w:rsidR="00E50CE9" w:rsidRPr="00E50CE9" w14:paraId="52F728FB" w14:textId="77777777" w:rsidTr="00B42001">
        <w:trPr>
          <w:trHeight w:val="151"/>
        </w:trPr>
        <w:tc>
          <w:tcPr>
            <w:cnfStyle w:val="001000000000" w:firstRow="0" w:lastRow="0" w:firstColumn="1" w:lastColumn="0" w:oddVBand="0" w:evenVBand="0" w:oddHBand="0" w:evenHBand="0" w:firstRowFirstColumn="0" w:firstRowLastColumn="0" w:lastRowFirstColumn="0" w:lastRowLastColumn="0"/>
            <w:tcW w:w="3931" w:type="pct"/>
            <w:gridSpan w:val="5"/>
          </w:tcPr>
          <w:p w14:paraId="55D6D745"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Componente 1 Promover acciones que permitan reducir las desigualdades sociales</w:t>
            </w:r>
          </w:p>
        </w:tc>
        <w:tc>
          <w:tcPr>
            <w:tcW w:w="1069" w:type="pct"/>
          </w:tcPr>
          <w:p w14:paraId="2E0D6562" w14:textId="77777777" w:rsidR="00E50CE9" w:rsidRPr="00B42001" w:rsidRDefault="00E50CE9" w:rsidP="00E50C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Dependencia Responsable</w:t>
            </w:r>
          </w:p>
        </w:tc>
      </w:tr>
      <w:tr w:rsidR="00B42001" w:rsidRPr="00E50CE9" w14:paraId="37943578" w14:textId="77777777" w:rsidTr="00B42001">
        <w:trPr>
          <w:cnfStyle w:val="000000100000" w:firstRow="0" w:lastRow="0" w:firstColumn="0" w:lastColumn="0" w:oddVBand="0" w:evenVBand="0" w:oddHBand="1" w:evenHBand="0" w:firstRowFirstColumn="0" w:firstRowLastColumn="0" w:lastRowFirstColumn="0" w:lastRowLastColumn="0"/>
          <w:trHeight w:val="2383"/>
        </w:trPr>
        <w:tc>
          <w:tcPr>
            <w:cnfStyle w:val="001000000000" w:firstRow="0" w:lastRow="0" w:firstColumn="1" w:lastColumn="0" w:oddVBand="0" w:evenVBand="0" w:oddHBand="0" w:evenHBand="0" w:firstRowFirstColumn="0" w:firstRowLastColumn="0" w:lastRowFirstColumn="0" w:lastRowLastColumn="0"/>
            <w:tcW w:w="874" w:type="pct"/>
            <w:gridSpan w:val="2"/>
          </w:tcPr>
          <w:p w14:paraId="6EEC10DA" w14:textId="77777777" w:rsidR="00E50CE9" w:rsidRPr="00B42001" w:rsidRDefault="00E50CE9" w:rsidP="00E50CE9">
            <w:pPr>
              <w:jc w:val="both"/>
              <w:rPr>
                <w:rFonts w:ascii="Century Gothic" w:hAnsi="Century Gothic"/>
                <w:b w:val="0"/>
                <w:sz w:val="18"/>
                <w:szCs w:val="18"/>
              </w:rPr>
            </w:pPr>
          </w:p>
          <w:p w14:paraId="714F7C12" w14:textId="77777777" w:rsidR="00E50CE9" w:rsidRPr="00B42001" w:rsidRDefault="00E50CE9" w:rsidP="00E50CE9">
            <w:pPr>
              <w:jc w:val="both"/>
              <w:rPr>
                <w:rFonts w:ascii="Century Gothic" w:hAnsi="Century Gothic"/>
                <w:b w:val="0"/>
                <w:sz w:val="18"/>
                <w:szCs w:val="18"/>
              </w:rPr>
            </w:pPr>
          </w:p>
          <w:p w14:paraId="1157A891" w14:textId="77777777" w:rsidR="00E50CE9" w:rsidRPr="00B42001" w:rsidRDefault="00E50CE9" w:rsidP="00E50CE9">
            <w:pPr>
              <w:jc w:val="both"/>
              <w:rPr>
                <w:rFonts w:ascii="Century Gothic" w:hAnsi="Century Gothic"/>
                <w:b w:val="0"/>
                <w:sz w:val="18"/>
                <w:szCs w:val="18"/>
              </w:rPr>
            </w:pPr>
          </w:p>
          <w:p w14:paraId="6AEA770C" w14:textId="77777777" w:rsidR="00E50CE9" w:rsidRPr="00B42001" w:rsidRDefault="00E50CE9" w:rsidP="00E50CE9">
            <w:pPr>
              <w:jc w:val="both"/>
              <w:rPr>
                <w:rFonts w:ascii="Century Gothic" w:hAnsi="Century Gothic"/>
                <w:b w:val="0"/>
                <w:sz w:val="18"/>
                <w:szCs w:val="18"/>
              </w:rPr>
            </w:pPr>
          </w:p>
          <w:p w14:paraId="3FE6064A" w14:textId="77777777" w:rsidR="00E50CE9" w:rsidRPr="00B42001" w:rsidRDefault="00E50CE9" w:rsidP="00E50CE9">
            <w:pPr>
              <w:jc w:val="both"/>
              <w:rPr>
                <w:rFonts w:ascii="Century Gothic" w:hAnsi="Century Gothic"/>
                <w:b w:val="0"/>
                <w:sz w:val="18"/>
                <w:szCs w:val="18"/>
              </w:rPr>
            </w:pPr>
          </w:p>
          <w:p w14:paraId="768C1354" w14:textId="77777777" w:rsidR="00E50CE9" w:rsidRPr="00B42001" w:rsidRDefault="00E50CE9" w:rsidP="00E50CE9">
            <w:pPr>
              <w:jc w:val="both"/>
              <w:rPr>
                <w:rFonts w:ascii="Century Gothic" w:hAnsi="Century Gothic"/>
                <w:b w:val="0"/>
                <w:sz w:val="18"/>
                <w:szCs w:val="18"/>
              </w:rPr>
            </w:pPr>
          </w:p>
          <w:p w14:paraId="76CE8489" w14:textId="77777777" w:rsidR="00E50CE9" w:rsidRPr="00B42001" w:rsidRDefault="00E50CE9" w:rsidP="00E50CE9">
            <w:pPr>
              <w:jc w:val="both"/>
              <w:rPr>
                <w:rFonts w:ascii="Century Gothic" w:hAnsi="Century Gothic"/>
                <w:b w:val="0"/>
                <w:sz w:val="18"/>
                <w:szCs w:val="18"/>
              </w:rPr>
            </w:pPr>
          </w:p>
          <w:p w14:paraId="6BBF61E5" w14:textId="77777777" w:rsidR="00E50CE9" w:rsidRPr="00B42001" w:rsidRDefault="00E50CE9" w:rsidP="00E50CE9">
            <w:pPr>
              <w:jc w:val="both"/>
              <w:rPr>
                <w:rFonts w:ascii="Century Gothic" w:hAnsi="Century Gothic"/>
                <w:b w:val="0"/>
                <w:sz w:val="18"/>
                <w:szCs w:val="18"/>
              </w:rPr>
            </w:pPr>
          </w:p>
          <w:p w14:paraId="281B7E36" w14:textId="77777777" w:rsidR="00E50CE9" w:rsidRPr="00B42001" w:rsidRDefault="00E50CE9" w:rsidP="00E50CE9">
            <w:pPr>
              <w:jc w:val="both"/>
              <w:rPr>
                <w:rFonts w:ascii="Century Gothic" w:hAnsi="Century Gothic"/>
                <w:b w:val="0"/>
                <w:sz w:val="18"/>
                <w:szCs w:val="18"/>
              </w:rPr>
            </w:pPr>
            <w:r w:rsidRPr="00B42001">
              <w:rPr>
                <w:rFonts w:ascii="Century Gothic" w:hAnsi="Century Gothic"/>
                <w:b w:val="0"/>
                <w:sz w:val="18"/>
                <w:szCs w:val="18"/>
              </w:rPr>
              <w:t>Acciones Especificas</w:t>
            </w:r>
          </w:p>
        </w:tc>
        <w:tc>
          <w:tcPr>
            <w:tcW w:w="3057" w:type="pct"/>
            <w:gridSpan w:val="3"/>
          </w:tcPr>
          <w:p w14:paraId="41C5A65F" w14:textId="77777777" w:rsidR="00E50CE9" w:rsidRPr="00B42001" w:rsidRDefault="00E50CE9" w:rsidP="00E50CE9">
            <w:pPr>
              <w:widowControl w:val="0"/>
              <w:numPr>
                <w:ilvl w:val="0"/>
                <w:numId w:val="19"/>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Gestionar talleres que capaciten a padres y madres de familia</w:t>
            </w:r>
            <w:r w:rsidRPr="00B42001">
              <w:rPr>
                <w:rFonts w:ascii="Century Gothic" w:hAnsi="Century Gothic"/>
                <w:bCs/>
                <w:sz w:val="18"/>
                <w:szCs w:val="18"/>
              </w:rPr>
              <w:tab/>
            </w:r>
          </w:p>
          <w:p w14:paraId="568C72A9" w14:textId="0DD5B05C" w:rsidR="00E50CE9" w:rsidRPr="00B42001" w:rsidRDefault="00E50CE9" w:rsidP="00E50CE9">
            <w:pPr>
              <w:widowControl w:val="0"/>
              <w:numPr>
                <w:ilvl w:val="0"/>
                <w:numId w:val="19"/>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Gestionar talleres que capaciten a personas en Estado de vulnerabilidad</w:t>
            </w:r>
          </w:p>
          <w:p w14:paraId="6517A9AA" w14:textId="77777777" w:rsidR="00E50CE9" w:rsidRPr="00B42001" w:rsidRDefault="00E50CE9" w:rsidP="00E50CE9">
            <w:pPr>
              <w:widowControl w:val="0"/>
              <w:numPr>
                <w:ilvl w:val="0"/>
                <w:numId w:val="19"/>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Realizar jornadas de salud</w:t>
            </w:r>
          </w:p>
          <w:p w14:paraId="57D4CAA7" w14:textId="77777777" w:rsidR="00E50CE9" w:rsidRPr="00B42001" w:rsidRDefault="00E50CE9" w:rsidP="00E50CE9">
            <w:pPr>
              <w:widowControl w:val="0"/>
              <w:numPr>
                <w:ilvl w:val="0"/>
                <w:numId w:val="19"/>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Gestionar apoyos invernales</w:t>
            </w:r>
          </w:p>
          <w:p w14:paraId="196F5817" w14:textId="77777777" w:rsidR="00E50CE9" w:rsidRPr="00B42001" w:rsidRDefault="00E50CE9" w:rsidP="00E50CE9">
            <w:pPr>
              <w:widowControl w:val="0"/>
              <w:numPr>
                <w:ilvl w:val="0"/>
                <w:numId w:val="19"/>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Realizar actividades recreativas, culturales y deportivas</w:t>
            </w:r>
          </w:p>
          <w:p w14:paraId="2A7EDF75" w14:textId="19BC9296" w:rsidR="00E50CE9" w:rsidRPr="00B42001" w:rsidRDefault="00E50CE9" w:rsidP="00E50CE9">
            <w:pPr>
              <w:widowControl w:val="0"/>
              <w:numPr>
                <w:ilvl w:val="0"/>
                <w:numId w:val="36"/>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Entrega de donativos para la salud</w:t>
            </w:r>
          </w:p>
          <w:p w14:paraId="604F5289" w14:textId="77777777" w:rsidR="00E50CE9" w:rsidRPr="00B42001" w:rsidRDefault="00E50CE9" w:rsidP="00E50CE9">
            <w:pPr>
              <w:widowControl w:val="0"/>
              <w:numPr>
                <w:ilvl w:val="0"/>
                <w:numId w:val="60"/>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 xml:space="preserve">Instrumentar acciones de mejoramiento de la vivienda en el municipio </w:t>
            </w:r>
          </w:p>
          <w:p w14:paraId="5E1E331A" w14:textId="77777777" w:rsidR="00E50CE9" w:rsidRPr="00B42001" w:rsidRDefault="00E50CE9" w:rsidP="00E50CE9">
            <w:pPr>
              <w:widowControl w:val="0"/>
              <w:numPr>
                <w:ilvl w:val="0"/>
                <w:numId w:val="60"/>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Implementar el sistema de salud municipal</w:t>
            </w:r>
          </w:p>
          <w:p w14:paraId="479B4469" w14:textId="77777777" w:rsidR="00E50CE9" w:rsidRPr="00B42001" w:rsidRDefault="00E50CE9" w:rsidP="00E50CE9">
            <w:pPr>
              <w:widowControl w:val="0"/>
              <w:numPr>
                <w:ilvl w:val="0"/>
                <w:numId w:val="60"/>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Crear reglamentos de la Dirección de salud, vincularas con áreas afines</w:t>
            </w:r>
          </w:p>
          <w:p w14:paraId="4A3949EC" w14:textId="6B0C8394" w:rsidR="00E50CE9" w:rsidRPr="00B42001" w:rsidRDefault="00E50CE9" w:rsidP="00E50CE9">
            <w:pPr>
              <w:widowControl w:val="0"/>
              <w:numPr>
                <w:ilvl w:val="0"/>
                <w:numId w:val="60"/>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Gestionar la creación de la unidad IMMS Bienestar en San Dimas</w:t>
            </w:r>
          </w:p>
          <w:p w14:paraId="12D5CDF6" w14:textId="59DB7031" w:rsidR="00E50CE9" w:rsidRPr="00B42001" w:rsidRDefault="00E50CE9" w:rsidP="00E50CE9">
            <w:pPr>
              <w:widowControl w:val="0"/>
              <w:numPr>
                <w:ilvl w:val="0"/>
                <w:numId w:val="56"/>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Impartir pláticas de promoción de la salud mental y prevención de adicciones</w:t>
            </w:r>
          </w:p>
          <w:p w14:paraId="2F4B0712" w14:textId="77777777" w:rsidR="00E50CE9" w:rsidRPr="00B42001" w:rsidRDefault="00E50CE9" w:rsidP="00E50CE9">
            <w:pPr>
              <w:widowControl w:val="0"/>
              <w:numPr>
                <w:ilvl w:val="0"/>
                <w:numId w:val="56"/>
              </w:numPr>
              <w:autoSpaceDE w:val="0"/>
              <w:autoSpaceDN w:val="0"/>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Realizar actividades complementarias del área de Psicología</w:t>
            </w:r>
            <w:r w:rsidRPr="00B42001">
              <w:rPr>
                <w:rFonts w:ascii="Century Gothic" w:hAnsi="Century Gothic"/>
                <w:bCs/>
                <w:sz w:val="18"/>
                <w:szCs w:val="18"/>
              </w:rPr>
              <w:tab/>
            </w:r>
            <w:r w:rsidRPr="00B42001">
              <w:rPr>
                <w:rFonts w:ascii="Century Gothic" w:hAnsi="Century Gothic"/>
                <w:bCs/>
                <w:sz w:val="18"/>
                <w:szCs w:val="18"/>
              </w:rPr>
              <w:tab/>
            </w:r>
          </w:p>
          <w:p w14:paraId="6C5B19EC"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ab/>
            </w:r>
          </w:p>
          <w:p w14:paraId="7DFE7182"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c>
          <w:tcPr>
            <w:tcW w:w="1069" w:type="pct"/>
          </w:tcPr>
          <w:p w14:paraId="5319E64E"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23A52284"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1129F62D"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Sistema Municipal DIF</w:t>
            </w:r>
          </w:p>
          <w:p w14:paraId="11D5D61F"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53841876"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0DAB3F5C"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0F877E4D"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5C04F715"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Dirección de Salud</w:t>
            </w:r>
          </w:p>
          <w:p w14:paraId="4587D9CA"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546FD196"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60C8575C"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B42001">
              <w:rPr>
                <w:rFonts w:ascii="Century Gothic" w:hAnsi="Century Gothic"/>
                <w:bCs/>
                <w:sz w:val="18"/>
                <w:szCs w:val="18"/>
              </w:rPr>
              <w:t>Sistema Municipal DIF</w:t>
            </w:r>
          </w:p>
          <w:p w14:paraId="00CC4588"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r>
    </w:tbl>
    <w:p w14:paraId="3AAECBC3" w14:textId="08A741D9" w:rsidR="00E50CE9" w:rsidRDefault="00E50CE9" w:rsidP="00E50CE9">
      <w:pPr>
        <w:spacing w:after="160" w:line="360" w:lineRule="auto"/>
        <w:rPr>
          <w:rFonts w:ascii="Century Gothic" w:hAnsi="Century Gothic"/>
          <w:b/>
          <w:color w:val="025850"/>
          <w:sz w:val="22"/>
          <w:szCs w:val="22"/>
        </w:rPr>
      </w:pPr>
    </w:p>
    <w:p w14:paraId="1395D696" w14:textId="77777777" w:rsidR="00E50CE9" w:rsidRDefault="00E50CE9">
      <w:pPr>
        <w:rPr>
          <w:rFonts w:ascii="Century Gothic" w:hAnsi="Century Gothic"/>
          <w:b/>
          <w:color w:val="025850"/>
          <w:sz w:val="22"/>
          <w:szCs w:val="22"/>
        </w:rPr>
      </w:pPr>
      <w:r>
        <w:rPr>
          <w:rFonts w:ascii="Century Gothic" w:hAnsi="Century Gothic"/>
          <w:b/>
          <w:color w:val="025850"/>
          <w:sz w:val="22"/>
          <w:szCs w:val="22"/>
        </w:rPr>
        <w:br w:type="page"/>
      </w:r>
    </w:p>
    <w:tbl>
      <w:tblPr>
        <w:tblStyle w:val="Tablaconcuadrcula4-nfasis2"/>
        <w:tblW w:w="5000" w:type="pct"/>
        <w:tblLook w:val="04A0" w:firstRow="1" w:lastRow="0" w:firstColumn="1" w:lastColumn="0" w:noHBand="0" w:noVBand="1"/>
      </w:tblPr>
      <w:tblGrid>
        <w:gridCol w:w="2075"/>
        <w:gridCol w:w="2103"/>
        <w:gridCol w:w="70"/>
        <w:gridCol w:w="5149"/>
        <w:gridCol w:w="3553"/>
      </w:tblGrid>
      <w:tr w:rsidR="00E50CE9" w:rsidRPr="00E50CE9" w14:paraId="6F72360E" w14:textId="77777777" w:rsidTr="00B42001">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613" w:type="pct"/>
            <w:gridSpan w:val="2"/>
          </w:tcPr>
          <w:p w14:paraId="2633AEB8" w14:textId="77777777" w:rsidR="00E50CE9" w:rsidRPr="00E50CE9" w:rsidRDefault="00E50CE9" w:rsidP="00E50CE9">
            <w:pPr>
              <w:jc w:val="both"/>
              <w:rPr>
                <w:rFonts w:ascii="Century Gothic" w:hAnsi="Century Gothic"/>
                <w:sz w:val="20"/>
                <w:szCs w:val="20"/>
              </w:rPr>
            </w:pPr>
            <w:r w:rsidRPr="00E50CE9">
              <w:rPr>
                <w:rFonts w:ascii="Century Gothic" w:hAnsi="Century Gothic"/>
                <w:noProof/>
                <w:sz w:val="20"/>
                <w:szCs w:val="20"/>
              </w:rPr>
              <w:lastRenderedPageBreak/>
              <w:drawing>
                <wp:inline distT="0" distB="0" distL="0" distR="0" wp14:anchorId="331E6716" wp14:editId="7471DDF8">
                  <wp:extent cx="763675" cy="726323"/>
                  <wp:effectExtent l="0" t="0" r="0" b="0"/>
                  <wp:docPr id="1196544842" name="Imagen 119654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8263" cy="740198"/>
                          </a:xfrm>
                          <a:prstGeom prst="rect">
                            <a:avLst/>
                          </a:prstGeom>
                          <a:noFill/>
                          <a:ln>
                            <a:noFill/>
                          </a:ln>
                        </pic:spPr>
                      </pic:pic>
                    </a:graphicData>
                  </a:graphic>
                </wp:inline>
              </w:drawing>
            </w:r>
          </w:p>
        </w:tc>
        <w:tc>
          <w:tcPr>
            <w:tcW w:w="3387" w:type="pct"/>
            <w:gridSpan w:val="3"/>
          </w:tcPr>
          <w:p w14:paraId="27C298F2" w14:textId="77777777" w:rsidR="00E50CE9" w:rsidRPr="00E50CE9" w:rsidRDefault="00E50CE9" w:rsidP="00E50CE9">
            <w:pPr>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E50CE9">
              <w:rPr>
                <w:rFonts w:ascii="Century Gothic" w:hAnsi="Century Gothic"/>
                <w:sz w:val="20"/>
                <w:szCs w:val="20"/>
              </w:rPr>
              <w:t>BIENESTAR PSICOEMOCIONAL</w:t>
            </w:r>
          </w:p>
        </w:tc>
      </w:tr>
      <w:tr w:rsidR="00E50CE9" w:rsidRPr="00E50CE9" w14:paraId="498F66BC" w14:textId="77777777" w:rsidTr="00B4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14:paraId="0B90B57E"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Objetivo:  Promover el acceso universal a servicios de salud mental y emocional desde una edad temprana, fomentando la igualdad y la inclusión social, y eliminando barreras que afecten el bienestar psicoemocional de todas las personas, especialmente aquellas en situación de vulnerabilidad.</w:t>
            </w:r>
          </w:p>
        </w:tc>
      </w:tr>
      <w:tr w:rsidR="00E50CE9" w:rsidRPr="00E50CE9" w14:paraId="484F8512" w14:textId="77777777" w:rsidTr="00B42001">
        <w:tc>
          <w:tcPr>
            <w:cnfStyle w:val="001000000000" w:firstRow="0" w:lastRow="0" w:firstColumn="1" w:lastColumn="0" w:oddVBand="0" w:evenVBand="0" w:oddHBand="0" w:evenHBand="0" w:firstRowFirstColumn="0" w:firstRowLastColumn="0" w:lastRowFirstColumn="0" w:lastRowLastColumn="0"/>
            <w:tcW w:w="5000" w:type="pct"/>
            <w:gridSpan w:val="5"/>
          </w:tcPr>
          <w:p w14:paraId="1D650A79"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Alineación</w:t>
            </w:r>
          </w:p>
        </w:tc>
      </w:tr>
      <w:tr w:rsidR="00E50CE9" w:rsidRPr="00E50CE9" w14:paraId="2A9851FB" w14:textId="77777777" w:rsidTr="00B42001">
        <w:trPr>
          <w:cnfStyle w:val="000000100000" w:firstRow="0" w:lastRow="0" w:firstColumn="0" w:lastColumn="0" w:oddVBand="0" w:evenVBand="0" w:oddHBand="1" w:evenHBand="0"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801" w:type="pct"/>
          </w:tcPr>
          <w:p w14:paraId="2DB0D776" w14:textId="77777777" w:rsidR="00E50CE9" w:rsidRPr="00B42001" w:rsidRDefault="00E50CE9" w:rsidP="00E50CE9">
            <w:pPr>
              <w:jc w:val="both"/>
              <w:rPr>
                <w:rFonts w:ascii="Century Gothic" w:hAnsi="Century Gothic"/>
                <w:b w:val="0"/>
                <w:bCs w:val="0"/>
                <w:sz w:val="20"/>
                <w:szCs w:val="20"/>
              </w:rPr>
            </w:pPr>
          </w:p>
          <w:p w14:paraId="74468E20"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ODS</w:t>
            </w:r>
          </w:p>
        </w:tc>
        <w:tc>
          <w:tcPr>
            <w:tcW w:w="4199" w:type="pct"/>
            <w:gridSpan w:val="4"/>
          </w:tcPr>
          <w:p w14:paraId="51C74DAC" w14:textId="0786A52E"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noProof/>
                <w:sz w:val="20"/>
                <w:szCs w:val="20"/>
              </w:rPr>
              <w:drawing>
                <wp:anchor distT="0" distB="0" distL="114300" distR="114300" simplePos="0" relativeHeight="251727872" behindDoc="0" locked="0" layoutInCell="1" allowOverlap="1" wp14:anchorId="4DE9A4B3" wp14:editId="7C4B6BC2">
                  <wp:simplePos x="0" y="0"/>
                  <wp:positionH relativeFrom="column">
                    <wp:posOffset>2991485</wp:posOffset>
                  </wp:positionH>
                  <wp:positionV relativeFrom="page">
                    <wp:posOffset>150495</wp:posOffset>
                  </wp:positionV>
                  <wp:extent cx="359410" cy="359410"/>
                  <wp:effectExtent l="0" t="0" r="2540" b="2540"/>
                  <wp:wrapNone/>
                  <wp:docPr id="1196544834" name="Imagen 13"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jetivo 10 - REDUCCIÓN DE LAS DESIGUALDAD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noProof/>
                <w:sz w:val="20"/>
                <w:szCs w:val="20"/>
              </w:rPr>
              <w:drawing>
                <wp:anchor distT="0" distB="0" distL="114300" distR="114300" simplePos="0" relativeHeight="251726848" behindDoc="0" locked="0" layoutInCell="1" allowOverlap="1" wp14:anchorId="627198A5" wp14:editId="320B731A">
                  <wp:simplePos x="0" y="0"/>
                  <wp:positionH relativeFrom="margin">
                    <wp:posOffset>2038985</wp:posOffset>
                  </wp:positionH>
                  <wp:positionV relativeFrom="page">
                    <wp:posOffset>151130</wp:posOffset>
                  </wp:positionV>
                  <wp:extent cx="359410" cy="359410"/>
                  <wp:effectExtent l="0" t="0" r="2540" b="2540"/>
                  <wp:wrapNone/>
                  <wp:docPr id="1196544839"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noProof/>
                <w:sz w:val="20"/>
                <w:szCs w:val="20"/>
              </w:rPr>
              <w:drawing>
                <wp:anchor distT="0" distB="0" distL="114300" distR="114300" simplePos="0" relativeHeight="251725824" behindDoc="0" locked="0" layoutInCell="1" allowOverlap="1" wp14:anchorId="31A37B01" wp14:editId="6E8CFE7A">
                  <wp:simplePos x="0" y="0"/>
                  <wp:positionH relativeFrom="margin">
                    <wp:posOffset>1131570</wp:posOffset>
                  </wp:positionH>
                  <wp:positionV relativeFrom="page">
                    <wp:posOffset>151130</wp:posOffset>
                  </wp:positionV>
                  <wp:extent cx="359410" cy="359410"/>
                  <wp:effectExtent l="0" t="0" r="2540" b="2540"/>
                  <wp:wrapNone/>
                  <wp:docPr id="1196544840" name="Imagen 7" descr="Objetivo 4 - EDUCA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etivo 4 - EDUCACIÓN DE CALIDA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B96A0" w14:textId="0EF27BDE" w:rsidR="00E50CE9" w:rsidRPr="00B42001" w:rsidRDefault="00E50CE9" w:rsidP="00E50CE9">
            <w:pPr>
              <w:tabs>
                <w:tab w:val="left" w:pos="2535"/>
                <w:tab w:val="center" w:pos="3599"/>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noProof/>
                <w:sz w:val="20"/>
                <w:szCs w:val="20"/>
              </w:rPr>
              <w:drawing>
                <wp:anchor distT="0" distB="0" distL="114300" distR="114300" simplePos="0" relativeHeight="251724800" behindDoc="0" locked="0" layoutInCell="1" allowOverlap="1" wp14:anchorId="43A00AFB" wp14:editId="7923D41B">
                  <wp:simplePos x="0" y="0"/>
                  <wp:positionH relativeFrom="margin">
                    <wp:posOffset>372110</wp:posOffset>
                  </wp:positionH>
                  <wp:positionV relativeFrom="page">
                    <wp:posOffset>161402</wp:posOffset>
                  </wp:positionV>
                  <wp:extent cx="359410" cy="359410"/>
                  <wp:effectExtent l="0" t="0" r="2540" b="2540"/>
                  <wp:wrapNone/>
                  <wp:docPr id="1196544841" name="Imagen 6" descr="Objetivo 3 - SALUD Y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3 - SALUD Y BIENESTA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sz w:val="20"/>
                <w:szCs w:val="20"/>
              </w:rPr>
              <w:tab/>
            </w:r>
            <w:r w:rsidRPr="00B42001">
              <w:rPr>
                <w:rFonts w:ascii="Century Gothic" w:hAnsi="Century Gothic"/>
                <w:sz w:val="20"/>
                <w:szCs w:val="20"/>
              </w:rPr>
              <w:tab/>
            </w:r>
          </w:p>
          <w:p w14:paraId="7FCE5B7A"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E50CE9" w:rsidRPr="00E50CE9" w14:paraId="1530DC1B" w14:textId="77777777" w:rsidTr="00B42001">
        <w:tc>
          <w:tcPr>
            <w:cnfStyle w:val="001000000000" w:firstRow="0" w:lastRow="0" w:firstColumn="1" w:lastColumn="0" w:oddVBand="0" w:evenVBand="0" w:oddHBand="0" w:evenHBand="0" w:firstRowFirstColumn="0" w:firstRowLastColumn="0" w:lastRowFirstColumn="0" w:lastRowLastColumn="0"/>
            <w:tcW w:w="1640" w:type="pct"/>
            <w:gridSpan w:val="3"/>
          </w:tcPr>
          <w:p w14:paraId="308DCAFF"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Plan Nacional de Desarrollo</w:t>
            </w:r>
          </w:p>
        </w:tc>
        <w:tc>
          <w:tcPr>
            <w:tcW w:w="3360" w:type="pct"/>
            <w:gridSpan w:val="2"/>
          </w:tcPr>
          <w:p w14:paraId="4AB1770C" w14:textId="77777777" w:rsidR="00E50CE9" w:rsidRPr="00B42001" w:rsidRDefault="00E50CE9" w:rsidP="00E50CE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PDEM 2023-2027</w:t>
            </w:r>
          </w:p>
        </w:tc>
      </w:tr>
      <w:tr w:rsidR="00E50CE9" w:rsidRPr="00E50CE9" w14:paraId="00C774D3" w14:textId="77777777" w:rsidTr="00B42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0" w:type="pct"/>
            <w:gridSpan w:val="3"/>
          </w:tcPr>
          <w:p w14:paraId="0E78BBFF"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Tema</w:t>
            </w:r>
          </w:p>
          <w:p w14:paraId="48D0E45A"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Subtema</w:t>
            </w:r>
          </w:p>
        </w:tc>
        <w:tc>
          <w:tcPr>
            <w:tcW w:w="3360" w:type="pct"/>
            <w:gridSpan w:val="2"/>
          </w:tcPr>
          <w:p w14:paraId="10D52BD0"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Objetivo</w:t>
            </w:r>
          </w:p>
          <w:p w14:paraId="5CFE793E"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4.3 Reducir las desigualdades enfrentadas por las personas pertenecientes a grupos vulnerables y abatir la incidencia en ellos.</w:t>
            </w:r>
          </w:p>
          <w:p w14:paraId="297E1F95"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Estrategia</w:t>
            </w:r>
          </w:p>
          <w:p w14:paraId="668E6BB9"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4.3.6 Garantizar el acceso a servicios jurídicos, de salud mental y educativos.</w:t>
            </w:r>
          </w:p>
        </w:tc>
      </w:tr>
      <w:tr w:rsidR="00E50CE9" w:rsidRPr="00E50CE9" w14:paraId="351778E0" w14:textId="77777777" w:rsidTr="00B42001">
        <w:tc>
          <w:tcPr>
            <w:cnfStyle w:val="001000000000" w:firstRow="0" w:lastRow="0" w:firstColumn="1" w:lastColumn="0" w:oddVBand="0" w:evenVBand="0" w:oddHBand="0" w:evenHBand="0" w:firstRowFirstColumn="0" w:firstRowLastColumn="0" w:lastRowFirstColumn="0" w:lastRowLastColumn="0"/>
            <w:tcW w:w="3628" w:type="pct"/>
            <w:gridSpan w:val="4"/>
          </w:tcPr>
          <w:p w14:paraId="7ED9633E" w14:textId="77777777" w:rsidR="00E50CE9" w:rsidRPr="00B42001" w:rsidRDefault="00E50CE9" w:rsidP="00E50CE9">
            <w:pPr>
              <w:jc w:val="both"/>
              <w:rPr>
                <w:rFonts w:ascii="Century Gothic" w:hAnsi="Century Gothic"/>
                <w:b w:val="0"/>
                <w:bCs w:val="0"/>
                <w:sz w:val="20"/>
                <w:szCs w:val="20"/>
              </w:rPr>
            </w:pPr>
            <w:r w:rsidRPr="00B42001">
              <w:rPr>
                <w:rFonts w:ascii="Century Gothic" w:hAnsi="Century Gothic"/>
                <w:b w:val="0"/>
                <w:bCs w:val="0"/>
                <w:sz w:val="20"/>
                <w:szCs w:val="20"/>
              </w:rPr>
              <w:t>Componente 1 Reducir las desigualdades enfrentadas por las personas de grupos vulnerables, abatiendo la incidencia de problemas sociales, y garantizar el acceso integral a servicios jurídicos, de salud mental, educativos y psicoemocionales, promoviendo un entorno que favorezca el bienestar y desarrollo emocional de todos los individuos.</w:t>
            </w:r>
          </w:p>
        </w:tc>
        <w:tc>
          <w:tcPr>
            <w:tcW w:w="1372" w:type="pct"/>
          </w:tcPr>
          <w:p w14:paraId="74C14240" w14:textId="77777777" w:rsidR="00E50CE9" w:rsidRPr="00B42001" w:rsidRDefault="00E50CE9" w:rsidP="00E50CE9">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Dependencia Responsable</w:t>
            </w:r>
          </w:p>
        </w:tc>
      </w:tr>
      <w:tr w:rsidR="00E50CE9" w:rsidRPr="00E50CE9" w14:paraId="6C9534FB" w14:textId="77777777" w:rsidTr="00B42001">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613" w:type="pct"/>
            <w:gridSpan w:val="2"/>
          </w:tcPr>
          <w:p w14:paraId="60850B4E" w14:textId="77777777" w:rsidR="00E50CE9" w:rsidRPr="00B42001" w:rsidRDefault="00E50CE9" w:rsidP="00E50CE9">
            <w:pPr>
              <w:rPr>
                <w:rFonts w:ascii="Century Gothic" w:hAnsi="Century Gothic"/>
                <w:b w:val="0"/>
                <w:bCs w:val="0"/>
                <w:sz w:val="20"/>
                <w:szCs w:val="20"/>
              </w:rPr>
            </w:pPr>
            <w:r w:rsidRPr="00B42001">
              <w:rPr>
                <w:rFonts w:ascii="Century Gothic" w:hAnsi="Century Gothic"/>
                <w:b w:val="0"/>
                <w:bCs w:val="0"/>
                <w:sz w:val="20"/>
                <w:szCs w:val="20"/>
              </w:rPr>
              <w:t>Acciones Especificas</w:t>
            </w:r>
          </w:p>
        </w:tc>
        <w:tc>
          <w:tcPr>
            <w:tcW w:w="2015" w:type="pct"/>
            <w:gridSpan w:val="2"/>
          </w:tcPr>
          <w:p w14:paraId="6B0F98AF" w14:textId="77777777" w:rsidR="00E50CE9" w:rsidRPr="00B42001" w:rsidRDefault="00E50CE9" w:rsidP="00E50CE9">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Establecer acciones que permitan contribuir a una mejora de salud mental de grupos vulnerables en coordinación con organismos e instituciones afines.</w:t>
            </w:r>
          </w:p>
          <w:p w14:paraId="50615A40" w14:textId="77777777" w:rsidR="00E50CE9" w:rsidRPr="00B42001" w:rsidRDefault="00E50CE9" w:rsidP="00E50CE9">
            <w:pPr>
              <w:numPr>
                <w:ilvl w:val="0"/>
                <w:numId w:val="19"/>
              </w:numPr>
              <w:contextualSpacing/>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Asesorar y representar jurídicamente a las personas en situación de vulnerabilidad.</w:t>
            </w:r>
          </w:p>
        </w:tc>
        <w:tc>
          <w:tcPr>
            <w:tcW w:w="1372" w:type="pct"/>
          </w:tcPr>
          <w:p w14:paraId="41D019A6"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6774CB52"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06A8F6B6"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1B0D6981" w14:textId="77777777" w:rsidR="00E50CE9" w:rsidRPr="00B42001" w:rsidRDefault="00E50CE9" w:rsidP="00E50C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Dirección de Salud</w:t>
            </w:r>
          </w:p>
        </w:tc>
      </w:tr>
    </w:tbl>
    <w:p w14:paraId="3B13FB94" w14:textId="151D6211" w:rsidR="00E50CE9" w:rsidRDefault="00E50CE9" w:rsidP="00E50CE9">
      <w:pPr>
        <w:spacing w:after="160" w:line="360" w:lineRule="auto"/>
        <w:rPr>
          <w:rFonts w:ascii="Century Gothic" w:hAnsi="Century Gothic"/>
          <w:b/>
          <w:color w:val="025850"/>
          <w:sz w:val="22"/>
          <w:szCs w:val="22"/>
        </w:rPr>
      </w:pPr>
    </w:p>
    <w:p w14:paraId="2347D65B" w14:textId="77777777" w:rsidR="00E50CE9" w:rsidRDefault="00E50CE9">
      <w:pPr>
        <w:rPr>
          <w:rFonts w:ascii="Century Gothic" w:hAnsi="Century Gothic"/>
          <w:b/>
          <w:color w:val="025850"/>
          <w:sz w:val="22"/>
          <w:szCs w:val="22"/>
        </w:rPr>
      </w:pPr>
      <w:r>
        <w:rPr>
          <w:rFonts w:ascii="Century Gothic" w:hAnsi="Century Gothic"/>
          <w:b/>
          <w:color w:val="025850"/>
          <w:sz w:val="22"/>
          <w:szCs w:val="22"/>
        </w:rPr>
        <w:br w:type="page"/>
      </w:r>
    </w:p>
    <w:p w14:paraId="2FA598BA" w14:textId="77777777" w:rsidR="00E50CE9" w:rsidRDefault="00E50CE9" w:rsidP="00E50CE9">
      <w:pPr>
        <w:spacing w:after="160" w:line="360" w:lineRule="auto"/>
        <w:rPr>
          <w:rFonts w:ascii="Century Gothic" w:hAnsi="Century Gothic"/>
          <w:b/>
          <w:color w:val="025850"/>
          <w:sz w:val="22"/>
          <w:szCs w:val="22"/>
        </w:rPr>
        <w:sectPr w:rsidR="00E50CE9" w:rsidSect="00D313D5">
          <w:pgSz w:w="15840" w:h="12240" w:orient="landscape"/>
          <w:pgMar w:top="1440" w:right="1440" w:bottom="1440" w:left="1440" w:header="709" w:footer="709" w:gutter="0"/>
          <w:cols w:space="708"/>
          <w:docGrid w:linePitch="360"/>
        </w:sectPr>
      </w:pPr>
    </w:p>
    <w:p w14:paraId="729BD68F"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438165AD"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1AE4A278"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4B1E1FC5"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1CFBD7C2"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44AE26D7"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026D4946"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708C412B"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3D8BC17C"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1FA6AF52"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23AE6829"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1E9DECF3"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7DBCF96F" w14:textId="77777777" w:rsidR="007E0016" w:rsidRDefault="007E0016" w:rsidP="007E0016">
      <w:pPr>
        <w:spacing w:before="166" w:line="360" w:lineRule="auto"/>
        <w:jc w:val="right"/>
        <w:rPr>
          <w:rFonts w:ascii="Century Gothic" w:hAnsi="Century Gothic"/>
          <w:color w:val="8DD873" w:themeColor="accent6" w:themeTint="99"/>
          <w:sz w:val="36"/>
          <w:szCs w:val="36"/>
        </w:rPr>
      </w:pPr>
    </w:p>
    <w:p w14:paraId="51B11DFD" w14:textId="77777777" w:rsidR="007E0016" w:rsidRDefault="007E0016" w:rsidP="007E0016">
      <w:pPr>
        <w:spacing w:before="166" w:line="360" w:lineRule="auto"/>
        <w:rPr>
          <w:rFonts w:ascii="Century Gothic" w:hAnsi="Century Gothic"/>
          <w:b/>
          <w:bCs/>
          <w:color w:val="025850"/>
          <w:sz w:val="36"/>
          <w:szCs w:val="36"/>
        </w:rPr>
      </w:pPr>
    </w:p>
    <w:p w14:paraId="0E643AAB" w14:textId="77777777" w:rsidR="007E0016" w:rsidRDefault="007E0016" w:rsidP="007E0016">
      <w:pPr>
        <w:spacing w:before="166" w:line="360" w:lineRule="auto"/>
        <w:rPr>
          <w:rFonts w:ascii="Century Gothic" w:hAnsi="Century Gothic"/>
          <w:b/>
          <w:bCs/>
          <w:color w:val="025850"/>
          <w:sz w:val="36"/>
          <w:szCs w:val="36"/>
        </w:rPr>
      </w:pPr>
    </w:p>
    <w:p w14:paraId="344E3248" w14:textId="12D8488E" w:rsidR="007E0016" w:rsidRPr="007E0016" w:rsidRDefault="007E0016" w:rsidP="007E0016">
      <w:pPr>
        <w:spacing w:before="166" w:line="360" w:lineRule="auto"/>
        <w:rPr>
          <w:rFonts w:ascii="Century Gothic" w:hAnsi="Century Gothic"/>
          <w:b/>
          <w:bCs/>
          <w:color w:val="025850"/>
          <w:sz w:val="36"/>
          <w:szCs w:val="36"/>
        </w:rPr>
      </w:pPr>
      <w:r w:rsidRPr="007E0016">
        <w:rPr>
          <w:rFonts w:ascii="Century Gothic" w:hAnsi="Century Gothic"/>
          <w:b/>
          <w:bCs/>
          <w:color w:val="025850"/>
          <w:sz w:val="36"/>
          <w:szCs w:val="36"/>
        </w:rPr>
        <w:t>E</w:t>
      </w:r>
      <w:r>
        <w:rPr>
          <w:rFonts w:ascii="Century Gothic" w:hAnsi="Century Gothic"/>
          <w:b/>
          <w:bCs/>
          <w:color w:val="025850"/>
          <w:sz w:val="36"/>
          <w:szCs w:val="36"/>
        </w:rPr>
        <w:t>je</w:t>
      </w:r>
      <w:r w:rsidRPr="007E0016">
        <w:rPr>
          <w:rFonts w:ascii="Century Gothic" w:hAnsi="Century Gothic"/>
          <w:b/>
          <w:bCs/>
          <w:color w:val="025850"/>
          <w:sz w:val="36"/>
          <w:szCs w:val="36"/>
        </w:rPr>
        <w:t xml:space="preserve"> Transversal 1: Igualdad de </w:t>
      </w:r>
      <w:r>
        <w:rPr>
          <w:rFonts w:ascii="Century Gothic" w:hAnsi="Century Gothic"/>
          <w:b/>
          <w:bCs/>
          <w:color w:val="025850"/>
          <w:sz w:val="36"/>
          <w:szCs w:val="36"/>
        </w:rPr>
        <w:t>G</w:t>
      </w:r>
      <w:r w:rsidRPr="007E0016">
        <w:rPr>
          <w:rFonts w:ascii="Century Gothic" w:hAnsi="Century Gothic"/>
          <w:b/>
          <w:bCs/>
          <w:color w:val="025850"/>
          <w:sz w:val="36"/>
          <w:szCs w:val="36"/>
        </w:rPr>
        <w:t>énero</w:t>
      </w:r>
    </w:p>
    <w:p w14:paraId="1CB62B57" w14:textId="77777777" w:rsidR="007E0016" w:rsidRPr="007E0016" w:rsidRDefault="007E0016" w:rsidP="007E0016">
      <w:pPr>
        <w:spacing w:line="360" w:lineRule="auto"/>
        <w:jc w:val="both"/>
        <w:rPr>
          <w:rFonts w:ascii="Century Gothic" w:hAnsi="Century Gothic"/>
          <w:b/>
          <w:bCs/>
          <w:color w:val="025850"/>
        </w:rPr>
      </w:pPr>
    </w:p>
    <w:p w14:paraId="13A97CD4" w14:textId="77777777" w:rsidR="007E0016" w:rsidRPr="007E0016" w:rsidRDefault="007E0016" w:rsidP="007E0016">
      <w:pPr>
        <w:spacing w:after="160" w:line="360" w:lineRule="auto"/>
        <w:jc w:val="center"/>
        <w:rPr>
          <w:rFonts w:ascii="Century Gothic" w:hAnsi="Century Gothic"/>
          <w:b/>
          <w:bCs/>
          <w:color w:val="025850"/>
          <w:lang w:val="es-US"/>
        </w:rPr>
      </w:pPr>
      <w:r w:rsidRPr="007E0016">
        <w:rPr>
          <w:rFonts w:ascii="Century Gothic" w:hAnsi="Century Gothic"/>
          <w:b/>
          <w:bCs/>
          <w:color w:val="025850"/>
          <w:lang w:val="es-US"/>
        </w:rPr>
        <w:t>“La construcción de la igualdad de género requiere una alianza entre las mujeres y los hombres, y entre las comunidades y las instituciones”.</w:t>
      </w:r>
    </w:p>
    <w:p w14:paraId="68268AC9" w14:textId="13B18076" w:rsidR="007E0016" w:rsidRPr="007E0016" w:rsidRDefault="007E0016" w:rsidP="007E0016">
      <w:pPr>
        <w:spacing w:after="160" w:line="360" w:lineRule="auto"/>
        <w:jc w:val="center"/>
        <w:rPr>
          <w:rFonts w:ascii="Century Gothic" w:hAnsi="Century Gothic"/>
          <w:b/>
          <w:bCs/>
          <w:color w:val="025850"/>
          <w:lang w:val="es-US"/>
        </w:rPr>
      </w:pPr>
      <w:r w:rsidRPr="007E0016">
        <w:rPr>
          <w:rFonts w:ascii="Century Gothic" w:hAnsi="Century Gothic"/>
          <w:b/>
          <w:bCs/>
          <w:color w:val="025850"/>
          <w:lang w:val="es-US"/>
        </w:rPr>
        <w:t>Antropóloga, Diane Bell</w:t>
      </w:r>
    </w:p>
    <w:p w14:paraId="1B99EC3C" w14:textId="77777777" w:rsidR="007E0016" w:rsidRDefault="007E0016">
      <w:pPr>
        <w:rPr>
          <w:rFonts w:ascii="Century Gothic" w:hAnsi="Century Gothic"/>
          <w:color w:val="8DD873" w:themeColor="accent6" w:themeTint="99"/>
          <w:lang w:val="es-US"/>
        </w:rPr>
      </w:pPr>
      <w:r>
        <w:rPr>
          <w:rFonts w:ascii="Century Gothic" w:hAnsi="Century Gothic"/>
          <w:color w:val="8DD873" w:themeColor="accent6" w:themeTint="99"/>
          <w:lang w:val="es-US"/>
        </w:rPr>
        <w:br w:type="page"/>
      </w:r>
    </w:p>
    <w:p w14:paraId="7796B936" w14:textId="7389EB90" w:rsidR="007E0016" w:rsidRPr="007E0016" w:rsidRDefault="007E0016" w:rsidP="007E0016">
      <w:pPr>
        <w:spacing w:after="160" w:line="360" w:lineRule="auto"/>
        <w:jc w:val="both"/>
        <w:rPr>
          <w:rFonts w:ascii="Century Gothic" w:hAnsi="Century Gothic"/>
          <w:b/>
          <w:color w:val="025850"/>
          <w:sz w:val="22"/>
          <w:szCs w:val="22"/>
        </w:rPr>
      </w:pPr>
      <w:r w:rsidRPr="007E0016">
        <w:rPr>
          <w:rFonts w:ascii="Century Gothic" w:hAnsi="Century Gothic"/>
          <w:b/>
          <w:color w:val="025850"/>
          <w:sz w:val="22"/>
          <w:szCs w:val="22"/>
        </w:rPr>
        <w:lastRenderedPageBreak/>
        <w:t>Institucionalización y transversalización de la perspectiva de género.</w:t>
      </w:r>
    </w:p>
    <w:p w14:paraId="47065C35" w14:textId="55A7A4F8"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De acuerdo con la Ley General para la Igualdad entre Mujeres y Hombres, la perspectiva de género se refiere a la metodología y los mecanismos que permiten identificar, cuestionar y valorar la discriminación, desigualdad y exclusión de las mujeres, que se pretende justificar con base en las diferencias biológicas entre mujeres y hombres, así como las acciones que deben emprenderse para actuar sobre los factores de género y crear las condiciones de cambio que permitan avanzar en la construcción de la igualdad de género.</w:t>
      </w:r>
    </w:p>
    <w:p w14:paraId="21B5E4E0" w14:textId="4E0D6754"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Cuando se habla de perspectiva de género, se hace alusión a una herramienta conceptual que busca mostrar que las diferencias entre mujeres y hombres se dan no sólo por su determinación biológica, sino también por las diferencias culturales asignadas a los seres humanos. ¿Para qué sirve la perspectiva de género?</w:t>
      </w:r>
    </w:p>
    <w:p w14:paraId="396E4FE1" w14:textId="608D6BA2"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Mirar o analizar alguna situación desde la perspectiva de género permite entender que la vida de mujeres y hombres puede modificarse en la medida en que no está “naturalmente” determinada.</w:t>
      </w:r>
    </w:p>
    <w:p w14:paraId="5F09A1D9" w14:textId="6DB351F1"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 xml:space="preserve">Esta perspectiva ayuda a comprender más profundamente tanto la vida de las mujeres como la de los hombres y las relaciones que se dan entre ambos. </w:t>
      </w:r>
      <w:bookmarkStart w:id="12" w:name="_Hlk188455902"/>
      <w:r w:rsidRPr="007E0016">
        <w:rPr>
          <w:rFonts w:ascii="Century Gothic" w:hAnsi="Century Gothic"/>
          <w:sz w:val="22"/>
          <w:szCs w:val="22"/>
        </w:rPr>
        <w:t>Este enfoque cuestiona los estereotipos con que somos educados y abre la posibilidad de elaborar nuevos contenidos de socialización y relación entre los seres humanos.</w:t>
      </w:r>
      <w:bookmarkEnd w:id="12"/>
      <w:r w:rsidRPr="007E0016">
        <w:rPr>
          <w:rFonts w:ascii="Century Gothic" w:hAnsi="Century Gothic"/>
          <w:sz w:val="22"/>
          <w:szCs w:val="22"/>
        </w:rPr>
        <w:t xml:space="preserve"> El empleo de esta perspectiva plantea la necesidad de solucionar los desequilibrios que existen entre mujeres y hombres, mediante acciones como:</w:t>
      </w:r>
    </w:p>
    <w:p w14:paraId="122FCE12" w14:textId="135B8EA7"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Además, es necesario entender que la perspectiva de género mejora la vida de las personas, de las sociedades y de los países, enriqueciendo todos los ámbitos productivos, es decir, no se limita solamente a las políticas focalizadas a favor de las mujeres.</w:t>
      </w:r>
    </w:p>
    <w:p w14:paraId="7E42AD4B" w14:textId="3A7C5923"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bCs/>
          <w:sz w:val="22"/>
          <w:szCs w:val="22"/>
        </w:rPr>
        <w:t>Institucionalización y transversalización de la perspectiva de género</w:t>
      </w:r>
      <w:r w:rsidRPr="007E0016">
        <w:rPr>
          <w:rFonts w:ascii="Century Gothic" w:hAnsi="Century Gothic"/>
          <w:sz w:val="22"/>
          <w:szCs w:val="22"/>
        </w:rPr>
        <w:t xml:space="preserve">, se ha dado mediante el establecimiento de una política pública encaminada a generar capital social que con tribuya a la atención efectiva de la violencia feminicida y con ello la prevención del feminicidio en el territorio municipal, sin embargo, la evolución de la inseguridad entre las mujeres </w:t>
      </w:r>
      <w:r w:rsidRPr="007E0016">
        <w:rPr>
          <w:rFonts w:ascii="Century Gothic" w:hAnsi="Century Gothic"/>
          <w:sz w:val="22"/>
          <w:szCs w:val="22"/>
        </w:rPr>
        <w:lastRenderedPageBreak/>
        <w:t xml:space="preserve">nos obliga a ser todavía más asertivos, en este tema tan sensible que afecta a la sociedad en su conjunto. </w:t>
      </w:r>
    </w:p>
    <w:p w14:paraId="7A0A5729" w14:textId="4F745D98"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Buscamos promover y fomentar condiciones que posibiliten la no discriminación, la equidad, la igualdad de oportunidades y de trato entre los géneros mediante la implementación de la Policía de Género y Atención a Víctimas, dotándola de mecanismos y procedimientos tecnológicos para que su actuación se efectúe con eficiencia y profesionalismo en la detección, identificación, intervención, atención, protección y prevención de los casos de violencia de género que se presenten en nuestro municipio. Con esto reafirmamos nuestro compromiso de garantizar la seguridad de las mujeres islenses y decirles que no están solas.</w:t>
      </w:r>
    </w:p>
    <w:p w14:paraId="24EDBB7D" w14:textId="3E376DCE" w:rsidR="007E0016" w:rsidRP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 xml:space="preserve">En otro tenor y sumamente consciente de la trascendencia de una respuesta pronta frente a casos de desaparición de personas y como una demostración de humanidad y empatía, se ha con solidado en San Antonio la Isla, la Célula Municipal de Búsqueda de Personas Desaparecidas, esta instancia asume la responsabilidad inmediata ante las solicitudes de apoyo y reportes de desaparición dentro del municipio por parte de los </w:t>
      </w:r>
      <w:r w:rsidRPr="007E0016">
        <w:rPr>
          <w:rFonts w:ascii="Century Gothic" w:hAnsi="Century Gothic"/>
          <w:sz w:val="22"/>
          <w:szCs w:val="22"/>
        </w:rPr>
        <w:t xml:space="preserve">ciudadanos, además de colaborar con autoridades coordinando esfuerzos y recursos para la búsqueda y localización de personas reportadas como desaparecidas. </w:t>
      </w:r>
    </w:p>
    <w:p w14:paraId="4F3E80A7" w14:textId="2C671F29" w:rsidR="007E0016" w:rsidRDefault="007E0016" w:rsidP="007E0016">
      <w:pPr>
        <w:spacing w:line="360" w:lineRule="auto"/>
        <w:ind w:firstLine="708"/>
        <w:jc w:val="both"/>
        <w:rPr>
          <w:rFonts w:ascii="Century Gothic" w:hAnsi="Century Gothic"/>
          <w:sz w:val="22"/>
          <w:szCs w:val="22"/>
        </w:rPr>
      </w:pPr>
      <w:r w:rsidRPr="007E0016">
        <w:rPr>
          <w:rFonts w:ascii="Century Gothic" w:hAnsi="Century Gothic"/>
          <w:sz w:val="22"/>
          <w:szCs w:val="22"/>
        </w:rPr>
        <w:t>Los Integrantes de esta Célula están capacitados y especializados en la aplicación de los Protocolos Homologados para la Búsqueda de Personas, el Adicional a la Búsqueda de Niñas, Niños y Adolescentes, entre otros, para que la atención brindada a nuestra ciudadanía sea inmediata, integral y eficaz</w:t>
      </w:r>
    </w:p>
    <w:p w14:paraId="0330D4C8" w14:textId="2890AB1F" w:rsidR="007E0016" w:rsidRPr="007E0016" w:rsidRDefault="007E0016" w:rsidP="007E0016">
      <w:pPr>
        <w:spacing w:after="160" w:line="360" w:lineRule="auto"/>
        <w:jc w:val="both"/>
        <w:rPr>
          <w:rFonts w:ascii="Century Gothic" w:hAnsi="Century Gothic"/>
          <w:b/>
          <w:color w:val="025850"/>
          <w:sz w:val="22"/>
          <w:szCs w:val="22"/>
        </w:rPr>
      </w:pPr>
      <w:r w:rsidRPr="007E0016">
        <w:rPr>
          <w:rFonts w:ascii="Century Gothic" w:hAnsi="Century Gothic"/>
          <w:b/>
          <w:color w:val="025850"/>
          <w:sz w:val="22"/>
          <w:szCs w:val="22"/>
        </w:rPr>
        <w:t>Erradicación de la violencia contra las mujeres y acceso a la justicia</w:t>
      </w:r>
    </w:p>
    <w:p w14:paraId="035FAC51" w14:textId="77777777"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La violencia de género es un problema complejo que afecta profundamente a la sociedad, impidiendo el desarrollo pleno y equitativo de las mujeres y limitando sus oportunidades de vida. Erradicar la violencia contra las mujeres es uno de los principales desafíos que enfrenta el Estado y Municipios.</w:t>
      </w:r>
    </w:p>
    <w:p w14:paraId="086240A0" w14:textId="3DE50B7F"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Para atenderlo, es necesario implementar políticas gubernamentales transversales con enfoque multidimensional que incluyan la prevención, protección, </w:t>
      </w:r>
      <w:r w:rsidRPr="008C4EB3">
        <w:rPr>
          <w:rFonts w:ascii="Century Gothic" w:hAnsi="Century Gothic"/>
          <w:noProof/>
          <w:sz w:val="22"/>
          <w:szCs w:val="22"/>
          <w14:ligatures w14:val="standardContextual"/>
        </w:rPr>
        <w:lastRenderedPageBreak/>
        <w:drawing>
          <wp:anchor distT="0" distB="0" distL="114300" distR="114300" simplePos="0" relativeHeight="251728896" behindDoc="1" locked="0" layoutInCell="1" allowOverlap="1" wp14:anchorId="46A1F89A" wp14:editId="2685CDB6">
            <wp:simplePos x="0" y="0"/>
            <wp:positionH relativeFrom="column">
              <wp:posOffset>4330700</wp:posOffset>
            </wp:positionH>
            <wp:positionV relativeFrom="paragraph">
              <wp:posOffset>100330</wp:posOffset>
            </wp:positionV>
            <wp:extent cx="4551680" cy="2682875"/>
            <wp:effectExtent l="0" t="0" r="1270" b="3175"/>
            <wp:wrapSquare wrapText="bothSides"/>
            <wp:docPr id="430068435" name="Gráfico 1">
              <a:extLst xmlns:a="http://schemas.openxmlformats.org/drawingml/2006/main">
                <a:ext uri="{FF2B5EF4-FFF2-40B4-BE49-F238E27FC236}">
                  <a16:creationId xmlns:a16="http://schemas.microsoft.com/office/drawing/2014/main" id="{20F94623-2425-4ECA-B2C2-E6B02280AD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Pr="008C4EB3">
        <w:rPr>
          <w:rFonts w:ascii="Century Gothic" w:hAnsi="Century Gothic"/>
          <w:bCs/>
          <w:color w:val="000000" w:themeColor="text1"/>
          <w:sz w:val="22"/>
          <w:szCs w:val="22"/>
        </w:rPr>
        <w:t xml:space="preserve">sanción y reparación del daño. En este sentido, la instrumentación de normas efectivas, la capacitación de los cuerpos de seguridad y justicia, y la creación de espacios seguros son esenciales para combatir esta problemática. </w:t>
      </w:r>
    </w:p>
    <w:p w14:paraId="3C55F024" w14:textId="77777777"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Además, debe garantizarse que las víctimas accedan a la justicia de manera eficiente y con perspectiva de género. Asimismo, es fundamental impulsar el empoderamiento y la autonomía de las mujeres, niñas y adolescentes para romper los ciclos de violencia y discriminación. </w:t>
      </w:r>
    </w:p>
    <w:p w14:paraId="47EA5E3C" w14:textId="566EB937" w:rsidR="007E0016"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Para ello, es necesario impulsar la igualdad de condiciones en materia laboral, educativa, de participación social y política, así como garantizar el acceso a servicios integrales de salud; en suma, favorecer la igualdad sustantiva entre hombres y mujeres con la finalidad de asegurar que las mujeres puedan ejercer plenamente sus derechos y alcanzar su máximo potencial.</w:t>
      </w:r>
    </w:p>
    <w:p w14:paraId="70C45941" w14:textId="37A1107E" w:rsidR="007E0016" w:rsidRDefault="007E0016" w:rsidP="007E0016">
      <w:pPr>
        <w:spacing w:after="160" w:line="360" w:lineRule="auto"/>
        <w:ind w:firstLine="708"/>
        <w:jc w:val="both"/>
        <w:rPr>
          <w:rFonts w:ascii="Century Gothic" w:hAnsi="Century Gothic"/>
          <w:bCs/>
          <w:color w:val="000000" w:themeColor="text1"/>
          <w:sz w:val="22"/>
          <w:szCs w:val="22"/>
        </w:rPr>
      </w:pPr>
    </w:p>
    <w:p w14:paraId="7C4FE9CA" w14:textId="20C8EA10" w:rsidR="007E0016" w:rsidRDefault="007E0016" w:rsidP="007E0016">
      <w:pPr>
        <w:spacing w:after="160" w:line="360" w:lineRule="auto"/>
        <w:ind w:firstLine="708"/>
        <w:jc w:val="both"/>
        <w:rPr>
          <w:rFonts w:ascii="Century Gothic" w:hAnsi="Century Gothic"/>
          <w:bCs/>
          <w:color w:val="000000" w:themeColor="text1"/>
          <w:sz w:val="22"/>
          <w:szCs w:val="22"/>
        </w:rPr>
      </w:pPr>
    </w:p>
    <w:p w14:paraId="58C29569" w14:textId="77777777" w:rsidR="007E0016" w:rsidRDefault="007E0016" w:rsidP="007E0016">
      <w:pPr>
        <w:spacing w:after="160" w:line="360" w:lineRule="auto"/>
        <w:ind w:firstLine="708"/>
        <w:jc w:val="both"/>
        <w:rPr>
          <w:rFonts w:ascii="Century Gothic" w:hAnsi="Century Gothic"/>
          <w:bCs/>
          <w:color w:val="000000" w:themeColor="text1"/>
        </w:rPr>
      </w:pPr>
    </w:p>
    <w:p w14:paraId="3BEACF1C" w14:textId="77777777"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De acuerdo con los datos del Secretariado Ejecutivo del Sistema Nacional de Seguridad Pública (SESNSP), en el Estado de México, en los últimos cuatro años la incidencia delictiva de violencia de género6 se incrementó 195.3%, al pasar de 13 mil 671 delitos en 2019 a 40 mil 369 en 2023; es decir, 26 mil 698 delitos más.</w:t>
      </w:r>
    </w:p>
    <w:p w14:paraId="3A184994" w14:textId="77777777"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La incidencia delictiva de género de 2019 a 2023, en el municipio de San Antonio la Isla, su número de delitos fue de 241, cifra baja comparado con los municipios que integran la región Lerma.</w:t>
      </w:r>
    </w:p>
    <w:p w14:paraId="50CB7587" w14:textId="77777777" w:rsidR="007E0016" w:rsidRPr="008C4EB3" w:rsidRDefault="007E0016" w:rsidP="007E0016">
      <w:pPr>
        <w:spacing w:after="160" w:line="360" w:lineRule="auto"/>
        <w:jc w:val="both"/>
        <w:rPr>
          <w:rFonts w:ascii="Century Gothic" w:hAnsi="Century Gothic"/>
          <w:bCs/>
          <w:color w:val="000000" w:themeColor="text1"/>
          <w:sz w:val="22"/>
          <w:szCs w:val="22"/>
        </w:rPr>
      </w:pPr>
    </w:p>
    <w:p w14:paraId="4E61FB40" w14:textId="298B4587" w:rsidR="007E0016" w:rsidRPr="008C4EB3" w:rsidRDefault="007E0016" w:rsidP="007E0016">
      <w:pPr>
        <w:spacing w:after="160" w:line="360" w:lineRule="auto"/>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Fuente: COPLADEM (2024). Con información del Secretariado Ejecutivo del Sistema Nacional de Seguridad Pública. 2023</w:t>
      </w:r>
    </w:p>
    <w:p w14:paraId="1FF0942D" w14:textId="77777777"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Por otra parte, de acuerdo con la Comisión Nacional de los Derechos Humanos (CNDH), la Alerta de Violencia de Género contra las Mujeres (AVGM) es definida como el conjunto de acciones gubernamentales de emergencia para enfrentar y erradicar la violencia feminicida en un territorio determinado, ya sea ejercida por individuos o por la propia comunidad. </w:t>
      </w:r>
    </w:p>
    <w:p w14:paraId="76607550" w14:textId="5EF71EC3"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La AVGM se activa cuando existe un alto índice de violencia feminicida en las diferentes regiones o entidades del país y es además una modalidad específica que implica la combinación de diferentes tipos de violencia y modos de actuación que puede concluir con la vida de las mujeres por razones de género, tanto en la esfera privada, es decir, en la familia, como en la comunidad. Al respecto desde hace más de 10 años que el Municipio de San Antonio la Isla no ha emitido una AVGM, lo que demuestra que hemos instrumentados políticas públicas exitosas que protegen la integridad </w:t>
      </w:r>
      <w:r w:rsidRPr="008C4EB3">
        <w:rPr>
          <w:rFonts w:ascii="Century Gothic" w:hAnsi="Century Gothic"/>
          <w:bCs/>
          <w:color w:val="000000" w:themeColor="text1"/>
          <w:sz w:val="22"/>
          <w:szCs w:val="22"/>
        </w:rPr>
        <w:t>física, emocional, psicológica y patrimonial de las mujeres islenses.</w:t>
      </w:r>
    </w:p>
    <w:p w14:paraId="6D8183F5" w14:textId="77777777" w:rsidR="007E0016" w:rsidRPr="008C4EB3"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Para atender la AVGM, las autoridades del Gobierno del Estado de México y de los municipios considerados en el mecanismo, deberán llevar a cabo todas las acciones necesarias para prevenir, atender, investigar, sancionar y erradicar la violencia de género contra las mujeres en la entidad. En este sentido, el Estado de México cuenta con: </w:t>
      </w:r>
    </w:p>
    <w:p w14:paraId="1CB03EA0" w14:textId="77777777" w:rsidR="007E0016" w:rsidRPr="008C4EB3" w:rsidRDefault="007E0016" w:rsidP="0008767B">
      <w:pPr>
        <w:pStyle w:val="Prrafodelista"/>
        <w:numPr>
          <w:ilvl w:val="0"/>
          <w:numId w:val="61"/>
        </w:numPr>
        <w:spacing w:after="160" w:line="360" w:lineRule="auto"/>
        <w:jc w:val="both"/>
        <w:rPr>
          <w:rFonts w:ascii="Century Gothic" w:hAnsi="Century Gothic"/>
          <w:bCs/>
          <w:color w:val="000000" w:themeColor="text1"/>
          <w:sz w:val="22"/>
          <w:szCs w:val="22"/>
        </w:rPr>
      </w:pPr>
      <w:r w:rsidRPr="008C4EB3">
        <w:rPr>
          <w:rFonts w:ascii="Century Gothic" w:hAnsi="Century Gothic"/>
          <w:b/>
          <w:color w:val="000000" w:themeColor="text1"/>
          <w:sz w:val="22"/>
          <w:szCs w:val="22"/>
        </w:rPr>
        <w:t xml:space="preserve">Centros de Justicia para las Mujeres: </w:t>
      </w:r>
      <w:r w:rsidRPr="008C4EB3">
        <w:rPr>
          <w:rFonts w:ascii="Century Gothic" w:hAnsi="Century Gothic"/>
          <w:bCs/>
          <w:color w:val="000000" w:themeColor="text1"/>
          <w:sz w:val="22"/>
          <w:szCs w:val="22"/>
        </w:rPr>
        <w:t xml:space="preserve">actualmente operan en el Estado de México cuatro Centros de Justicia para las Mujeres que dependen de la Fiscalía General de Justicia del Estado de México, ubicados en Toluca, Cuautitlán Izcalli, Amecameca y Ecatepec. </w:t>
      </w:r>
    </w:p>
    <w:p w14:paraId="305F33E7" w14:textId="77777777" w:rsidR="007E0016" w:rsidRPr="008C4EB3" w:rsidRDefault="007E0016" w:rsidP="0008767B">
      <w:pPr>
        <w:pStyle w:val="Prrafodelista"/>
        <w:numPr>
          <w:ilvl w:val="0"/>
          <w:numId w:val="61"/>
        </w:numPr>
        <w:spacing w:after="160" w:line="360" w:lineRule="auto"/>
        <w:jc w:val="both"/>
        <w:rPr>
          <w:rFonts w:ascii="Century Gothic" w:hAnsi="Century Gothic"/>
          <w:bCs/>
          <w:color w:val="000000" w:themeColor="text1"/>
          <w:sz w:val="22"/>
          <w:szCs w:val="22"/>
        </w:rPr>
      </w:pPr>
      <w:r w:rsidRPr="008C4EB3">
        <w:rPr>
          <w:rFonts w:ascii="Century Gothic" w:hAnsi="Century Gothic"/>
          <w:b/>
          <w:color w:val="000000" w:themeColor="text1"/>
          <w:sz w:val="22"/>
          <w:szCs w:val="22"/>
        </w:rPr>
        <w:t>Unidad de Análisis y Contexto:</w:t>
      </w:r>
      <w:r w:rsidRPr="008C4EB3">
        <w:rPr>
          <w:rFonts w:ascii="Century Gothic" w:hAnsi="Century Gothic"/>
          <w:bCs/>
          <w:color w:val="000000" w:themeColor="text1"/>
          <w:sz w:val="22"/>
          <w:szCs w:val="22"/>
        </w:rPr>
        <w:t xml:space="preserve"> lleva a cabo la investigación de delitos vinculados a feminicidios y opera al interior de la Fiscalía General de Justicia del Estado de México. </w:t>
      </w:r>
    </w:p>
    <w:p w14:paraId="4F56EC19" w14:textId="77777777" w:rsidR="007E0016" w:rsidRPr="008C4EB3" w:rsidRDefault="007E0016" w:rsidP="0008767B">
      <w:pPr>
        <w:pStyle w:val="Prrafodelista"/>
        <w:numPr>
          <w:ilvl w:val="0"/>
          <w:numId w:val="61"/>
        </w:numPr>
        <w:spacing w:after="160" w:line="360" w:lineRule="auto"/>
        <w:jc w:val="both"/>
        <w:rPr>
          <w:rFonts w:ascii="Century Gothic" w:hAnsi="Century Gothic"/>
          <w:bCs/>
          <w:color w:val="000000" w:themeColor="text1"/>
          <w:sz w:val="22"/>
          <w:szCs w:val="22"/>
        </w:rPr>
      </w:pPr>
      <w:r w:rsidRPr="008C4EB3">
        <w:rPr>
          <w:rFonts w:ascii="Century Gothic" w:hAnsi="Century Gothic"/>
          <w:b/>
          <w:color w:val="000000" w:themeColor="text1"/>
          <w:sz w:val="22"/>
          <w:szCs w:val="22"/>
        </w:rPr>
        <w:t>Banco de Datos de Violencia contra las Mujeres:</w:t>
      </w:r>
      <w:r w:rsidRPr="008C4EB3">
        <w:rPr>
          <w:rFonts w:ascii="Century Gothic" w:hAnsi="Century Gothic"/>
          <w:bCs/>
          <w:color w:val="000000" w:themeColor="text1"/>
          <w:sz w:val="22"/>
          <w:szCs w:val="22"/>
        </w:rPr>
        <w:t xml:space="preserve"> opera con la finalidad de tener control y registro de los casos de violencia, así como para </w:t>
      </w:r>
      <w:r w:rsidRPr="008C4EB3">
        <w:rPr>
          <w:rFonts w:ascii="Century Gothic" w:hAnsi="Century Gothic"/>
          <w:bCs/>
          <w:color w:val="000000" w:themeColor="text1"/>
          <w:sz w:val="22"/>
          <w:szCs w:val="22"/>
        </w:rPr>
        <w:lastRenderedPageBreak/>
        <w:t>coadyuvar en la detección, atención, prevención y erradicación de la violencia contra las mujeres.</w:t>
      </w:r>
    </w:p>
    <w:p w14:paraId="54AC6A59" w14:textId="77777777" w:rsidR="007E0016" w:rsidRPr="008C4EB3" w:rsidRDefault="007E0016" w:rsidP="0008767B">
      <w:pPr>
        <w:pStyle w:val="Prrafodelista"/>
        <w:numPr>
          <w:ilvl w:val="0"/>
          <w:numId w:val="61"/>
        </w:numPr>
        <w:spacing w:after="160" w:line="360" w:lineRule="auto"/>
        <w:jc w:val="both"/>
        <w:rPr>
          <w:rFonts w:ascii="Century Gothic" w:hAnsi="Century Gothic"/>
          <w:bCs/>
          <w:color w:val="000000" w:themeColor="text1"/>
          <w:sz w:val="22"/>
          <w:szCs w:val="22"/>
        </w:rPr>
      </w:pPr>
      <w:r w:rsidRPr="008C4EB3">
        <w:rPr>
          <w:rFonts w:ascii="Century Gothic" w:hAnsi="Century Gothic"/>
          <w:b/>
          <w:color w:val="000000" w:themeColor="text1"/>
          <w:sz w:val="22"/>
          <w:szCs w:val="22"/>
        </w:rPr>
        <w:t>Albergues Temporales y Unidades de Atención:</w:t>
      </w:r>
      <w:r w:rsidRPr="008C4EB3">
        <w:rPr>
          <w:rFonts w:ascii="Century Gothic" w:hAnsi="Century Gothic"/>
          <w:bCs/>
          <w:color w:val="000000" w:themeColor="text1"/>
          <w:sz w:val="22"/>
          <w:szCs w:val="22"/>
        </w:rPr>
        <w:t xml:space="preserve"> la entidad cuenta con 13 Unidades de Atención para Mujeres, sus Hijas e Hijos en situación de Violencia para recibir apoyo y solicitar albergue.</w:t>
      </w:r>
    </w:p>
    <w:p w14:paraId="7578CE6B" w14:textId="77777777" w:rsidR="007E0016" w:rsidRPr="008C4EB3" w:rsidRDefault="007E0016" w:rsidP="0008767B">
      <w:pPr>
        <w:pStyle w:val="Prrafodelista"/>
        <w:numPr>
          <w:ilvl w:val="0"/>
          <w:numId w:val="61"/>
        </w:numPr>
        <w:spacing w:after="160" w:line="360" w:lineRule="auto"/>
        <w:jc w:val="both"/>
        <w:rPr>
          <w:rFonts w:ascii="Century Gothic" w:hAnsi="Century Gothic"/>
          <w:bCs/>
          <w:color w:val="000000" w:themeColor="text1"/>
          <w:sz w:val="22"/>
          <w:szCs w:val="22"/>
        </w:rPr>
      </w:pPr>
      <w:r w:rsidRPr="008C4EB3">
        <w:rPr>
          <w:rFonts w:ascii="Century Gothic" w:hAnsi="Century Gothic"/>
          <w:b/>
          <w:color w:val="000000" w:themeColor="text1"/>
          <w:sz w:val="22"/>
          <w:szCs w:val="22"/>
        </w:rPr>
        <w:t xml:space="preserve">Acciones de prevención y sensibilización: </w:t>
      </w:r>
      <w:r w:rsidRPr="008C4EB3">
        <w:rPr>
          <w:rFonts w:ascii="Century Gothic" w:hAnsi="Century Gothic"/>
          <w:bCs/>
          <w:color w:val="000000" w:themeColor="text1"/>
          <w:sz w:val="22"/>
          <w:szCs w:val="22"/>
        </w:rPr>
        <w:t>a través de la Comisión Ejecutiva de Atención a Víctimas y de la Secretaría de las Mujeres, el Estado de México realiza conferencias y capacitaciones para prevenir y erradicar la violencia de género.</w:t>
      </w:r>
    </w:p>
    <w:p w14:paraId="3693C2E7" w14:textId="77777777" w:rsidR="007E0016" w:rsidRPr="008C4EB3" w:rsidRDefault="007E0016" w:rsidP="0008767B">
      <w:pPr>
        <w:pStyle w:val="Prrafodelista"/>
        <w:numPr>
          <w:ilvl w:val="0"/>
          <w:numId w:val="61"/>
        </w:numPr>
        <w:spacing w:after="160" w:line="360" w:lineRule="auto"/>
        <w:jc w:val="both"/>
        <w:rPr>
          <w:rFonts w:ascii="Century Gothic" w:hAnsi="Century Gothic"/>
          <w:bCs/>
          <w:color w:val="000000" w:themeColor="text1"/>
          <w:sz w:val="22"/>
          <w:szCs w:val="22"/>
        </w:rPr>
      </w:pPr>
      <w:r w:rsidRPr="008C4EB3">
        <w:rPr>
          <w:rFonts w:ascii="Century Gothic" w:hAnsi="Century Gothic"/>
          <w:b/>
          <w:color w:val="000000" w:themeColor="text1"/>
          <w:sz w:val="22"/>
          <w:szCs w:val="22"/>
        </w:rPr>
        <w:t>Becas para hijos de mujeres víctimas de violencia:</w:t>
      </w:r>
      <w:r w:rsidRPr="008C4EB3">
        <w:rPr>
          <w:rFonts w:ascii="Century Gothic" w:hAnsi="Century Gothic"/>
          <w:bCs/>
          <w:color w:val="000000" w:themeColor="text1"/>
          <w:sz w:val="22"/>
          <w:szCs w:val="22"/>
        </w:rPr>
        <w:t xml:space="preserve"> la Comisión Ejecutiva de Atención a Víctimas del Estado de México y la Secretaría de Educación otorgan estímulos económicos para menores hijos de madres desaparecidas, víctimas de feminicidio u homicidio doloso. </w:t>
      </w:r>
    </w:p>
    <w:p w14:paraId="5DA8DE46" w14:textId="77777777" w:rsidR="007E0016" w:rsidRPr="008C4EB3" w:rsidRDefault="007E0016" w:rsidP="007E0016">
      <w:pPr>
        <w:spacing w:after="160" w:line="360" w:lineRule="auto"/>
        <w:jc w:val="both"/>
        <w:rPr>
          <w:rFonts w:ascii="Century Gothic" w:hAnsi="Century Gothic"/>
          <w:bCs/>
          <w:color w:val="000000" w:themeColor="text1"/>
          <w:sz w:val="22"/>
          <w:szCs w:val="22"/>
        </w:rPr>
      </w:pPr>
    </w:p>
    <w:p w14:paraId="326412C6" w14:textId="49640D0F" w:rsidR="007E0016" w:rsidRDefault="007E0016" w:rsidP="007E0016">
      <w:pPr>
        <w:spacing w:after="160"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Además, con el fin de proporcionar una respuesta rápida y eficaz a las personas que enfrentan situaciones de emergencia en contexto de violencia de género, abuso, y otras formas de violencia, se crearon las </w:t>
      </w:r>
      <w:r w:rsidRPr="008C4EB3">
        <w:rPr>
          <w:rFonts w:ascii="Century Gothic" w:hAnsi="Century Gothic"/>
          <w:bCs/>
          <w:color w:val="000000" w:themeColor="text1"/>
          <w:sz w:val="22"/>
          <w:szCs w:val="22"/>
        </w:rPr>
        <w:t>Unidades de Atención Inmediata y Primer Contacto, áreas encargadas de brindar una atención oportuna a las víctimas de delitos y de violaciones a los derechos humanos, a través de servicios de ayuda y atención inmediata en materia psicológica, médica, orientación legal y de trabajo social de emergencia.</w:t>
      </w:r>
    </w:p>
    <w:p w14:paraId="5669B240" w14:textId="0916643A" w:rsidR="007E0016" w:rsidRPr="007E0016" w:rsidRDefault="007E0016" w:rsidP="007E0016">
      <w:pPr>
        <w:spacing w:after="160" w:line="360" w:lineRule="auto"/>
        <w:jc w:val="both"/>
        <w:rPr>
          <w:rFonts w:ascii="Century Gothic" w:hAnsi="Century Gothic"/>
          <w:b/>
          <w:color w:val="025850"/>
          <w:sz w:val="22"/>
          <w:szCs w:val="22"/>
        </w:rPr>
      </w:pPr>
      <w:r w:rsidRPr="007E0016">
        <w:rPr>
          <w:rFonts w:ascii="Century Gothic" w:hAnsi="Century Gothic"/>
          <w:b/>
          <w:color w:val="025850"/>
          <w:sz w:val="22"/>
          <w:szCs w:val="22"/>
        </w:rPr>
        <w:t>Educación y salud con perspectiva de género</w:t>
      </w:r>
    </w:p>
    <w:p w14:paraId="77E541B2" w14:textId="3B0FBC11"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“La educación con una perspectiva de género se traduce en aquella dirigida a crear una cultura de la diversidad y tolerancia, lo que definitivamente se refiere al ser humano, a aceptarlo tal y como es, y no como los prejuicios y estereotipos socioculturales, que marcan en muchas ocasiones limitativa y peyorativamente; esto se refiere al reconocimiento y protección de la dignidad humana.</w:t>
      </w:r>
    </w:p>
    <w:p w14:paraId="3CC6B64C" w14:textId="7BCD3FA7"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 xml:space="preserve">La valoración que hacemos de las personas se traduce en la diferencia, que a su vez nos lleva a estructurar individual o colectivamente la diversidad; entonces ¿en dónde encuentra fundamento, u origen, la intolerancia y la discriminación?, pues precisamente, en la valoración. </w:t>
      </w:r>
    </w:p>
    <w:p w14:paraId="3F915CA7" w14:textId="65AEBE73"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lastRenderedPageBreak/>
        <w:t>Por otra parte, es la diversidad la que nos permite entendernos como seres originales, pero definitivamente con la misma esencia; razón por la cual no deben establecerse diferencias, jerarquías y prejuicios por cuestiones de sexo, orientación sexual e identidad de género, edad, estado civil, origen étnico o social, etcétera, como señalan los instrumentos internacionales de derechos humanos.</w:t>
      </w:r>
    </w:p>
    <w:p w14:paraId="469C4264" w14:textId="77777777"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A través de esta herramienta, es decir, la educación, no se pretende cambiar de una sociedad patriarcal a una matriarcal; o de una heterosexual a una homosexual; es decir, sólo cambiar de manos el ejercicio del poder. Por el contrario, se trata de crear una sociedad que permita que ambos se vean a sí mismos como seres humanos iguales, complementos, compañeros de vida, y no como competencia, inferior o subordinado en la convivencia diaria; esto es, se pretende modificar las ideas de dominio, prejuicio y des- igualdad, para lograr que todos nos visualicemos, nos entendamos y nos respetemos en condiciones de igualdad.</w:t>
      </w:r>
    </w:p>
    <w:p w14:paraId="73ABDA5B" w14:textId="77777777" w:rsidR="007E0016" w:rsidRPr="008C4EB3" w:rsidRDefault="007E0016" w:rsidP="007E0016">
      <w:pPr>
        <w:spacing w:line="360" w:lineRule="auto"/>
        <w:ind w:firstLine="708"/>
        <w:jc w:val="both"/>
        <w:rPr>
          <w:rFonts w:ascii="Century Gothic" w:hAnsi="Century Gothic"/>
          <w:sz w:val="22"/>
          <w:szCs w:val="22"/>
        </w:rPr>
      </w:pPr>
    </w:p>
    <w:p w14:paraId="3CE7FEEB" w14:textId="0C0FEFDE"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La discriminación y violencia de la que son objeto tanto las mujeres como los grupos LGBT+ se identifican como actos que atentan contra los derechos humanos, en este caso particular, y que son consecuencia de procesos educativos y formativos que sirven a la reproducción de tales fenómenos, los que encuentran su base en una cultura en la que las relaciones de poder, discriminación y violencia desproporcionadas justifican y perpetúan la subordinación, exclusión e invisibilidad de estos grupos. La conciencia de género es fundamental en la educación para la formación y participación cívica, social, económica, cultural y política, tanto de la mujer como de las personas LGBT+, en condiciones de igualdad”.</w:t>
      </w:r>
    </w:p>
    <w:p w14:paraId="2B2B3FC2" w14:textId="77777777"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En el Estado de México, cuya población femenina y masculina es una de las más representativas, en términos de análisis sociodemográfico a nivel nacional, la educación con perspectiva de género está pendiente y tiene un rezago considerable, que tiene su origen en la discriminación de género, en ocasiones causada por tradiciones, cultura, estereotipos, prejuicios, entre otros factores.</w:t>
      </w:r>
    </w:p>
    <w:p w14:paraId="3539CCC5" w14:textId="77777777" w:rsidR="007E0016" w:rsidRPr="008C4EB3" w:rsidRDefault="007E0016" w:rsidP="007E0016">
      <w:pPr>
        <w:spacing w:line="360" w:lineRule="auto"/>
        <w:rPr>
          <w:rFonts w:ascii="Century Gothic" w:hAnsi="Century Gothic"/>
          <w:sz w:val="22"/>
          <w:szCs w:val="22"/>
        </w:rPr>
      </w:pPr>
    </w:p>
    <w:p w14:paraId="05716C80" w14:textId="77777777"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La Zona V: Valle de Toluca es una de las zonas con los indicadores de educación con mayor rezago en mujeres. Esto se ve reflejado en la existencia de 65,301 mexiquenses analfabetas, de los cuales el 68.85% son mujeres y el 31.15% son hombres.</w:t>
      </w:r>
    </w:p>
    <w:p w14:paraId="5C61C716" w14:textId="77777777" w:rsidR="007E0016" w:rsidRPr="007E0016" w:rsidRDefault="007E0016" w:rsidP="007E0016">
      <w:pPr>
        <w:spacing w:line="360" w:lineRule="auto"/>
        <w:ind w:firstLine="708"/>
        <w:jc w:val="center"/>
        <w:rPr>
          <w:rFonts w:ascii="Century Gothic" w:hAnsi="Century Gothic"/>
          <w:b/>
          <w:bCs/>
          <w:color w:val="025850"/>
          <w:sz w:val="22"/>
          <w:szCs w:val="22"/>
        </w:rPr>
      </w:pPr>
      <w:r w:rsidRPr="007E0016">
        <w:rPr>
          <w:rFonts w:ascii="Century Gothic" w:hAnsi="Century Gothic"/>
          <w:b/>
          <w:bCs/>
          <w:color w:val="025850"/>
          <w:sz w:val="22"/>
          <w:szCs w:val="22"/>
        </w:rPr>
        <w:t>Población Analfabeta Zona V: Valle de Toluca</w:t>
      </w:r>
    </w:p>
    <w:tbl>
      <w:tblPr>
        <w:tblStyle w:val="Tabladelista3-nfasis2"/>
        <w:tblW w:w="5000" w:type="pct"/>
        <w:tblLook w:val="04A0" w:firstRow="1" w:lastRow="0" w:firstColumn="1" w:lastColumn="0" w:noHBand="0" w:noVBand="1"/>
      </w:tblPr>
      <w:tblGrid>
        <w:gridCol w:w="2346"/>
        <w:gridCol w:w="1885"/>
        <w:gridCol w:w="1885"/>
      </w:tblGrid>
      <w:tr w:rsidR="007E0016" w:rsidRPr="007E0016" w14:paraId="2FFF4E55" w14:textId="77777777" w:rsidTr="007E00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8" w:type="pct"/>
            <w:hideMark/>
          </w:tcPr>
          <w:p w14:paraId="65FE681B" w14:textId="77777777" w:rsidR="007E0016" w:rsidRPr="007E0016" w:rsidRDefault="007E0016" w:rsidP="007E0016">
            <w:pPr>
              <w:spacing w:line="360" w:lineRule="auto"/>
              <w:jc w:val="center"/>
              <w:rPr>
                <w:rFonts w:ascii="Century Gothic" w:hAnsi="Century Gothic"/>
                <w:b w:val="0"/>
                <w:bCs w:val="0"/>
                <w:sz w:val="20"/>
                <w:szCs w:val="20"/>
              </w:rPr>
            </w:pPr>
          </w:p>
          <w:p w14:paraId="6BECB8E2" w14:textId="77777777" w:rsidR="007E0016" w:rsidRPr="007E0016" w:rsidRDefault="007E0016" w:rsidP="007E0016">
            <w:pPr>
              <w:spacing w:line="360" w:lineRule="auto"/>
              <w:jc w:val="center"/>
              <w:rPr>
                <w:rFonts w:ascii="Century Gothic" w:hAnsi="Century Gothic"/>
                <w:sz w:val="20"/>
                <w:szCs w:val="20"/>
              </w:rPr>
            </w:pPr>
            <w:r w:rsidRPr="007E0016">
              <w:rPr>
                <w:rFonts w:ascii="Century Gothic" w:hAnsi="Century Gothic"/>
                <w:sz w:val="20"/>
                <w:szCs w:val="20"/>
              </w:rPr>
              <w:t>Región 16</w:t>
            </w:r>
          </w:p>
        </w:tc>
        <w:tc>
          <w:tcPr>
            <w:tcW w:w="1541" w:type="pct"/>
            <w:hideMark/>
          </w:tcPr>
          <w:p w14:paraId="737DB793" w14:textId="77777777" w:rsidR="007E0016" w:rsidRPr="007E0016" w:rsidRDefault="007E0016" w:rsidP="007E0016">
            <w:pPr>
              <w:spacing w:line="360"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Mujeres en condición de analfabetismo</w:t>
            </w:r>
          </w:p>
        </w:tc>
        <w:tc>
          <w:tcPr>
            <w:tcW w:w="1541" w:type="pct"/>
            <w:hideMark/>
          </w:tcPr>
          <w:p w14:paraId="38F87DCF" w14:textId="77777777" w:rsidR="007E0016" w:rsidRPr="007E0016" w:rsidRDefault="007E0016" w:rsidP="007E0016">
            <w:pPr>
              <w:spacing w:line="360" w:lineRule="auto"/>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Hombres en condición de analfabetismo</w:t>
            </w:r>
          </w:p>
        </w:tc>
      </w:tr>
      <w:tr w:rsidR="007E0016" w:rsidRPr="007E0016" w14:paraId="28C3AFBB" w14:textId="77777777" w:rsidTr="007E0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hideMark/>
          </w:tcPr>
          <w:p w14:paraId="706CEE70"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Atizapán</w:t>
            </w:r>
          </w:p>
        </w:tc>
        <w:tc>
          <w:tcPr>
            <w:tcW w:w="1541" w:type="pct"/>
            <w:hideMark/>
          </w:tcPr>
          <w:p w14:paraId="1E043D8B"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191</w:t>
            </w:r>
          </w:p>
        </w:tc>
        <w:tc>
          <w:tcPr>
            <w:tcW w:w="1541" w:type="pct"/>
            <w:hideMark/>
          </w:tcPr>
          <w:p w14:paraId="23B9C4E8"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116</w:t>
            </w:r>
          </w:p>
        </w:tc>
      </w:tr>
      <w:tr w:rsidR="007E0016" w:rsidRPr="007E0016" w14:paraId="0AC0EC62" w14:textId="77777777" w:rsidTr="007E0016">
        <w:tc>
          <w:tcPr>
            <w:cnfStyle w:val="001000000000" w:firstRow="0" w:lastRow="0" w:firstColumn="1" w:lastColumn="0" w:oddVBand="0" w:evenVBand="0" w:oddHBand="0" w:evenHBand="0" w:firstRowFirstColumn="0" w:firstRowLastColumn="0" w:lastRowFirstColumn="0" w:lastRowLastColumn="0"/>
            <w:tcW w:w="1918" w:type="pct"/>
          </w:tcPr>
          <w:p w14:paraId="76395C4B"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Capulhuac</w:t>
            </w:r>
          </w:p>
        </w:tc>
        <w:tc>
          <w:tcPr>
            <w:tcW w:w="1541" w:type="pct"/>
          </w:tcPr>
          <w:p w14:paraId="11968E67"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428</w:t>
            </w:r>
          </w:p>
        </w:tc>
        <w:tc>
          <w:tcPr>
            <w:tcW w:w="1541" w:type="pct"/>
          </w:tcPr>
          <w:p w14:paraId="57E1C149"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224</w:t>
            </w:r>
          </w:p>
        </w:tc>
      </w:tr>
      <w:tr w:rsidR="007E0016" w:rsidRPr="007E0016" w14:paraId="7A7F929A" w14:textId="77777777" w:rsidTr="007E0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hideMark/>
          </w:tcPr>
          <w:p w14:paraId="26391D6E"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Almoloya del Río</w:t>
            </w:r>
          </w:p>
        </w:tc>
        <w:tc>
          <w:tcPr>
            <w:tcW w:w="1541" w:type="pct"/>
            <w:hideMark/>
          </w:tcPr>
          <w:p w14:paraId="782AD6C8"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191</w:t>
            </w:r>
          </w:p>
        </w:tc>
        <w:tc>
          <w:tcPr>
            <w:tcW w:w="1541" w:type="pct"/>
            <w:hideMark/>
          </w:tcPr>
          <w:p w14:paraId="1E7E9DFC"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109</w:t>
            </w:r>
          </w:p>
        </w:tc>
      </w:tr>
      <w:tr w:rsidR="007E0016" w:rsidRPr="007E0016" w14:paraId="4B0BB4E3" w14:textId="77777777" w:rsidTr="007E0016">
        <w:tc>
          <w:tcPr>
            <w:cnfStyle w:val="001000000000" w:firstRow="0" w:lastRow="0" w:firstColumn="1" w:lastColumn="0" w:oddVBand="0" w:evenVBand="0" w:oddHBand="0" w:evenHBand="0" w:firstRowFirstColumn="0" w:firstRowLastColumn="0" w:lastRowFirstColumn="0" w:lastRowLastColumn="0"/>
            <w:tcW w:w="1918" w:type="pct"/>
            <w:hideMark/>
          </w:tcPr>
          <w:p w14:paraId="0B2817C8"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Lerma</w:t>
            </w:r>
          </w:p>
        </w:tc>
        <w:tc>
          <w:tcPr>
            <w:tcW w:w="1541" w:type="pct"/>
            <w:hideMark/>
          </w:tcPr>
          <w:p w14:paraId="1C25149F"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2,346</w:t>
            </w:r>
          </w:p>
        </w:tc>
        <w:tc>
          <w:tcPr>
            <w:tcW w:w="1541" w:type="pct"/>
            <w:hideMark/>
          </w:tcPr>
          <w:p w14:paraId="5594DDBE"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1,107</w:t>
            </w:r>
          </w:p>
        </w:tc>
      </w:tr>
      <w:tr w:rsidR="007E0016" w:rsidRPr="007E0016" w14:paraId="587D765E" w14:textId="77777777" w:rsidTr="007E0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hideMark/>
          </w:tcPr>
          <w:p w14:paraId="1B2753C4"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Ocoyoacac</w:t>
            </w:r>
          </w:p>
        </w:tc>
        <w:tc>
          <w:tcPr>
            <w:tcW w:w="1541" w:type="pct"/>
            <w:hideMark/>
          </w:tcPr>
          <w:p w14:paraId="4EC53DE0"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974</w:t>
            </w:r>
          </w:p>
        </w:tc>
        <w:tc>
          <w:tcPr>
            <w:tcW w:w="1541" w:type="pct"/>
            <w:hideMark/>
          </w:tcPr>
          <w:p w14:paraId="7FE392A3"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372</w:t>
            </w:r>
          </w:p>
        </w:tc>
      </w:tr>
      <w:tr w:rsidR="007E0016" w:rsidRPr="007E0016" w14:paraId="2B2F6317" w14:textId="77777777" w:rsidTr="007E0016">
        <w:tc>
          <w:tcPr>
            <w:cnfStyle w:val="001000000000" w:firstRow="0" w:lastRow="0" w:firstColumn="1" w:lastColumn="0" w:oddVBand="0" w:evenVBand="0" w:oddHBand="0" w:evenHBand="0" w:firstRowFirstColumn="0" w:firstRowLastColumn="0" w:lastRowFirstColumn="0" w:lastRowLastColumn="0"/>
            <w:tcW w:w="1918" w:type="pct"/>
            <w:hideMark/>
          </w:tcPr>
          <w:p w14:paraId="6032D76D"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San Antonio la Isla</w:t>
            </w:r>
          </w:p>
        </w:tc>
        <w:tc>
          <w:tcPr>
            <w:tcW w:w="1541" w:type="pct"/>
            <w:hideMark/>
          </w:tcPr>
          <w:p w14:paraId="197F644A"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258</w:t>
            </w:r>
          </w:p>
        </w:tc>
        <w:tc>
          <w:tcPr>
            <w:tcW w:w="1541" w:type="pct"/>
            <w:hideMark/>
          </w:tcPr>
          <w:p w14:paraId="47372FBE"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148</w:t>
            </w:r>
          </w:p>
        </w:tc>
      </w:tr>
      <w:tr w:rsidR="007E0016" w:rsidRPr="007E0016" w14:paraId="60E34278" w14:textId="77777777" w:rsidTr="007E0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hideMark/>
          </w:tcPr>
          <w:p w14:paraId="53F945BE"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Texcalyacac</w:t>
            </w:r>
          </w:p>
        </w:tc>
        <w:tc>
          <w:tcPr>
            <w:tcW w:w="1541" w:type="pct"/>
            <w:hideMark/>
          </w:tcPr>
          <w:p w14:paraId="1CF56271"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43</w:t>
            </w:r>
          </w:p>
        </w:tc>
        <w:tc>
          <w:tcPr>
            <w:tcW w:w="1541" w:type="pct"/>
            <w:hideMark/>
          </w:tcPr>
          <w:p w14:paraId="0CCE496B"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24</w:t>
            </w:r>
          </w:p>
        </w:tc>
      </w:tr>
      <w:tr w:rsidR="007E0016" w:rsidRPr="007E0016" w14:paraId="3C3415E5" w14:textId="77777777" w:rsidTr="007E0016">
        <w:tc>
          <w:tcPr>
            <w:cnfStyle w:val="001000000000" w:firstRow="0" w:lastRow="0" w:firstColumn="1" w:lastColumn="0" w:oddVBand="0" w:evenVBand="0" w:oddHBand="0" w:evenHBand="0" w:firstRowFirstColumn="0" w:firstRowLastColumn="0" w:lastRowFirstColumn="0" w:lastRowLastColumn="0"/>
            <w:tcW w:w="1918" w:type="pct"/>
            <w:hideMark/>
          </w:tcPr>
          <w:p w14:paraId="0979E311"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Tianguistenco</w:t>
            </w:r>
          </w:p>
        </w:tc>
        <w:tc>
          <w:tcPr>
            <w:tcW w:w="1541" w:type="pct"/>
            <w:hideMark/>
          </w:tcPr>
          <w:p w14:paraId="2408C51D"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1,230</w:t>
            </w:r>
          </w:p>
        </w:tc>
        <w:tc>
          <w:tcPr>
            <w:tcW w:w="1541" w:type="pct"/>
            <w:hideMark/>
          </w:tcPr>
          <w:p w14:paraId="7F7EBD60" w14:textId="77777777" w:rsidR="007E0016" w:rsidRPr="007E0016" w:rsidRDefault="007E0016" w:rsidP="007E0016">
            <w:pPr>
              <w:spacing w:line="360"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630</w:t>
            </w:r>
          </w:p>
        </w:tc>
      </w:tr>
      <w:tr w:rsidR="007E0016" w:rsidRPr="007E0016" w14:paraId="0F150CC6" w14:textId="77777777" w:rsidTr="007E0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8" w:type="pct"/>
            <w:hideMark/>
          </w:tcPr>
          <w:p w14:paraId="3538BC26" w14:textId="77777777" w:rsidR="007E0016" w:rsidRPr="007E0016" w:rsidRDefault="007E0016" w:rsidP="007E0016">
            <w:pPr>
              <w:spacing w:line="360" w:lineRule="auto"/>
              <w:jc w:val="both"/>
              <w:rPr>
                <w:rFonts w:ascii="Century Gothic" w:hAnsi="Century Gothic"/>
                <w:sz w:val="20"/>
                <w:szCs w:val="20"/>
              </w:rPr>
            </w:pPr>
            <w:r w:rsidRPr="007E0016">
              <w:rPr>
                <w:rFonts w:ascii="Century Gothic" w:hAnsi="Century Gothic"/>
                <w:sz w:val="20"/>
                <w:szCs w:val="20"/>
              </w:rPr>
              <w:t>Xalatlaco</w:t>
            </w:r>
          </w:p>
        </w:tc>
        <w:tc>
          <w:tcPr>
            <w:tcW w:w="1541" w:type="pct"/>
            <w:hideMark/>
          </w:tcPr>
          <w:p w14:paraId="5C96BBFE"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428</w:t>
            </w:r>
          </w:p>
        </w:tc>
        <w:tc>
          <w:tcPr>
            <w:tcW w:w="1541" w:type="pct"/>
            <w:hideMark/>
          </w:tcPr>
          <w:p w14:paraId="1DB6F656" w14:textId="77777777" w:rsidR="007E0016" w:rsidRPr="007E0016" w:rsidRDefault="007E0016" w:rsidP="007E0016">
            <w:pPr>
              <w:spacing w:line="36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7E0016">
              <w:rPr>
                <w:rFonts w:ascii="Century Gothic" w:hAnsi="Century Gothic"/>
                <w:sz w:val="20"/>
                <w:szCs w:val="20"/>
              </w:rPr>
              <w:t>228</w:t>
            </w:r>
          </w:p>
        </w:tc>
      </w:tr>
    </w:tbl>
    <w:p w14:paraId="66820391" w14:textId="2C4F5196" w:rsidR="007E0016" w:rsidRDefault="007E0016" w:rsidP="007E0016">
      <w:pPr>
        <w:spacing w:line="360" w:lineRule="auto"/>
        <w:rPr>
          <w:rFonts w:ascii="Century Gothic" w:hAnsi="Century Gothic"/>
          <w:sz w:val="14"/>
          <w:szCs w:val="14"/>
        </w:rPr>
      </w:pPr>
      <w:r w:rsidRPr="007E0016">
        <w:rPr>
          <w:rFonts w:ascii="Century Gothic" w:hAnsi="Century Gothic"/>
          <w:b/>
          <w:bCs/>
          <w:sz w:val="14"/>
          <w:szCs w:val="14"/>
        </w:rPr>
        <w:t>Fuente:</w:t>
      </w:r>
      <w:r w:rsidRPr="007E0016">
        <w:rPr>
          <w:rFonts w:ascii="Century Gothic" w:hAnsi="Century Gothic"/>
          <w:sz w:val="14"/>
          <w:szCs w:val="14"/>
        </w:rPr>
        <w:t xml:space="preserve"> COPLADEM (2024). Con información de la Secretaría de las Mujeres del Estado de México. Atlas de Género (2020).</w:t>
      </w:r>
    </w:p>
    <w:p w14:paraId="79F9AF58" w14:textId="7AC8CA96" w:rsidR="007E0016" w:rsidRDefault="007E0016" w:rsidP="007E0016">
      <w:pPr>
        <w:spacing w:line="360" w:lineRule="auto"/>
        <w:rPr>
          <w:rFonts w:ascii="Century Gothic" w:hAnsi="Century Gothic"/>
          <w:sz w:val="14"/>
          <w:szCs w:val="14"/>
        </w:rPr>
      </w:pPr>
    </w:p>
    <w:p w14:paraId="0410D402" w14:textId="14A1F96A" w:rsidR="007E0016" w:rsidRDefault="007E0016" w:rsidP="007E0016">
      <w:pPr>
        <w:spacing w:line="360" w:lineRule="auto"/>
        <w:rPr>
          <w:rFonts w:ascii="Century Gothic" w:hAnsi="Century Gothic"/>
          <w:sz w:val="14"/>
          <w:szCs w:val="14"/>
        </w:rPr>
      </w:pPr>
    </w:p>
    <w:p w14:paraId="36679B3C" w14:textId="4E233C31"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San Antonio la Isla, refleja la existencia de 406 islenses analfabetas, de los cuales el 63.5% son mujeres y el 36.5% son hombres.</w:t>
      </w:r>
    </w:p>
    <w:p w14:paraId="3FBB0C7C" w14:textId="77777777" w:rsidR="007E0016" w:rsidRPr="008C4EB3" w:rsidRDefault="007E0016" w:rsidP="007E0016">
      <w:pPr>
        <w:spacing w:line="360" w:lineRule="auto"/>
        <w:ind w:firstLine="708"/>
        <w:rPr>
          <w:rFonts w:ascii="Century Gothic" w:hAnsi="Century Gothic"/>
          <w:sz w:val="22"/>
          <w:szCs w:val="22"/>
        </w:rPr>
      </w:pPr>
      <w:r w:rsidRPr="008C4EB3">
        <w:rPr>
          <w:rFonts w:ascii="Century Gothic" w:hAnsi="Century Gothic"/>
          <w:sz w:val="22"/>
          <w:szCs w:val="22"/>
        </w:rPr>
        <w:t>Por otra parte, los indicadores señalan que las mujeres superan a los hombres en el grado máximo de estudios en la educación primaria y secundaria, y la misma tendencia se observa a nivel superior, por lo que es prioritario seguir trabajando en una perspectiva de género a partir de la educación.</w:t>
      </w:r>
    </w:p>
    <w:p w14:paraId="180DD9FE" w14:textId="14593E6C" w:rsidR="007E0016" w:rsidRDefault="007E0016" w:rsidP="007E0016">
      <w:pPr>
        <w:spacing w:line="360" w:lineRule="auto"/>
        <w:rPr>
          <w:rFonts w:ascii="Century Gothic" w:hAnsi="Century Gothic"/>
          <w:sz w:val="14"/>
          <w:szCs w:val="14"/>
        </w:rPr>
      </w:pPr>
      <w:r w:rsidRPr="008C4EB3">
        <w:rPr>
          <w:rFonts w:ascii="Century Gothic" w:hAnsi="Century Gothic"/>
          <w:noProof/>
          <w:sz w:val="22"/>
          <w:szCs w:val="22"/>
          <w14:ligatures w14:val="standardContextual"/>
        </w:rPr>
        <w:drawing>
          <wp:inline distT="0" distB="0" distL="0" distR="0" wp14:anchorId="770C387F" wp14:editId="12584F47">
            <wp:extent cx="3890010" cy="2334006"/>
            <wp:effectExtent l="0" t="0" r="15240" b="9525"/>
            <wp:docPr id="929139661" name="Gráfico 1">
              <a:extLst xmlns:a="http://schemas.openxmlformats.org/drawingml/2006/main">
                <a:ext uri="{FF2B5EF4-FFF2-40B4-BE49-F238E27FC236}">
                  <a16:creationId xmlns:a16="http://schemas.microsoft.com/office/drawing/2014/main" id="{40E91E2A-EAC0-4064-8A8D-3700CD2903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7E0016">
        <w:rPr>
          <w:rFonts w:ascii="Century Gothic" w:hAnsi="Century Gothic"/>
          <w:b/>
          <w:bCs/>
          <w:sz w:val="14"/>
          <w:szCs w:val="14"/>
        </w:rPr>
        <w:t>Fuente:</w:t>
      </w:r>
      <w:r w:rsidRPr="007E0016">
        <w:rPr>
          <w:rFonts w:ascii="Century Gothic" w:hAnsi="Century Gothic"/>
          <w:sz w:val="14"/>
          <w:szCs w:val="14"/>
        </w:rPr>
        <w:t xml:space="preserve"> COPLADEM (2024). Con información de la Secretaría de las Mujeres del Estado de México. Atlas de Género (2020)</w:t>
      </w:r>
    </w:p>
    <w:p w14:paraId="3EBC5F45" w14:textId="77777777" w:rsidR="007E0016" w:rsidRDefault="007E0016">
      <w:pPr>
        <w:rPr>
          <w:rFonts w:ascii="Century Gothic" w:hAnsi="Century Gothic"/>
          <w:sz w:val="14"/>
          <w:szCs w:val="14"/>
        </w:rPr>
      </w:pPr>
      <w:r>
        <w:rPr>
          <w:rFonts w:ascii="Century Gothic" w:hAnsi="Century Gothic"/>
          <w:sz w:val="14"/>
          <w:szCs w:val="14"/>
        </w:rPr>
        <w:br w:type="page"/>
      </w:r>
    </w:p>
    <w:p w14:paraId="65345B4A" w14:textId="03B94205"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lastRenderedPageBreak/>
        <w:t>Derivado de lo anterior, se puede concluir que se deben profundizar los esfuerzos para eliminar las condicionantes estructurales que impiden a las mujeres acceder al sistema educativo y avanzar en su trayectoria educativa, con la finalidad de que reciban una educación de excelencia que les permita contar con más y mejores oportunidades de desarrollo</w:t>
      </w:r>
      <w:r>
        <w:rPr>
          <w:rFonts w:ascii="Century Gothic" w:hAnsi="Century Gothic"/>
          <w:sz w:val="22"/>
          <w:szCs w:val="22"/>
        </w:rPr>
        <w:t>.</w:t>
      </w:r>
    </w:p>
    <w:p w14:paraId="07AD555E" w14:textId="75265BE8"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Los determinantes de la</w:t>
      </w:r>
      <w:r w:rsidRPr="008C4EB3">
        <w:rPr>
          <w:rFonts w:ascii="Century Gothic" w:hAnsi="Century Gothic"/>
          <w:b/>
          <w:bCs/>
          <w:sz w:val="22"/>
          <w:szCs w:val="22"/>
        </w:rPr>
        <w:t xml:space="preserve"> salud </w:t>
      </w:r>
      <w:r w:rsidRPr="008C4EB3">
        <w:rPr>
          <w:rFonts w:ascii="Century Gothic" w:hAnsi="Century Gothic"/>
          <w:sz w:val="22"/>
          <w:szCs w:val="22"/>
        </w:rPr>
        <w:t>relacionados con el género son las normas, expectativas y funciones sociales que aumentan las tasas de exposición y la vulnerabilidad frente los riesgos para la salud, así como la protección frente a los mismos, y que determinan los comportamientos de promoción de la salud y de búsqueda de atención sanitaria y las respuestas del sistema de salud en función del género. Son uno de los principales determinantes sociales de las inequidades sanitarias.</w:t>
      </w:r>
    </w:p>
    <w:p w14:paraId="57D0AAD2" w14:textId="5BA0C5EC"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 xml:space="preserve">El municipio cuenta con 4 991 mujeres adolescentes y jóvenes en edad reproductiva, conformada de la siguiente manera: 953 se ubican en un rango de edad de 12 a 14 años; 1 515 entre 15 y 19 años; 1 288 entre 20 a 24 años y 1 235 de 25 a 29 años. Para </w:t>
      </w:r>
      <w:r w:rsidRPr="008C4EB3">
        <w:rPr>
          <w:rFonts w:ascii="Century Gothic" w:hAnsi="Century Gothic"/>
          <w:sz w:val="22"/>
          <w:szCs w:val="22"/>
        </w:rPr>
        <w:t>brindar atención oportuna y eficiente, el municipio cuenta con el Instituto Municipal Protección de los Derechos de la Mujer, la cual tiene como premisa empoderar a la mujer mediante capacitación para el trabajo no estereotipado y su participación política para prevenir la violencia de género y la igualdad de trato entre mujeres y hombres.</w:t>
      </w:r>
    </w:p>
    <w:p w14:paraId="67A8C563" w14:textId="41D5C547"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 xml:space="preserve">De acuerdo con datos de la Organización Mundial de la Salud (OMS), el desglose por sexo de los datos, los hombres tienen una menor esperanza de vida comparado con las mujeres. Gran parte de estas diferencias se deben a factores relacionados con el género: por ejemplo, hay normas sociales que determinan que los hombres estén más expuestos al tabaco y las bebidas alcohólicas. </w:t>
      </w:r>
    </w:p>
    <w:p w14:paraId="50A954E2" w14:textId="77777777"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Sin embargo, también existen normas sociales y de género que aumentan la carga de algunas enfermedades entre las niñas y las mujeres: por ejemplo, debido a que tienen relativamente menos acceso a los servicios de tratamiento de la catarata, sus tasas de ceguera son más elevadas. El género influye en la salud y el bienestar en tres ámbitos:</w:t>
      </w:r>
    </w:p>
    <w:p w14:paraId="0B2A4DDA" w14:textId="77777777" w:rsidR="007E0016" w:rsidRPr="008C4EB3" w:rsidRDefault="007E0016" w:rsidP="007E0016">
      <w:pPr>
        <w:spacing w:line="360" w:lineRule="auto"/>
        <w:ind w:firstLine="708"/>
        <w:jc w:val="both"/>
        <w:rPr>
          <w:rFonts w:ascii="Century Gothic" w:hAnsi="Century Gothic"/>
          <w:sz w:val="22"/>
          <w:szCs w:val="22"/>
        </w:rPr>
      </w:pPr>
    </w:p>
    <w:p w14:paraId="70F95F50" w14:textId="77777777" w:rsidR="007E0016" w:rsidRPr="008C4EB3" w:rsidRDefault="007E0016" w:rsidP="0008767B">
      <w:pPr>
        <w:widowControl w:val="0"/>
        <w:numPr>
          <w:ilvl w:val="0"/>
          <w:numId w:val="63"/>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Los determinantes de la salud relacionados con el género, incluida la interacción con otros determinantes sociales y estructurales.</w:t>
      </w:r>
    </w:p>
    <w:p w14:paraId="29CA65F7" w14:textId="77777777" w:rsidR="007E0016" w:rsidRPr="008C4EB3" w:rsidRDefault="007E0016" w:rsidP="0008767B">
      <w:pPr>
        <w:widowControl w:val="0"/>
        <w:numPr>
          <w:ilvl w:val="0"/>
          <w:numId w:val="63"/>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Las conductas en la esfera de la salud en función del género.</w:t>
      </w:r>
    </w:p>
    <w:p w14:paraId="54B68FC4" w14:textId="77777777" w:rsidR="007E0016" w:rsidRPr="008C4EB3" w:rsidRDefault="007E0016" w:rsidP="0008767B">
      <w:pPr>
        <w:widowControl w:val="0"/>
        <w:numPr>
          <w:ilvl w:val="0"/>
          <w:numId w:val="63"/>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La respuesta del sistema de salud en función del género.</w:t>
      </w:r>
    </w:p>
    <w:p w14:paraId="3DC0E5C2" w14:textId="40FE06C4"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La OMS participa en la Agenda 2030 de Desarrollo Sostenible y vela por que toda la Organización incorpore un enfoque integrado de las cuestiones relacionadas con el género, la equidad y los derechos humanos.</w:t>
      </w:r>
    </w:p>
    <w:p w14:paraId="720BC7AA" w14:textId="6C565C1A" w:rsidR="007E0016" w:rsidRPr="008C4EB3" w:rsidRDefault="007E0016" w:rsidP="007E0016">
      <w:pPr>
        <w:spacing w:line="360" w:lineRule="auto"/>
        <w:ind w:firstLine="708"/>
        <w:jc w:val="both"/>
        <w:rPr>
          <w:rFonts w:ascii="Century Gothic" w:hAnsi="Century Gothic"/>
          <w:sz w:val="22"/>
          <w:szCs w:val="22"/>
        </w:rPr>
      </w:pPr>
      <w:r w:rsidRPr="008C4EB3">
        <w:rPr>
          <w:rFonts w:ascii="Century Gothic" w:hAnsi="Century Gothic"/>
          <w:sz w:val="22"/>
          <w:szCs w:val="22"/>
        </w:rPr>
        <w:t xml:space="preserve">Referente al ámbito municipal, el Consejo Estatal de la Mujer y Bienestar Social (CEMEBYS), será un aliado para coordinar las áreas de Proyectos de Desarrollo para la Mujer, Igualdad de Género y Transversalidad de la Perspectiva de Género, promoviendo la implementación de programas para el empoderamiento de la mujer, participa con instancias públicas y privadas correspondientes en el diseño, ejecución y evaluación de proyectos de atención a las mujeres e impulsa a su vez en coordinación con todos los órdenes de gobierno y otras </w:t>
      </w:r>
      <w:r w:rsidRPr="008C4EB3">
        <w:rPr>
          <w:rFonts w:ascii="Century Gothic" w:hAnsi="Century Gothic"/>
          <w:sz w:val="22"/>
          <w:szCs w:val="22"/>
        </w:rPr>
        <w:t>dependencias la participación de las mujeres en obras de carácter comunitario. En materia de seguridad el CEMEBYS cuentas con diversos apoyos:</w:t>
      </w:r>
    </w:p>
    <w:p w14:paraId="48F7C290" w14:textId="77777777" w:rsidR="007E0016" w:rsidRPr="008C4EB3" w:rsidRDefault="007E0016" w:rsidP="0008767B">
      <w:pPr>
        <w:pStyle w:val="Prrafodelista"/>
        <w:widowControl w:val="0"/>
        <w:numPr>
          <w:ilvl w:val="0"/>
          <w:numId w:val="62"/>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Centros de Atención y Reeducación para Personas que Ejercen Violencia de Género Centro de Prevención del Delito</w:t>
      </w:r>
    </w:p>
    <w:p w14:paraId="63EFE740" w14:textId="77777777" w:rsidR="007E0016" w:rsidRPr="008C4EB3" w:rsidRDefault="007E0016" w:rsidP="0008767B">
      <w:pPr>
        <w:pStyle w:val="Prrafodelista"/>
        <w:widowControl w:val="0"/>
        <w:numPr>
          <w:ilvl w:val="0"/>
          <w:numId w:val="62"/>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Alerta de Género en Edomex</w:t>
      </w:r>
    </w:p>
    <w:p w14:paraId="05877365" w14:textId="77777777" w:rsidR="007E0016" w:rsidRPr="008C4EB3" w:rsidRDefault="007E0016" w:rsidP="0008767B">
      <w:pPr>
        <w:pStyle w:val="Prrafodelista"/>
        <w:widowControl w:val="0"/>
        <w:numPr>
          <w:ilvl w:val="0"/>
          <w:numId w:val="62"/>
        </w:numPr>
        <w:autoSpaceDE w:val="0"/>
        <w:autoSpaceDN w:val="0"/>
        <w:spacing w:after="0" w:line="360" w:lineRule="auto"/>
        <w:jc w:val="both"/>
        <w:rPr>
          <w:rFonts w:ascii="Century Gothic" w:hAnsi="Century Gothic"/>
          <w:noProof/>
          <w:sz w:val="22"/>
          <w:szCs w:val="22"/>
        </w:rPr>
      </w:pPr>
      <w:r w:rsidRPr="008C4EB3">
        <w:rPr>
          <w:rFonts w:ascii="Century Gothic" w:hAnsi="Century Gothic"/>
          <w:sz w:val="22"/>
          <w:szCs w:val="22"/>
        </w:rPr>
        <w:t xml:space="preserve">Atención a mujeres en situación de violencia </w:t>
      </w:r>
    </w:p>
    <w:p w14:paraId="3862A7CF" w14:textId="77777777" w:rsidR="007E0016" w:rsidRPr="008C4EB3" w:rsidRDefault="007E0016" w:rsidP="0008767B">
      <w:pPr>
        <w:pStyle w:val="Prrafodelista"/>
        <w:widowControl w:val="0"/>
        <w:numPr>
          <w:ilvl w:val="0"/>
          <w:numId w:val="62"/>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Fiscalía General de Justicia del Estado de México</w:t>
      </w:r>
    </w:p>
    <w:p w14:paraId="3BCC79EE" w14:textId="77777777" w:rsidR="007E0016" w:rsidRPr="008C4EB3" w:rsidRDefault="007E0016" w:rsidP="0008767B">
      <w:pPr>
        <w:pStyle w:val="Prrafodelista"/>
        <w:widowControl w:val="0"/>
        <w:numPr>
          <w:ilvl w:val="0"/>
          <w:numId w:val="62"/>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Unidades móviles de asesorías jurídicas, psicológicas y de trabajo social Centro de Prevención y Atención al Maltrato y la Familia</w:t>
      </w:r>
    </w:p>
    <w:p w14:paraId="2E6E6F1C" w14:textId="77777777" w:rsidR="007E0016" w:rsidRPr="008C4EB3" w:rsidRDefault="007E0016" w:rsidP="0008767B">
      <w:pPr>
        <w:pStyle w:val="Prrafodelista"/>
        <w:widowControl w:val="0"/>
        <w:numPr>
          <w:ilvl w:val="0"/>
          <w:numId w:val="62"/>
        </w:numPr>
        <w:autoSpaceDE w:val="0"/>
        <w:autoSpaceDN w:val="0"/>
        <w:spacing w:after="0" w:line="360" w:lineRule="auto"/>
        <w:jc w:val="both"/>
        <w:rPr>
          <w:rFonts w:ascii="Century Gothic" w:hAnsi="Century Gothic"/>
          <w:sz w:val="22"/>
          <w:szCs w:val="22"/>
        </w:rPr>
      </w:pPr>
      <w:r w:rsidRPr="008C4EB3">
        <w:rPr>
          <w:rFonts w:ascii="Century Gothic" w:hAnsi="Century Gothic"/>
          <w:sz w:val="22"/>
          <w:szCs w:val="22"/>
        </w:rPr>
        <w:t>Asesoría y orientación legal</w:t>
      </w:r>
    </w:p>
    <w:p w14:paraId="153B05C6" w14:textId="77777777" w:rsidR="007E0016" w:rsidRPr="007E0016" w:rsidRDefault="007E0016" w:rsidP="007E0016">
      <w:pPr>
        <w:spacing w:line="360" w:lineRule="auto"/>
        <w:rPr>
          <w:rFonts w:ascii="Century Gothic" w:hAnsi="Century Gothic"/>
          <w:sz w:val="14"/>
          <w:szCs w:val="14"/>
        </w:rPr>
      </w:pPr>
    </w:p>
    <w:p w14:paraId="7F4762BF" w14:textId="0D79CE0B" w:rsidR="007E0016" w:rsidRPr="007E0016" w:rsidRDefault="007E0016" w:rsidP="007E0016">
      <w:pPr>
        <w:spacing w:after="160" w:line="360" w:lineRule="auto"/>
        <w:jc w:val="both"/>
        <w:rPr>
          <w:rFonts w:ascii="Century Gothic" w:hAnsi="Century Gothic"/>
          <w:b/>
          <w:color w:val="025850"/>
          <w:sz w:val="22"/>
          <w:szCs w:val="22"/>
        </w:rPr>
      </w:pPr>
      <w:r w:rsidRPr="007E0016">
        <w:rPr>
          <w:rFonts w:ascii="Century Gothic" w:hAnsi="Century Gothic"/>
          <w:b/>
          <w:color w:val="025850"/>
          <w:sz w:val="22"/>
          <w:szCs w:val="22"/>
        </w:rPr>
        <w:t>Igualdad de derechos y oportunidades para las mujeres</w:t>
      </w:r>
    </w:p>
    <w:p w14:paraId="64C9C40D" w14:textId="29D28D0C" w:rsidR="007E0016" w:rsidRPr="007E0016" w:rsidRDefault="007E0016" w:rsidP="007E0016">
      <w:pPr>
        <w:spacing w:line="360" w:lineRule="auto"/>
        <w:ind w:firstLine="708"/>
        <w:jc w:val="both"/>
        <w:rPr>
          <w:rFonts w:ascii="Century Gothic" w:hAnsi="Century Gothic"/>
          <w:bCs/>
          <w:color w:val="000000" w:themeColor="text1"/>
          <w:sz w:val="22"/>
          <w:szCs w:val="22"/>
        </w:rPr>
      </w:pPr>
      <w:r w:rsidRPr="008C4EB3">
        <w:rPr>
          <w:rFonts w:ascii="Century Gothic" w:hAnsi="Century Gothic"/>
          <w:bCs/>
          <w:color w:val="000000" w:themeColor="text1"/>
          <w:sz w:val="22"/>
          <w:szCs w:val="22"/>
        </w:rPr>
        <w:t xml:space="preserve">Datos del Banco Mundial, indica </w:t>
      </w:r>
      <w:r w:rsidRPr="007E0016">
        <w:rPr>
          <w:rFonts w:ascii="Century Gothic" w:hAnsi="Century Gothic"/>
          <w:bCs/>
          <w:color w:val="000000" w:themeColor="text1"/>
          <w:sz w:val="22"/>
          <w:szCs w:val="22"/>
        </w:rPr>
        <w:t>que el avance de la mujer en el trabajo es bueno para todos. </w:t>
      </w:r>
      <w:hyperlink r:id="rId68" w:history="1">
        <w:r w:rsidRPr="007E0016">
          <w:rPr>
            <w:rStyle w:val="Hipervnculo"/>
            <w:rFonts w:ascii="Century Gothic" w:hAnsi="Century Gothic"/>
            <w:bCs/>
            <w:color w:val="000000" w:themeColor="text1"/>
            <w:sz w:val="22"/>
            <w:szCs w:val="22"/>
            <w:u w:val="none"/>
          </w:rPr>
          <w:t>Cerrar las brechas de género en ámbitos como el empleo y la iniciativa empresarial podría aumentar el producto bruto interno</w:t>
        </w:r>
      </w:hyperlink>
      <w:r w:rsidRPr="008C4EB3">
        <w:rPr>
          <w:rFonts w:ascii="Century Gothic" w:hAnsi="Century Gothic"/>
          <w:bCs/>
          <w:color w:val="000000" w:themeColor="text1"/>
          <w:sz w:val="22"/>
          <w:szCs w:val="22"/>
        </w:rPr>
        <w:t xml:space="preserve"> mundial en un 20%. Y aunque queda camino por recorrer al ritmo actual, podrían necesitarse cinco </w:t>
      </w:r>
      <w:r w:rsidRPr="008C4EB3">
        <w:rPr>
          <w:rFonts w:ascii="Century Gothic" w:hAnsi="Century Gothic"/>
          <w:bCs/>
          <w:color w:val="000000" w:themeColor="text1"/>
          <w:sz w:val="22"/>
          <w:szCs w:val="22"/>
        </w:rPr>
        <w:lastRenderedPageBreak/>
        <w:t>generaciones o 134 años para alcanzar la paridad de género en todo el mundo.</w:t>
      </w:r>
    </w:p>
    <w:p w14:paraId="7A89B0B3" w14:textId="7D02C5D4" w:rsidR="007E0016" w:rsidRPr="008C4EB3" w:rsidRDefault="007E0016" w:rsidP="007E0016">
      <w:pPr>
        <w:spacing w:line="360" w:lineRule="auto"/>
        <w:ind w:firstLine="708"/>
        <w:jc w:val="both"/>
        <w:rPr>
          <w:rFonts w:ascii="Century Gothic" w:hAnsi="Century Gothic"/>
          <w:b/>
          <w:sz w:val="22"/>
          <w:szCs w:val="22"/>
        </w:rPr>
      </w:pPr>
      <w:r w:rsidRPr="008C4EB3">
        <w:rPr>
          <w:rFonts w:ascii="Century Gothic" w:hAnsi="Century Gothic"/>
          <w:noProof/>
          <w:sz w:val="22"/>
          <w:szCs w:val="22"/>
          <w14:ligatures w14:val="standardContextual"/>
        </w:rPr>
        <w:drawing>
          <wp:anchor distT="0" distB="0" distL="114300" distR="114300" simplePos="0" relativeHeight="251729920" behindDoc="0" locked="0" layoutInCell="1" allowOverlap="1" wp14:anchorId="4235F3FE" wp14:editId="6DD7FE19">
            <wp:simplePos x="0" y="0"/>
            <wp:positionH relativeFrom="column">
              <wp:posOffset>4411142</wp:posOffset>
            </wp:positionH>
            <wp:positionV relativeFrom="paragraph">
              <wp:posOffset>976553</wp:posOffset>
            </wp:positionV>
            <wp:extent cx="3890010" cy="2333625"/>
            <wp:effectExtent l="0" t="0" r="15240" b="9525"/>
            <wp:wrapSquare wrapText="bothSides"/>
            <wp:docPr id="282546373" name="Gráfico 1">
              <a:extLst xmlns:a="http://schemas.openxmlformats.org/drawingml/2006/main">
                <a:ext uri="{FF2B5EF4-FFF2-40B4-BE49-F238E27FC236}">
                  <a16:creationId xmlns:a16="http://schemas.microsoft.com/office/drawing/2014/main" id="{85261827-1DE4-41AB-2343-F5DC966EC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sidRPr="008C4EB3">
        <w:rPr>
          <w:rFonts w:ascii="Century Gothic" w:hAnsi="Century Gothic"/>
          <w:bCs/>
          <w:sz w:val="22"/>
          <w:szCs w:val="22"/>
        </w:rPr>
        <w:t>La participación de la mujer en la población activa en los 101 países analizados por el informe en los últimos 18 años ha superado los niveles de 2023: del 63,5% al 65,7%. La brecha general en Participación y Oportunidades Económicas se ha reducido en 17 años desde la edición del año pasado, aunque sigue siendo la segunda brecha más grande que hay que cerrar y existen grandes variaciones entre países. La puntuación más baja registrada en este subíndice es del 31,1% (Bangladesh), mientras que la más alta es del 87,4% Liberia</w:t>
      </w:r>
      <w:r w:rsidRPr="008C4EB3">
        <w:rPr>
          <w:rFonts w:ascii="Century Gothic" w:hAnsi="Century Gothic"/>
          <w:b/>
          <w:sz w:val="22"/>
          <w:szCs w:val="22"/>
        </w:rPr>
        <w:t>.</w:t>
      </w:r>
    </w:p>
    <w:p w14:paraId="0F4CB8E5" w14:textId="187C7626" w:rsidR="007E0016" w:rsidRDefault="007E0016" w:rsidP="007E0016">
      <w:pPr>
        <w:spacing w:line="360" w:lineRule="auto"/>
        <w:ind w:firstLine="708"/>
        <w:jc w:val="both"/>
        <w:rPr>
          <w:rFonts w:ascii="Century Gothic" w:hAnsi="Century Gothic"/>
          <w:bCs/>
          <w:sz w:val="22"/>
          <w:szCs w:val="22"/>
        </w:rPr>
      </w:pPr>
      <w:r w:rsidRPr="008C4EB3">
        <w:rPr>
          <w:rFonts w:ascii="Century Gothic" w:hAnsi="Century Gothic"/>
          <w:bCs/>
          <w:sz w:val="22"/>
          <w:szCs w:val="22"/>
        </w:rPr>
        <w:t xml:space="preserve">Por otra parte, según los resultados de la Encuesta Nacional de Ocupación y Empleo para el 2021, en México había 51.7 millones de mujeres de 15 años o más de edad. De este total, 44% formaron parte de la Población Económicamente Activa (22.8 millones) y 56% (28.9 millones) estuvieron en la Población No Económicamente Activa. De las mujeres que integraron la Población Económicamente Activa, 21.8 millones (96%) reportaron estar ocupadas durante la semana de </w:t>
      </w:r>
      <w:r w:rsidRPr="008C4EB3">
        <w:rPr>
          <w:rFonts w:ascii="Century Gothic" w:hAnsi="Century Gothic"/>
          <w:bCs/>
          <w:sz w:val="22"/>
          <w:szCs w:val="22"/>
        </w:rPr>
        <w:t>referencia de la encuesta. De esta población, 56% desarrolló alguna ocupación informal y 44% una ocupación formal. Respecto a las actividades que realizaron, 55 de cada 100 mujeres se ocuparon en actividades de comercio, industria manufacturera y servicios sociales.</w:t>
      </w:r>
    </w:p>
    <w:p w14:paraId="79CD4886" w14:textId="0B2DF453" w:rsidR="007E0016" w:rsidRDefault="007E0016" w:rsidP="007E0016">
      <w:pPr>
        <w:spacing w:line="360" w:lineRule="auto"/>
        <w:ind w:firstLine="708"/>
        <w:jc w:val="both"/>
        <w:rPr>
          <w:rFonts w:ascii="Century Gothic" w:hAnsi="Century Gothic"/>
          <w:bCs/>
          <w:sz w:val="22"/>
          <w:szCs w:val="22"/>
        </w:rPr>
      </w:pPr>
    </w:p>
    <w:p w14:paraId="6668F511" w14:textId="77777777" w:rsidR="007E0016" w:rsidRPr="008C4EB3" w:rsidRDefault="007E0016" w:rsidP="007E0016">
      <w:pPr>
        <w:spacing w:line="360" w:lineRule="auto"/>
        <w:ind w:firstLine="708"/>
        <w:jc w:val="both"/>
        <w:rPr>
          <w:rFonts w:ascii="Century Gothic" w:hAnsi="Century Gothic"/>
          <w:bCs/>
          <w:sz w:val="22"/>
          <w:szCs w:val="22"/>
        </w:rPr>
      </w:pPr>
      <w:r w:rsidRPr="008C4EB3">
        <w:rPr>
          <w:rFonts w:ascii="Century Gothic" w:hAnsi="Century Gothic"/>
          <w:bCs/>
          <w:sz w:val="22"/>
          <w:szCs w:val="22"/>
        </w:rPr>
        <w:t xml:space="preserve">De esa manera, el empoderamiento y la autonomía de las mujeres, niñas y adolescentes es fundamental para lograr la igualdad de género y garantizar su pleno desarrollo en todas las esferas de su vida. </w:t>
      </w:r>
    </w:p>
    <w:p w14:paraId="638E7553" w14:textId="77777777" w:rsidR="007E0016" w:rsidRPr="008C4EB3" w:rsidRDefault="007E0016" w:rsidP="007E0016">
      <w:pPr>
        <w:spacing w:line="360" w:lineRule="auto"/>
        <w:ind w:firstLine="708"/>
        <w:jc w:val="both"/>
        <w:rPr>
          <w:rFonts w:ascii="Century Gothic" w:hAnsi="Century Gothic"/>
          <w:bCs/>
          <w:sz w:val="22"/>
          <w:szCs w:val="22"/>
        </w:rPr>
      </w:pPr>
    </w:p>
    <w:p w14:paraId="6B37DD6C" w14:textId="5F3FC598" w:rsidR="007E0016" w:rsidRDefault="007E0016" w:rsidP="007E0016">
      <w:pPr>
        <w:spacing w:line="360" w:lineRule="auto"/>
        <w:ind w:firstLine="708"/>
        <w:jc w:val="both"/>
        <w:rPr>
          <w:rFonts w:ascii="Century Gothic" w:hAnsi="Century Gothic"/>
          <w:bCs/>
          <w:sz w:val="22"/>
          <w:szCs w:val="22"/>
        </w:rPr>
      </w:pPr>
      <w:r w:rsidRPr="008C4EB3">
        <w:rPr>
          <w:rFonts w:ascii="Century Gothic" w:hAnsi="Century Gothic"/>
          <w:bCs/>
          <w:sz w:val="22"/>
          <w:szCs w:val="22"/>
        </w:rPr>
        <w:lastRenderedPageBreak/>
        <w:t xml:space="preserve">Para asegurar su cumplimiento, los gobiernos deben crear las condiciones necesarias, proporcionando recursos, generando oportunidades y brindando en todo tiempo el apoyo necesario para que puedan tomar el control de sus vidas, optando por decisiones informadas y participando activamente en la sociedad. </w:t>
      </w:r>
    </w:p>
    <w:p w14:paraId="1E3A63A5" w14:textId="77777777" w:rsidR="007E0016" w:rsidRPr="008C4EB3" w:rsidRDefault="007E0016" w:rsidP="007E0016">
      <w:pPr>
        <w:spacing w:line="360" w:lineRule="auto"/>
        <w:ind w:firstLine="708"/>
        <w:jc w:val="both"/>
        <w:rPr>
          <w:rFonts w:ascii="Century Gothic" w:hAnsi="Century Gothic"/>
          <w:bCs/>
          <w:sz w:val="22"/>
          <w:szCs w:val="22"/>
        </w:rPr>
      </w:pPr>
      <w:r w:rsidRPr="008C4EB3">
        <w:rPr>
          <w:rFonts w:ascii="Century Gothic" w:hAnsi="Century Gothic"/>
          <w:bCs/>
          <w:sz w:val="22"/>
          <w:szCs w:val="22"/>
        </w:rPr>
        <w:t>A pesar de los avances en la promoción del empoderamiento y la autonomía en mujeres, niñas y adolescentes, persisten numerosos desafíos y barreras que dificultan su plena realización. Estos pueden incluir desigualdades estructurales, normas sociales y culturales, falta de acceso a recursos y servicios, así como la violencia de género y la discriminación en todas sus formas. Población Económicamente Activa (PEA) del Estado de México, al ser uno de los estados más densamente poblados del país, presenta una dinámica económica compleja que ofrece tanto oportunidades como retos para las mujeres en el ámbito laboral. La participación económica femenina en esta área está condicionada por aspectos como el acceso a la educación, las oportunidades de empleo y las políticas de igualdad de género.</w:t>
      </w:r>
    </w:p>
    <w:p w14:paraId="2C8C5234" w14:textId="33D61F3E" w:rsidR="007E0016" w:rsidRDefault="007E0016">
      <w:pPr>
        <w:rPr>
          <w:rFonts w:ascii="Century Gothic" w:hAnsi="Century Gothic"/>
          <w:bCs/>
          <w:sz w:val="22"/>
          <w:szCs w:val="22"/>
        </w:rPr>
      </w:pPr>
      <w:r>
        <w:rPr>
          <w:rFonts w:ascii="Century Gothic" w:hAnsi="Century Gothic"/>
          <w:bCs/>
          <w:sz w:val="22"/>
          <w:szCs w:val="22"/>
        </w:rPr>
        <w:br w:type="page"/>
      </w:r>
    </w:p>
    <w:p w14:paraId="7CA7B1A5" w14:textId="77777777" w:rsidR="007E0016" w:rsidRDefault="007E0016" w:rsidP="007E0016">
      <w:pPr>
        <w:spacing w:line="360" w:lineRule="auto"/>
        <w:jc w:val="both"/>
        <w:rPr>
          <w:rFonts w:ascii="Century Gothic" w:hAnsi="Century Gothic"/>
          <w:bCs/>
          <w:sz w:val="22"/>
          <w:szCs w:val="22"/>
        </w:rPr>
        <w:sectPr w:rsidR="007E0016" w:rsidSect="00E50CE9">
          <w:pgSz w:w="15840" w:h="12240" w:orient="landscape"/>
          <w:pgMar w:top="1440" w:right="1440" w:bottom="1440" w:left="1440" w:header="709" w:footer="709" w:gutter="0"/>
          <w:cols w:num="2" w:space="708"/>
          <w:docGrid w:linePitch="360"/>
        </w:sectPr>
      </w:pPr>
    </w:p>
    <w:p w14:paraId="38796FC1" w14:textId="5D27026C" w:rsidR="007E0016" w:rsidRDefault="007E0016" w:rsidP="007E0016">
      <w:pPr>
        <w:spacing w:after="0" w:line="240" w:lineRule="auto"/>
        <w:jc w:val="both"/>
        <w:rPr>
          <w:rFonts w:ascii="Century Gothic" w:hAnsi="Century Gothic"/>
          <w:b/>
          <w:bCs/>
          <w:color w:val="025850"/>
          <w:sz w:val="22"/>
          <w:szCs w:val="22"/>
        </w:rPr>
      </w:pPr>
      <w:r w:rsidRPr="007E0016">
        <w:rPr>
          <w:rFonts w:ascii="Century Gothic" w:hAnsi="Century Gothic"/>
          <w:b/>
          <w:bCs/>
          <w:color w:val="025850"/>
          <w:sz w:val="22"/>
          <w:szCs w:val="22"/>
        </w:rPr>
        <w:lastRenderedPageBreak/>
        <w:t>Análisis Prospectivo</w:t>
      </w:r>
    </w:p>
    <w:tbl>
      <w:tblPr>
        <w:tblStyle w:val="Tablaconcuadrcula4-nfasis2"/>
        <w:tblW w:w="5583" w:type="pct"/>
        <w:tblInd w:w="-714" w:type="dxa"/>
        <w:tblLook w:val="01E0" w:firstRow="1" w:lastRow="1" w:firstColumn="1" w:lastColumn="1" w:noHBand="0" w:noVBand="0"/>
      </w:tblPr>
      <w:tblGrid>
        <w:gridCol w:w="3118"/>
        <w:gridCol w:w="5914"/>
        <w:gridCol w:w="5428"/>
      </w:tblGrid>
      <w:tr w:rsidR="007E0016" w:rsidRPr="007E0016" w14:paraId="2AC0CC97" w14:textId="77777777" w:rsidTr="007E0016">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078" w:type="pct"/>
          </w:tcPr>
          <w:p w14:paraId="07DA5BB4" w14:textId="77777777" w:rsidR="007E0016" w:rsidRPr="007E0016" w:rsidRDefault="007E0016" w:rsidP="007E0016">
            <w:pPr>
              <w:pStyle w:val="TableParagraph"/>
              <w:spacing w:before="7" w:line="360" w:lineRule="auto"/>
              <w:ind w:left="206"/>
              <w:rPr>
                <w:rFonts w:ascii="Century Gothic" w:hAnsi="Century Gothic"/>
                <w:b w:val="0"/>
                <w:sz w:val="16"/>
                <w:szCs w:val="16"/>
              </w:rPr>
            </w:pPr>
            <w:r w:rsidRPr="007E0016">
              <w:rPr>
                <w:rFonts w:ascii="Century Gothic" w:hAnsi="Century Gothic"/>
                <w:w w:val="90"/>
                <w:sz w:val="16"/>
                <w:szCs w:val="16"/>
              </w:rPr>
              <w:t>Tema</w:t>
            </w:r>
            <w:r w:rsidRPr="007E0016">
              <w:rPr>
                <w:rFonts w:ascii="Century Gothic" w:hAnsi="Century Gothic"/>
                <w:spacing w:val="12"/>
                <w:sz w:val="16"/>
                <w:szCs w:val="16"/>
              </w:rPr>
              <w:t xml:space="preserve"> </w:t>
            </w:r>
            <w:r w:rsidRPr="007E0016">
              <w:rPr>
                <w:rFonts w:ascii="Century Gothic" w:hAnsi="Century Gothic"/>
                <w:w w:val="90"/>
                <w:sz w:val="16"/>
                <w:szCs w:val="16"/>
              </w:rPr>
              <w:t>de</w:t>
            </w:r>
            <w:r w:rsidRPr="007E0016">
              <w:rPr>
                <w:rFonts w:ascii="Century Gothic" w:hAnsi="Century Gothic"/>
                <w:spacing w:val="13"/>
                <w:sz w:val="16"/>
                <w:szCs w:val="16"/>
              </w:rPr>
              <w:t xml:space="preserve"> </w:t>
            </w:r>
            <w:r w:rsidRPr="007E0016">
              <w:rPr>
                <w:rFonts w:ascii="Century Gothic" w:hAnsi="Century Gothic"/>
                <w:w w:val="90"/>
                <w:sz w:val="16"/>
                <w:szCs w:val="16"/>
              </w:rPr>
              <w:t>Desarrollo</w:t>
            </w:r>
            <w:r w:rsidRPr="007E0016">
              <w:rPr>
                <w:rFonts w:ascii="Century Gothic" w:hAnsi="Century Gothic"/>
                <w:spacing w:val="15"/>
                <w:sz w:val="16"/>
                <w:szCs w:val="16"/>
              </w:rPr>
              <w:t xml:space="preserve"> </w:t>
            </w:r>
          </w:p>
        </w:tc>
        <w:tc>
          <w:tcPr>
            <w:cnfStyle w:val="000010000000" w:firstRow="0" w:lastRow="0" w:firstColumn="0" w:lastColumn="0" w:oddVBand="1" w:evenVBand="0" w:oddHBand="0" w:evenHBand="0" w:firstRowFirstColumn="0" w:firstRowLastColumn="0" w:lastRowFirstColumn="0" w:lastRowLastColumn="0"/>
            <w:tcW w:w="2045" w:type="pct"/>
          </w:tcPr>
          <w:p w14:paraId="5EFCC3CF" w14:textId="77777777" w:rsidR="007E0016" w:rsidRPr="007E0016" w:rsidRDefault="007E0016" w:rsidP="007E0016">
            <w:pPr>
              <w:pStyle w:val="TableParagraph"/>
              <w:spacing w:before="7" w:line="360" w:lineRule="auto"/>
              <w:rPr>
                <w:rFonts w:ascii="Century Gothic" w:hAnsi="Century Gothic"/>
                <w:b w:val="0"/>
                <w:sz w:val="16"/>
                <w:szCs w:val="16"/>
              </w:rPr>
            </w:pPr>
            <w:r w:rsidRPr="007E0016">
              <w:rPr>
                <w:rFonts w:ascii="Century Gothic" w:hAnsi="Century Gothic"/>
                <w:w w:val="90"/>
                <w:sz w:val="16"/>
                <w:szCs w:val="16"/>
              </w:rPr>
              <w:t>Escenario</w:t>
            </w:r>
            <w:r w:rsidRPr="007E0016">
              <w:rPr>
                <w:rFonts w:ascii="Century Gothic" w:hAnsi="Century Gothic"/>
                <w:spacing w:val="31"/>
                <w:sz w:val="16"/>
                <w:szCs w:val="16"/>
              </w:rPr>
              <w:t xml:space="preserve"> </w:t>
            </w:r>
            <w:r w:rsidRPr="007E0016">
              <w:rPr>
                <w:rFonts w:ascii="Century Gothic" w:hAnsi="Century Gothic"/>
                <w:spacing w:val="-2"/>
                <w:sz w:val="16"/>
                <w:szCs w:val="16"/>
              </w:rPr>
              <w:t>Tendencial</w:t>
            </w:r>
          </w:p>
        </w:tc>
        <w:tc>
          <w:tcPr>
            <w:cnfStyle w:val="000100000000" w:firstRow="0" w:lastRow="0" w:firstColumn="0" w:lastColumn="1" w:oddVBand="0" w:evenVBand="0" w:oddHBand="0" w:evenHBand="0" w:firstRowFirstColumn="0" w:firstRowLastColumn="0" w:lastRowFirstColumn="0" w:lastRowLastColumn="0"/>
            <w:tcW w:w="1877" w:type="pct"/>
          </w:tcPr>
          <w:p w14:paraId="21F0B79D" w14:textId="77777777" w:rsidR="007E0016" w:rsidRPr="007E0016" w:rsidRDefault="007E0016" w:rsidP="007E0016">
            <w:pPr>
              <w:pStyle w:val="TableParagraph"/>
              <w:spacing w:before="7" w:line="360" w:lineRule="auto"/>
              <w:jc w:val="both"/>
              <w:rPr>
                <w:rFonts w:ascii="Century Gothic" w:hAnsi="Century Gothic"/>
                <w:b w:val="0"/>
                <w:sz w:val="16"/>
                <w:szCs w:val="16"/>
              </w:rPr>
            </w:pPr>
            <w:r w:rsidRPr="007E0016">
              <w:rPr>
                <w:rFonts w:ascii="Century Gothic" w:hAnsi="Century Gothic"/>
                <w:w w:val="90"/>
                <w:sz w:val="16"/>
                <w:szCs w:val="16"/>
              </w:rPr>
              <w:t>Escenario</w:t>
            </w:r>
            <w:r w:rsidRPr="007E0016">
              <w:rPr>
                <w:rFonts w:ascii="Century Gothic" w:hAnsi="Century Gothic"/>
                <w:spacing w:val="24"/>
                <w:sz w:val="16"/>
                <w:szCs w:val="16"/>
              </w:rPr>
              <w:t xml:space="preserve"> </w:t>
            </w:r>
            <w:r w:rsidRPr="007E0016">
              <w:rPr>
                <w:rFonts w:ascii="Century Gothic" w:hAnsi="Century Gothic"/>
                <w:spacing w:val="-2"/>
                <w:sz w:val="16"/>
                <w:szCs w:val="16"/>
              </w:rPr>
              <w:t>Factible</w:t>
            </w:r>
          </w:p>
        </w:tc>
      </w:tr>
      <w:tr w:rsidR="007E0016" w:rsidRPr="007E0016" w14:paraId="3422B28B" w14:textId="77777777" w:rsidTr="007E0016">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1078" w:type="pct"/>
          </w:tcPr>
          <w:p w14:paraId="41758C6E" w14:textId="77777777" w:rsidR="007E0016" w:rsidRPr="007E0016" w:rsidRDefault="007E0016" w:rsidP="007E0016">
            <w:pPr>
              <w:pStyle w:val="TableParagraph"/>
              <w:spacing w:before="2" w:line="360" w:lineRule="auto"/>
              <w:rPr>
                <w:rFonts w:ascii="Century Gothic" w:hAnsi="Century Gothic"/>
                <w:b w:val="0"/>
                <w:bCs w:val="0"/>
                <w:sz w:val="16"/>
                <w:szCs w:val="16"/>
              </w:rPr>
            </w:pPr>
            <w:r w:rsidRPr="007E0016">
              <w:rPr>
                <w:rFonts w:ascii="Century Gothic" w:hAnsi="Century Gothic"/>
                <w:b w:val="0"/>
                <w:bCs w:val="0"/>
                <w:sz w:val="16"/>
                <w:szCs w:val="16"/>
              </w:rPr>
              <w:t>Institucionalización y transversalización de la perspectiva de género</w:t>
            </w:r>
          </w:p>
        </w:tc>
        <w:tc>
          <w:tcPr>
            <w:cnfStyle w:val="000010000000" w:firstRow="0" w:lastRow="0" w:firstColumn="0" w:lastColumn="0" w:oddVBand="1" w:evenVBand="0" w:oddHBand="0" w:evenHBand="0" w:firstRowFirstColumn="0" w:firstRowLastColumn="0" w:lastRowFirstColumn="0" w:lastRowLastColumn="0"/>
            <w:tcW w:w="2045" w:type="pct"/>
          </w:tcPr>
          <w:p w14:paraId="55992E0D" w14:textId="77777777" w:rsidR="007E0016" w:rsidRPr="007E0016" w:rsidRDefault="007E0016" w:rsidP="007E0016">
            <w:pPr>
              <w:pStyle w:val="TableParagraph"/>
              <w:spacing w:line="360" w:lineRule="auto"/>
              <w:ind w:left="108"/>
              <w:jc w:val="both"/>
              <w:rPr>
                <w:rFonts w:ascii="Century Gothic" w:hAnsi="Century Gothic"/>
                <w:sz w:val="16"/>
                <w:szCs w:val="16"/>
              </w:rPr>
            </w:pPr>
            <w:r w:rsidRPr="007E0016">
              <w:rPr>
                <w:rFonts w:ascii="Century Gothic" w:hAnsi="Century Gothic"/>
                <w:sz w:val="16"/>
                <w:szCs w:val="16"/>
              </w:rPr>
              <w:t>En el municipio todavía se cuestiona los estereotipos con que fuimos educados y abre la posibilidad de elaborar nuevos contenidos de socialización y relación entre los seres humanos.</w:t>
            </w:r>
          </w:p>
        </w:tc>
        <w:tc>
          <w:tcPr>
            <w:cnfStyle w:val="000100000000" w:firstRow="0" w:lastRow="0" w:firstColumn="0" w:lastColumn="1" w:oddVBand="0" w:evenVBand="0" w:oddHBand="0" w:evenHBand="0" w:firstRowFirstColumn="0" w:firstRowLastColumn="0" w:lastRowFirstColumn="0" w:lastRowLastColumn="0"/>
            <w:tcW w:w="1877" w:type="pct"/>
          </w:tcPr>
          <w:p w14:paraId="70889D9C" w14:textId="77777777" w:rsidR="007E0016" w:rsidRPr="007E0016" w:rsidRDefault="007E0016" w:rsidP="007E0016">
            <w:pPr>
              <w:pStyle w:val="TableParagraph"/>
              <w:spacing w:before="2" w:line="360" w:lineRule="auto"/>
              <w:ind w:left="107" w:right="201"/>
              <w:jc w:val="both"/>
              <w:rPr>
                <w:rFonts w:ascii="Century Gothic" w:hAnsi="Century Gothic"/>
                <w:b w:val="0"/>
                <w:bCs w:val="0"/>
                <w:sz w:val="16"/>
                <w:szCs w:val="16"/>
              </w:rPr>
            </w:pPr>
            <w:r w:rsidRPr="007E0016">
              <w:rPr>
                <w:rFonts w:ascii="Century Gothic" w:hAnsi="Century Gothic"/>
                <w:b w:val="0"/>
                <w:bCs w:val="0"/>
                <w:sz w:val="16"/>
                <w:szCs w:val="16"/>
              </w:rPr>
              <w:t xml:space="preserve">Es necesario entender que la perspectiva de género mejora la vida de las personas y de la sociedad </w:t>
            </w:r>
            <w:proofErr w:type="spellStart"/>
            <w:r w:rsidRPr="007E0016">
              <w:rPr>
                <w:rFonts w:ascii="Century Gothic" w:hAnsi="Century Gothic"/>
                <w:b w:val="0"/>
                <w:bCs w:val="0"/>
                <w:sz w:val="16"/>
                <w:szCs w:val="16"/>
              </w:rPr>
              <w:t>islense</w:t>
            </w:r>
            <w:proofErr w:type="spellEnd"/>
            <w:r w:rsidRPr="007E0016">
              <w:rPr>
                <w:rFonts w:ascii="Century Gothic" w:hAnsi="Century Gothic"/>
                <w:b w:val="0"/>
                <w:bCs w:val="0"/>
                <w:sz w:val="16"/>
                <w:szCs w:val="16"/>
              </w:rPr>
              <w:t>, enriqueciendo todos los ámbitos productivos, es decir, no se limita solamente a las políticas focalizadas a favor de las mujeres.</w:t>
            </w:r>
          </w:p>
          <w:p w14:paraId="4413514C" w14:textId="77777777" w:rsidR="007E0016" w:rsidRPr="007E0016" w:rsidRDefault="007E0016" w:rsidP="007E0016">
            <w:pPr>
              <w:pStyle w:val="TableParagraph"/>
              <w:spacing w:before="2" w:line="360" w:lineRule="auto"/>
              <w:ind w:left="107" w:right="201"/>
              <w:jc w:val="both"/>
              <w:rPr>
                <w:rFonts w:ascii="Century Gothic" w:hAnsi="Century Gothic"/>
                <w:b w:val="0"/>
                <w:bCs w:val="0"/>
                <w:sz w:val="16"/>
                <w:szCs w:val="16"/>
              </w:rPr>
            </w:pPr>
          </w:p>
        </w:tc>
      </w:tr>
      <w:tr w:rsidR="007E0016" w:rsidRPr="007E0016" w14:paraId="3EF09770" w14:textId="77777777" w:rsidTr="007E0016">
        <w:trPr>
          <w:trHeight w:val="1271"/>
        </w:trPr>
        <w:tc>
          <w:tcPr>
            <w:cnfStyle w:val="001000000000" w:firstRow="0" w:lastRow="0" w:firstColumn="1" w:lastColumn="0" w:oddVBand="0" w:evenVBand="0" w:oddHBand="0" w:evenHBand="0" w:firstRowFirstColumn="0" w:firstRowLastColumn="0" w:lastRowFirstColumn="0" w:lastRowLastColumn="0"/>
            <w:tcW w:w="1078" w:type="pct"/>
          </w:tcPr>
          <w:p w14:paraId="3228417C" w14:textId="77777777" w:rsidR="007E0016" w:rsidRPr="007E0016" w:rsidRDefault="007E0016" w:rsidP="007E0016">
            <w:pPr>
              <w:pStyle w:val="TableParagraph"/>
              <w:spacing w:before="2" w:line="360" w:lineRule="auto"/>
              <w:jc w:val="both"/>
              <w:rPr>
                <w:rFonts w:ascii="Century Gothic" w:hAnsi="Century Gothic"/>
                <w:b w:val="0"/>
                <w:bCs w:val="0"/>
                <w:color w:val="FF0000"/>
                <w:w w:val="85"/>
                <w:sz w:val="16"/>
                <w:szCs w:val="16"/>
              </w:rPr>
            </w:pPr>
            <w:r w:rsidRPr="007E0016">
              <w:rPr>
                <w:rFonts w:ascii="Century Gothic" w:hAnsi="Century Gothic"/>
                <w:b w:val="0"/>
                <w:bCs w:val="0"/>
                <w:sz w:val="16"/>
                <w:szCs w:val="16"/>
              </w:rPr>
              <w:t>Erradicación de la violencia contra las mujeres y acceso a la justicia</w:t>
            </w:r>
          </w:p>
        </w:tc>
        <w:tc>
          <w:tcPr>
            <w:cnfStyle w:val="000010000000" w:firstRow="0" w:lastRow="0" w:firstColumn="0" w:lastColumn="0" w:oddVBand="1" w:evenVBand="0" w:oddHBand="0" w:evenHBand="0" w:firstRowFirstColumn="0" w:firstRowLastColumn="0" w:lastRowFirstColumn="0" w:lastRowLastColumn="0"/>
            <w:tcW w:w="2045" w:type="pct"/>
          </w:tcPr>
          <w:p w14:paraId="4D64F45C" w14:textId="77777777" w:rsidR="007E0016" w:rsidRPr="007E0016" w:rsidRDefault="007E0016" w:rsidP="007E0016">
            <w:pPr>
              <w:pStyle w:val="TableParagraph"/>
              <w:spacing w:line="360" w:lineRule="auto"/>
              <w:jc w:val="both"/>
              <w:rPr>
                <w:rFonts w:ascii="Century Gothic" w:hAnsi="Century Gothic"/>
                <w:sz w:val="16"/>
                <w:szCs w:val="16"/>
                <w:lang w:val="es-US"/>
              </w:rPr>
            </w:pPr>
            <w:r w:rsidRPr="007E0016">
              <w:rPr>
                <w:rFonts w:ascii="Century Gothic" w:hAnsi="Century Gothic"/>
                <w:sz w:val="16"/>
                <w:szCs w:val="16"/>
              </w:rPr>
              <w:t>La violencia de género es un problema complejo que afecta profundamente a la sociedad, impidiendo el desarrollo pleno y equitativo de las mujeres y limitando sus oportunidades de vida.</w:t>
            </w:r>
          </w:p>
        </w:tc>
        <w:tc>
          <w:tcPr>
            <w:cnfStyle w:val="000100000000" w:firstRow="0" w:lastRow="0" w:firstColumn="0" w:lastColumn="1" w:oddVBand="0" w:evenVBand="0" w:oddHBand="0" w:evenHBand="0" w:firstRowFirstColumn="0" w:firstRowLastColumn="0" w:lastRowFirstColumn="0" w:lastRowLastColumn="0"/>
            <w:tcW w:w="1877" w:type="pct"/>
          </w:tcPr>
          <w:p w14:paraId="34FF3DBF" w14:textId="77777777" w:rsidR="007E0016" w:rsidRPr="007E0016" w:rsidRDefault="007E0016" w:rsidP="007E0016">
            <w:pPr>
              <w:pStyle w:val="TableParagraph"/>
              <w:spacing w:line="360" w:lineRule="auto"/>
              <w:jc w:val="both"/>
              <w:rPr>
                <w:rFonts w:ascii="Century Gothic" w:hAnsi="Century Gothic"/>
                <w:b w:val="0"/>
                <w:bCs w:val="0"/>
                <w:sz w:val="16"/>
                <w:szCs w:val="16"/>
              </w:rPr>
            </w:pPr>
            <w:r w:rsidRPr="007E0016">
              <w:rPr>
                <w:rFonts w:ascii="Century Gothic" w:hAnsi="Century Gothic"/>
                <w:b w:val="0"/>
                <w:bCs w:val="0"/>
                <w:sz w:val="16"/>
                <w:szCs w:val="16"/>
              </w:rPr>
              <w:t xml:space="preserve">Erradicar la violencia contra las mujeres es uno de los principales desafíos que enfrenta el municipio. Para atenderla, es necesario implementar políticas gubernamentales transversales con enfoque multidimensional que incluyan la prevención, protección, sanción y reparación del daño. </w:t>
            </w:r>
          </w:p>
        </w:tc>
      </w:tr>
      <w:tr w:rsidR="007E0016" w:rsidRPr="007E0016" w14:paraId="1D2B1A2D" w14:textId="77777777" w:rsidTr="007E001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078" w:type="pct"/>
          </w:tcPr>
          <w:p w14:paraId="2EEE6F5E" w14:textId="77777777" w:rsidR="007E0016" w:rsidRPr="007E0016" w:rsidRDefault="007E0016" w:rsidP="007E0016">
            <w:pPr>
              <w:pStyle w:val="TableParagraph"/>
              <w:spacing w:before="2" w:line="360" w:lineRule="auto"/>
              <w:jc w:val="both"/>
              <w:rPr>
                <w:rFonts w:ascii="Century Gothic" w:hAnsi="Century Gothic"/>
                <w:b w:val="0"/>
                <w:bCs w:val="0"/>
                <w:color w:val="FF0000"/>
                <w:w w:val="85"/>
                <w:sz w:val="16"/>
                <w:szCs w:val="16"/>
              </w:rPr>
            </w:pPr>
            <w:r w:rsidRPr="007E0016">
              <w:rPr>
                <w:rFonts w:ascii="Century Gothic" w:hAnsi="Century Gothic"/>
                <w:b w:val="0"/>
                <w:bCs w:val="0"/>
                <w:sz w:val="16"/>
                <w:szCs w:val="16"/>
              </w:rPr>
              <w:t>Educación y salud con perspectiva de género</w:t>
            </w:r>
          </w:p>
        </w:tc>
        <w:tc>
          <w:tcPr>
            <w:cnfStyle w:val="000010000000" w:firstRow="0" w:lastRow="0" w:firstColumn="0" w:lastColumn="0" w:oddVBand="1" w:evenVBand="0" w:oddHBand="0" w:evenHBand="0" w:firstRowFirstColumn="0" w:firstRowLastColumn="0" w:lastRowFirstColumn="0" w:lastRowLastColumn="0"/>
            <w:tcW w:w="2045" w:type="pct"/>
          </w:tcPr>
          <w:p w14:paraId="227E9989" w14:textId="0770866A" w:rsidR="007E0016" w:rsidRPr="007E0016" w:rsidRDefault="007E0016" w:rsidP="007E0016">
            <w:pPr>
              <w:pStyle w:val="TableParagraph"/>
              <w:spacing w:before="146" w:line="360" w:lineRule="auto"/>
              <w:ind w:right="204"/>
              <w:jc w:val="both"/>
              <w:rPr>
                <w:rFonts w:ascii="Century Gothic" w:hAnsi="Century Gothic"/>
                <w:sz w:val="16"/>
                <w:szCs w:val="16"/>
              </w:rPr>
            </w:pPr>
            <w:r w:rsidRPr="007E0016">
              <w:rPr>
                <w:rFonts w:ascii="Century Gothic" w:hAnsi="Century Gothic"/>
                <w:sz w:val="16"/>
                <w:szCs w:val="16"/>
              </w:rPr>
              <w:t xml:space="preserve">La discriminación y violencia de la que son objeto tanto las mujeres como los grupos LGBT+ se identifican como actos que atentan contra los derechos humanos, en este caso particular, y que son consecuencia de procesos educativos y formativos que sirven a la reproducción de tales fenómenos, los que encuentran su base en una cultura en la que las relaciones de poder, discriminación y violencia desproporcionadas justifican y perpetúan la subordinación, exclusión e invisibilidad de estos grupos. </w:t>
            </w:r>
          </w:p>
        </w:tc>
        <w:tc>
          <w:tcPr>
            <w:cnfStyle w:val="000100000000" w:firstRow="0" w:lastRow="0" w:firstColumn="0" w:lastColumn="1" w:oddVBand="0" w:evenVBand="0" w:oddHBand="0" w:evenHBand="0" w:firstRowFirstColumn="0" w:firstRowLastColumn="0" w:lastRowFirstColumn="0" w:lastRowLastColumn="0"/>
            <w:tcW w:w="1877" w:type="pct"/>
          </w:tcPr>
          <w:p w14:paraId="6DD4F0E9" w14:textId="77777777" w:rsidR="007E0016" w:rsidRPr="007E0016" w:rsidRDefault="007E0016" w:rsidP="007E0016">
            <w:pPr>
              <w:pStyle w:val="TableParagraph"/>
              <w:spacing w:line="360" w:lineRule="auto"/>
              <w:ind w:right="205"/>
              <w:jc w:val="both"/>
              <w:rPr>
                <w:rFonts w:ascii="Century Gothic" w:hAnsi="Century Gothic"/>
                <w:b w:val="0"/>
                <w:bCs w:val="0"/>
                <w:sz w:val="16"/>
                <w:szCs w:val="16"/>
              </w:rPr>
            </w:pPr>
            <w:r w:rsidRPr="007E0016">
              <w:rPr>
                <w:rFonts w:ascii="Century Gothic" w:hAnsi="Century Gothic"/>
                <w:b w:val="0"/>
                <w:bCs w:val="0"/>
                <w:sz w:val="16"/>
                <w:szCs w:val="16"/>
              </w:rPr>
              <w:t>La conciencia de género es fundamental en la educación para la formación y participación cívica, social, económica, cultural y política, tanto de la mujer como de las personas LGBT+, en condiciones de igualdad”.</w:t>
            </w:r>
          </w:p>
        </w:tc>
      </w:tr>
      <w:tr w:rsidR="007E0016" w:rsidRPr="007E0016" w14:paraId="14EE25C1" w14:textId="77777777" w:rsidTr="007E0016">
        <w:trPr>
          <w:cnfStyle w:val="010000000000" w:firstRow="0" w:lastRow="1" w:firstColumn="0" w:lastColumn="0" w:oddVBand="0" w:evenVBand="0" w:oddHBand="0" w:evenHBand="0" w:firstRowFirstColumn="0" w:firstRowLastColumn="0" w:lastRowFirstColumn="0" w:lastRowLastColumn="0"/>
          <w:trHeight w:val="2174"/>
        </w:trPr>
        <w:tc>
          <w:tcPr>
            <w:cnfStyle w:val="001000000000" w:firstRow="0" w:lastRow="0" w:firstColumn="1" w:lastColumn="0" w:oddVBand="0" w:evenVBand="0" w:oddHBand="0" w:evenHBand="0" w:firstRowFirstColumn="0" w:firstRowLastColumn="0" w:lastRowFirstColumn="0" w:lastRowLastColumn="0"/>
            <w:tcW w:w="1078" w:type="pct"/>
          </w:tcPr>
          <w:p w14:paraId="1997E9D2" w14:textId="77777777" w:rsidR="007E0016" w:rsidRPr="007E0016" w:rsidRDefault="007E0016" w:rsidP="007E0016">
            <w:pPr>
              <w:pStyle w:val="TableParagraph"/>
              <w:spacing w:before="2" w:line="360" w:lineRule="auto"/>
              <w:jc w:val="both"/>
              <w:rPr>
                <w:rFonts w:ascii="Century Gothic" w:hAnsi="Century Gothic"/>
                <w:b w:val="0"/>
                <w:bCs w:val="0"/>
                <w:w w:val="85"/>
                <w:sz w:val="16"/>
                <w:szCs w:val="16"/>
              </w:rPr>
            </w:pPr>
            <w:r w:rsidRPr="007E0016">
              <w:rPr>
                <w:rFonts w:ascii="Century Gothic" w:hAnsi="Century Gothic"/>
                <w:b w:val="0"/>
                <w:bCs w:val="0"/>
                <w:sz w:val="16"/>
                <w:szCs w:val="16"/>
              </w:rPr>
              <w:t>Igualdad de derechos y oportunidades para las mujeres</w:t>
            </w:r>
          </w:p>
        </w:tc>
        <w:tc>
          <w:tcPr>
            <w:cnfStyle w:val="000010000000" w:firstRow="0" w:lastRow="0" w:firstColumn="0" w:lastColumn="0" w:oddVBand="1" w:evenVBand="0" w:oddHBand="0" w:evenHBand="0" w:firstRowFirstColumn="0" w:firstRowLastColumn="0" w:lastRowFirstColumn="0" w:lastRowLastColumn="0"/>
            <w:tcW w:w="2045" w:type="pct"/>
          </w:tcPr>
          <w:p w14:paraId="73F1DCFA" w14:textId="77777777" w:rsidR="007E0016" w:rsidRPr="007E0016" w:rsidRDefault="007E0016" w:rsidP="007E0016">
            <w:pPr>
              <w:pStyle w:val="TableParagraph"/>
              <w:spacing w:before="146" w:line="360" w:lineRule="auto"/>
              <w:ind w:left="108" w:right="204"/>
              <w:jc w:val="both"/>
              <w:rPr>
                <w:rFonts w:ascii="Century Gothic" w:hAnsi="Century Gothic"/>
                <w:b w:val="0"/>
                <w:bCs w:val="0"/>
                <w:sz w:val="16"/>
                <w:szCs w:val="16"/>
              </w:rPr>
            </w:pPr>
            <w:r w:rsidRPr="007E0016">
              <w:rPr>
                <w:rFonts w:ascii="Century Gothic" w:hAnsi="Century Gothic"/>
                <w:b w:val="0"/>
                <w:bCs w:val="0"/>
                <w:sz w:val="16"/>
                <w:szCs w:val="16"/>
              </w:rPr>
              <w:t xml:space="preserve">Se carece de normas efectivas, capacitación de los cuerpos de seguridad y justicia, y la creación de espacios seguros esenciales para dar paso a la igualdad de derechos y oportunidades para las mujeres. </w:t>
            </w:r>
          </w:p>
          <w:p w14:paraId="20B74BCC" w14:textId="77777777" w:rsidR="007E0016" w:rsidRPr="007E0016" w:rsidRDefault="007E0016" w:rsidP="007E0016">
            <w:pPr>
              <w:pStyle w:val="TableParagraph"/>
              <w:spacing w:before="146" w:line="360" w:lineRule="auto"/>
              <w:ind w:left="108" w:right="204"/>
              <w:rPr>
                <w:rFonts w:ascii="Century Gothic" w:hAnsi="Century Gothic"/>
                <w:b w:val="0"/>
                <w:bCs w:val="0"/>
                <w:sz w:val="16"/>
                <w:szCs w:val="16"/>
              </w:rPr>
            </w:pPr>
          </w:p>
        </w:tc>
        <w:tc>
          <w:tcPr>
            <w:cnfStyle w:val="000100000000" w:firstRow="0" w:lastRow="0" w:firstColumn="0" w:lastColumn="1" w:oddVBand="0" w:evenVBand="0" w:oddHBand="0" w:evenHBand="0" w:firstRowFirstColumn="0" w:firstRowLastColumn="0" w:lastRowFirstColumn="0" w:lastRowLastColumn="0"/>
            <w:tcW w:w="1877" w:type="pct"/>
          </w:tcPr>
          <w:p w14:paraId="32E39705" w14:textId="77777777" w:rsidR="007E0016" w:rsidRPr="007E0016" w:rsidRDefault="007E0016" w:rsidP="007E0016">
            <w:pPr>
              <w:pStyle w:val="TableParagraph"/>
              <w:spacing w:before="4" w:line="360" w:lineRule="auto"/>
              <w:ind w:right="205"/>
              <w:jc w:val="both"/>
              <w:rPr>
                <w:rFonts w:ascii="Century Gothic" w:hAnsi="Century Gothic"/>
                <w:b w:val="0"/>
                <w:bCs w:val="0"/>
                <w:sz w:val="16"/>
                <w:szCs w:val="16"/>
              </w:rPr>
            </w:pPr>
            <w:r w:rsidRPr="007E0016">
              <w:rPr>
                <w:rFonts w:ascii="Century Gothic" w:hAnsi="Century Gothic"/>
                <w:b w:val="0"/>
                <w:bCs w:val="0"/>
                <w:sz w:val="16"/>
                <w:szCs w:val="16"/>
              </w:rPr>
              <w:t xml:space="preserve">Crear las condiciones necesarias, proporcionando recursos, generando oportunidades y brindando en todo tiempo el apoyo necesario para que puedan tomar el control de sus vidas, optando por decisiones informadas y participando activamente en la sociedad. </w:t>
            </w:r>
          </w:p>
          <w:p w14:paraId="60256059" w14:textId="77777777" w:rsidR="007E0016" w:rsidRPr="007E0016" w:rsidRDefault="007E0016" w:rsidP="007E0016">
            <w:pPr>
              <w:pStyle w:val="TableParagraph"/>
              <w:spacing w:before="4" w:line="360" w:lineRule="auto"/>
              <w:ind w:right="205"/>
              <w:jc w:val="both"/>
              <w:rPr>
                <w:rFonts w:ascii="Century Gothic" w:hAnsi="Century Gothic"/>
                <w:b w:val="0"/>
                <w:bCs w:val="0"/>
                <w:sz w:val="16"/>
                <w:szCs w:val="16"/>
              </w:rPr>
            </w:pPr>
          </w:p>
        </w:tc>
      </w:tr>
    </w:tbl>
    <w:p w14:paraId="3C94C745" w14:textId="0ECA63FA" w:rsidR="00B42001" w:rsidRDefault="00B42001" w:rsidP="007E0016">
      <w:pPr>
        <w:spacing w:line="360" w:lineRule="auto"/>
        <w:jc w:val="both"/>
        <w:rPr>
          <w:rFonts w:ascii="Century Gothic" w:hAnsi="Century Gothic"/>
          <w:bCs/>
          <w:color w:val="025850"/>
          <w:sz w:val="22"/>
          <w:szCs w:val="22"/>
        </w:rPr>
      </w:pPr>
    </w:p>
    <w:p w14:paraId="056A33CF" w14:textId="77777777" w:rsidR="00B42001" w:rsidRDefault="00B42001">
      <w:pPr>
        <w:rPr>
          <w:rFonts w:ascii="Century Gothic" w:hAnsi="Century Gothic"/>
          <w:bCs/>
          <w:color w:val="025850"/>
          <w:sz w:val="22"/>
          <w:szCs w:val="22"/>
        </w:rPr>
      </w:pPr>
      <w:r>
        <w:rPr>
          <w:rFonts w:ascii="Century Gothic" w:hAnsi="Century Gothic"/>
          <w:bCs/>
          <w:color w:val="025850"/>
          <w:sz w:val="22"/>
          <w:szCs w:val="22"/>
        </w:rPr>
        <w:br w:type="page"/>
      </w:r>
    </w:p>
    <w:p w14:paraId="2A61F88B" w14:textId="77777777" w:rsidR="00B42001" w:rsidRDefault="00B42001" w:rsidP="007E0016">
      <w:pPr>
        <w:spacing w:line="360" w:lineRule="auto"/>
        <w:jc w:val="both"/>
        <w:rPr>
          <w:rFonts w:ascii="Century Gothic" w:hAnsi="Century Gothic"/>
          <w:bCs/>
          <w:color w:val="025850"/>
          <w:sz w:val="22"/>
          <w:szCs w:val="22"/>
        </w:rPr>
        <w:sectPr w:rsidR="00B42001" w:rsidSect="007E0016">
          <w:pgSz w:w="15840" w:h="12240" w:orient="landscape"/>
          <w:pgMar w:top="1440" w:right="1440" w:bottom="1440" w:left="1440" w:header="709" w:footer="709" w:gutter="0"/>
          <w:cols w:space="708"/>
          <w:docGrid w:linePitch="360"/>
        </w:sectPr>
      </w:pPr>
    </w:p>
    <w:p w14:paraId="38D998DF" w14:textId="0BBF6ED2" w:rsidR="007E0016" w:rsidRPr="00B42001" w:rsidRDefault="00B42001" w:rsidP="007E0016">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lastRenderedPageBreak/>
        <w:t>Instrumentación Estratégica</w:t>
      </w:r>
    </w:p>
    <w:p w14:paraId="6F9B1A3B"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Objetivo</w:t>
      </w:r>
    </w:p>
    <w:p w14:paraId="2C4A44C4"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 xml:space="preserve">T 1.1 Promover la institucionalización y transversalización de la perspectiva de género. </w:t>
      </w:r>
    </w:p>
    <w:p w14:paraId="383CEC72"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Estrategia</w:t>
      </w:r>
    </w:p>
    <w:p w14:paraId="144791B5"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T 1.1.1 Fomentar la generación de políticas públicas con perspectiva de género</w:t>
      </w:r>
    </w:p>
    <w:p w14:paraId="18AD7A63" w14:textId="77777777" w:rsidR="00B42001" w:rsidRPr="00B42001" w:rsidRDefault="00B42001" w:rsidP="00B42001">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t>Líneas de acción</w:t>
      </w:r>
    </w:p>
    <w:p w14:paraId="523CF331"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1.1.1.1 Desarrollar e implementar políticas públicas integrales y eficaces orientadas a la atención, protección y empoderamiento de las mujeres en situación de vulnerabilidad, con el fin de promover su bienestar y garantizar su acceso a recursos y oportunidades.</w:t>
      </w:r>
    </w:p>
    <w:p w14:paraId="074A86BB"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Objetivo</w:t>
      </w:r>
    </w:p>
    <w:p w14:paraId="511F64F0"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 xml:space="preserve">T 1.2 Erradicar la violencia de género en todas sus formas y manifestaciones. </w:t>
      </w:r>
    </w:p>
    <w:p w14:paraId="73CF6503" w14:textId="77777777" w:rsidR="00B42001" w:rsidRDefault="00B42001" w:rsidP="00B42001">
      <w:pPr>
        <w:spacing w:line="360" w:lineRule="auto"/>
        <w:jc w:val="both"/>
        <w:rPr>
          <w:rFonts w:ascii="Century Gothic" w:hAnsi="Century Gothic"/>
          <w:b/>
          <w:sz w:val="22"/>
          <w:szCs w:val="22"/>
        </w:rPr>
      </w:pPr>
    </w:p>
    <w:p w14:paraId="3C701D16" w14:textId="671A377B"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Estrategia</w:t>
      </w:r>
    </w:p>
    <w:p w14:paraId="34189CED"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T 1.2.1 Prevenir y atender la violencia de género en diferentes contextos socioculturales, con enfoque multidisciplinario e interseccional.</w:t>
      </w:r>
    </w:p>
    <w:p w14:paraId="2F48F1F6" w14:textId="77777777" w:rsidR="00B42001" w:rsidRPr="00B42001" w:rsidRDefault="00B42001" w:rsidP="00B42001">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t>Líneas de acción</w:t>
      </w:r>
    </w:p>
    <w:p w14:paraId="1C77373F"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1.2.1.1Promover la seguridad física y emocional de las mujeres mediante la organización de cursos de defensa personal, con el objetivo de dotarlas de herramientas y habilidades para la prevención de situaciones de riesgo y la mejora de su autoestima.</w:t>
      </w:r>
    </w:p>
    <w:p w14:paraId="248F2D4D"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1.2.1.2 Implementar actividades conmemorativas en el marco del Día Naranja, orientadas a generar conciencia sobre la violencia de género y a promover acciones preventivas que contribuyan a erradicar la violencia contra mujeres y niñas en la comunidad.</w:t>
      </w:r>
    </w:p>
    <w:p w14:paraId="23C9AC68"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Estrategia</w:t>
      </w:r>
    </w:p>
    <w:p w14:paraId="0AE7C58F"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T 1.2.2 Crear entornos y territorios seguros para las mujeres, fomentando la construcción de la paz.</w:t>
      </w:r>
    </w:p>
    <w:p w14:paraId="7892C621" w14:textId="77777777" w:rsidR="00B42001" w:rsidRPr="00B42001" w:rsidRDefault="00B42001" w:rsidP="00B42001">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lastRenderedPageBreak/>
        <w:t>Líneas de acción</w:t>
      </w:r>
    </w:p>
    <w:p w14:paraId="5966E6C6" w14:textId="647F96CF"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1.2.2.1 Promover la creación y participación activa en los Centros Naranjas, espacios destinados a ofrecer seguridad, apoyo y orientación a las mujeres isleñas que se encuentran en situación de vulnerabilidad, facilitando su acceso a recursos y servicios de apoyo.</w:t>
      </w:r>
    </w:p>
    <w:p w14:paraId="5BB024ED"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Objetivo</w:t>
      </w:r>
    </w:p>
    <w:p w14:paraId="0F8580A0"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 xml:space="preserve">T 1.3 Coordinar la inclusión de la perspectiva de género en la prestación de los servicios educativos y de salud. </w:t>
      </w:r>
    </w:p>
    <w:p w14:paraId="0FA43C84" w14:textId="77777777" w:rsidR="00B42001" w:rsidRPr="00B42001" w:rsidRDefault="00B42001" w:rsidP="00B42001">
      <w:pPr>
        <w:spacing w:line="360" w:lineRule="auto"/>
        <w:jc w:val="both"/>
        <w:rPr>
          <w:rFonts w:ascii="Century Gothic" w:hAnsi="Century Gothic"/>
          <w:b/>
          <w:color w:val="025850"/>
          <w:sz w:val="22"/>
          <w:szCs w:val="22"/>
        </w:rPr>
      </w:pPr>
      <w:r w:rsidRPr="00B42001">
        <w:rPr>
          <w:rFonts w:ascii="Century Gothic" w:hAnsi="Century Gothic"/>
          <w:b/>
          <w:color w:val="025850"/>
          <w:sz w:val="22"/>
          <w:szCs w:val="22"/>
        </w:rPr>
        <w:t>Estrategia</w:t>
      </w:r>
    </w:p>
    <w:p w14:paraId="2AB244E2"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T 1.3.1 Impulsar programas de prevención del embarazo infantil y adolescente.</w:t>
      </w:r>
    </w:p>
    <w:p w14:paraId="14095D08" w14:textId="77777777" w:rsidR="00B42001" w:rsidRPr="00B42001" w:rsidRDefault="00B42001" w:rsidP="00B42001">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t xml:space="preserve">Líneas de acción </w:t>
      </w:r>
    </w:p>
    <w:p w14:paraId="4642C7F5"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 xml:space="preserve">T 1.3.1.1 Desarrollar e impartir cursos y conferencias educativas sobre prevención del embarazo infantil y adolescente, a fin de informar y sensibilizar a la población joven sobre los riesgos y consecuencias de un embarazo a temprana edad, promoviendo </w:t>
      </w:r>
      <w:r w:rsidRPr="00B42001">
        <w:rPr>
          <w:rFonts w:ascii="Century Gothic" w:hAnsi="Century Gothic"/>
          <w:sz w:val="22"/>
          <w:szCs w:val="22"/>
        </w:rPr>
        <w:t>el acceso a métodos anticonceptivos y alternativas de educación sexual.</w:t>
      </w:r>
    </w:p>
    <w:p w14:paraId="0AFDE9DC"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1.3.1.2 Fomentar y gestionar programas de sensibilización y detección temprana del cáncer de mama, facilitando el acceso a estudios médicos y promoviendo la importancia de la autoexploración y las revisiones periódicas como medidas de prevención.</w:t>
      </w:r>
    </w:p>
    <w:p w14:paraId="4A0146F5"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1.3.1.3 Promover programas educativos y preventivos orientados a la prevención de enfermedades de transmisión sexual (ETS), a través de campañas de sensibilización, distribución de métodos anticonceptivos y promoción de prácticas sexuales seguras.</w:t>
      </w:r>
    </w:p>
    <w:p w14:paraId="2E0BFB06"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Objetivo</w:t>
      </w:r>
    </w:p>
    <w:p w14:paraId="1CA9DCBD"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 xml:space="preserve">T 1.4 Promover la igualdad de derechos y oportunidades de las mujeres para acceder a una vida digna. </w:t>
      </w:r>
    </w:p>
    <w:p w14:paraId="3B86040B"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Estrategia</w:t>
      </w:r>
    </w:p>
    <w:p w14:paraId="1F55FB7B" w14:textId="0DC96B81" w:rsid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T 1.4.1 Promover la participación igualitaria de las mujeres en espacios de toma de decisiones.</w:t>
      </w:r>
    </w:p>
    <w:p w14:paraId="032DE159" w14:textId="77777777" w:rsidR="00B42001" w:rsidRPr="00B42001" w:rsidRDefault="00B42001" w:rsidP="00B42001">
      <w:pPr>
        <w:spacing w:line="360" w:lineRule="auto"/>
        <w:jc w:val="both"/>
        <w:rPr>
          <w:rFonts w:ascii="Century Gothic" w:hAnsi="Century Gothic"/>
          <w:sz w:val="22"/>
          <w:szCs w:val="22"/>
        </w:rPr>
      </w:pPr>
    </w:p>
    <w:p w14:paraId="409D5D39" w14:textId="77777777" w:rsidR="00B42001" w:rsidRPr="00B42001" w:rsidRDefault="00B42001" w:rsidP="00B42001">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lastRenderedPageBreak/>
        <w:t xml:space="preserve">Líneas de acción </w:t>
      </w:r>
    </w:p>
    <w:p w14:paraId="700E2EBE" w14:textId="77777777" w:rsidR="00B42001" w:rsidRPr="00B42001" w:rsidRDefault="00B42001" w:rsidP="0008767B">
      <w:pPr>
        <w:pStyle w:val="Prrafodelista"/>
        <w:numPr>
          <w:ilvl w:val="0"/>
          <w:numId w:val="65"/>
        </w:numPr>
        <w:spacing w:after="160" w:line="360" w:lineRule="auto"/>
        <w:jc w:val="both"/>
        <w:rPr>
          <w:rFonts w:ascii="Century Gothic" w:hAnsi="Century Gothic"/>
          <w:sz w:val="22"/>
          <w:szCs w:val="22"/>
        </w:rPr>
      </w:pPr>
      <w:r w:rsidRPr="00B42001">
        <w:rPr>
          <w:rFonts w:ascii="Century Gothic" w:hAnsi="Century Gothic"/>
          <w:sz w:val="22"/>
          <w:szCs w:val="22"/>
        </w:rPr>
        <w:t>T 1.4.1.1 Participar activamente en foros, conversatorios y otros espacios de encuentro, con el propósito de fomentar el empoderamiento de las mujeres, motivándolas a alcanzar sus sueños y metas, y brindándoles el apoyo necesario para la realización de sus proyectos personales y profesionales.</w:t>
      </w:r>
    </w:p>
    <w:p w14:paraId="6B242376" w14:textId="77777777" w:rsidR="00B42001" w:rsidRPr="00B42001" w:rsidRDefault="00B42001" w:rsidP="00B42001">
      <w:pPr>
        <w:spacing w:line="360" w:lineRule="auto"/>
        <w:jc w:val="both"/>
        <w:rPr>
          <w:rFonts w:ascii="Century Gothic" w:hAnsi="Century Gothic"/>
          <w:color w:val="025850"/>
          <w:sz w:val="22"/>
          <w:szCs w:val="22"/>
        </w:rPr>
      </w:pPr>
      <w:r w:rsidRPr="00B42001">
        <w:rPr>
          <w:rFonts w:ascii="Century Gothic" w:hAnsi="Century Gothic"/>
          <w:b/>
          <w:color w:val="025850"/>
          <w:sz w:val="22"/>
          <w:szCs w:val="22"/>
        </w:rPr>
        <w:t>Estrategia</w:t>
      </w:r>
    </w:p>
    <w:p w14:paraId="64714A32" w14:textId="77777777" w:rsidR="00B42001" w:rsidRPr="00B42001" w:rsidRDefault="00B42001" w:rsidP="00B42001">
      <w:pPr>
        <w:spacing w:line="360" w:lineRule="auto"/>
        <w:jc w:val="both"/>
        <w:rPr>
          <w:rFonts w:ascii="Century Gothic" w:hAnsi="Century Gothic"/>
          <w:sz w:val="22"/>
          <w:szCs w:val="22"/>
        </w:rPr>
      </w:pPr>
      <w:r w:rsidRPr="00B42001">
        <w:rPr>
          <w:rFonts w:ascii="Century Gothic" w:hAnsi="Century Gothic"/>
          <w:sz w:val="22"/>
          <w:szCs w:val="22"/>
        </w:rPr>
        <w:t>T 1.4.2 Empoderar a las mujeres para mejorar su calidad de vida, así como potenciar su autonomía económica y derechos laborales.</w:t>
      </w:r>
    </w:p>
    <w:p w14:paraId="69384265" w14:textId="77777777" w:rsidR="00B42001" w:rsidRPr="00B42001" w:rsidRDefault="00B42001" w:rsidP="00B42001">
      <w:pPr>
        <w:spacing w:line="360" w:lineRule="auto"/>
        <w:jc w:val="both"/>
        <w:rPr>
          <w:rFonts w:ascii="Century Gothic" w:hAnsi="Century Gothic"/>
          <w:b/>
          <w:bCs/>
          <w:color w:val="025850"/>
          <w:sz w:val="22"/>
          <w:szCs w:val="22"/>
        </w:rPr>
      </w:pPr>
      <w:r w:rsidRPr="00B42001">
        <w:rPr>
          <w:rFonts w:ascii="Century Gothic" w:hAnsi="Century Gothic"/>
          <w:b/>
          <w:bCs/>
          <w:color w:val="025850"/>
          <w:sz w:val="22"/>
          <w:szCs w:val="22"/>
        </w:rPr>
        <w:t>Líneas de acción</w:t>
      </w:r>
    </w:p>
    <w:p w14:paraId="2E57FB8D" w14:textId="77777777" w:rsidR="00B42001" w:rsidRPr="00B42001" w:rsidRDefault="00B42001" w:rsidP="0008767B">
      <w:pPr>
        <w:pStyle w:val="Prrafodelista"/>
        <w:numPr>
          <w:ilvl w:val="0"/>
          <w:numId w:val="64"/>
        </w:numPr>
        <w:spacing w:after="160" w:line="360" w:lineRule="auto"/>
        <w:jc w:val="both"/>
        <w:rPr>
          <w:rFonts w:ascii="Century Gothic" w:hAnsi="Century Gothic"/>
          <w:sz w:val="22"/>
          <w:szCs w:val="22"/>
        </w:rPr>
      </w:pPr>
      <w:r w:rsidRPr="00B42001">
        <w:rPr>
          <w:rFonts w:ascii="Century Gothic" w:hAnsi="Century Gothic"/>
          <w:sz w:val="22"/>
          <w:szCs w:val="22"/>
        </w:rPr>
        <w:t>T 1.4.2.1 Impulsar programas de apoyo económico dirigidos a mujeres emprendedoras, con el fin de facilitar el inicio o fortalecimiento de sus negocios, contribuyendo al desarrollo económico local y promoviendo la autonomía financiera de las mujeres.</w:t>
      </w:r>
    </w:p>
    <w:p w14:paraId="005A286B" w14:textId="122AD0A0" w:rsidR="00B42001" w:rsidRDefault="00B42001" w:rsidP="0008767B">
      <w:pPr>
        <w:pStyle w:val="Prrafodelista"/>
        <w:numPr>
          <w:ilvl w:val="0"/>
          <w:numId w:val="64"/>
        </w:numPr>
        <w:spacing w:after="160" w:line="360" w:lineRule="auto"/>
        <w:jc w:val="both"/>
        <w:rPr>
          <w:rFonts w:ascii="Century Gothic" w:hAnsi="Century Gothic"/>
          <w:sz w:val="22"/>
          <w:szCs w:val="22"/>
        </w:rPr>
      </w:pPr>
      <w:r w:rsidRPr="00B42001">
        <w:rPr>
          <w:rFonts w:ascii="Century Gothic" w:hAnsi="Century Gothic"/>
          <w:sz w:val="22"/>
          <w:szCs w:val="22"/>
        </w:rPr>
        <w:t xml:space="preserve">T 1.4.2.2 Diseñar e implementar talleres prácticos de formación en habilidades para el autoempleo, </w:t>
      </w:r>
      <w:r w:rsidRPr="00B42001">
        <w:rPr>
          <w:rFonts w:ascii="Century Gothic" w:hAnsi="Century Gothic"/>
          <w:sz w:val="22"/>
          <w:szCs w:val="22"/>
        </w:rPr>
        <w:t>dirigidos especialmente a mujeres jefas de familia, para ofrecerles herramientas que les permitan generar ingresos propios y mejorar su calidad de vida, contribuyendo a su independencia económica y social.</w:t>
      </w:r>
    </w:p>
    <w:p w14:paraId="0F9253EF" w14:textId="5B9276BC" w:rsidR="00B42001" w:rsidRDefault="00B42001">
      <w:pPr>
        <w:rPr>
          <w:rFonts w:ascii="Century Gothic" w:hAnsi="Century Gothic"/>
          <w:sz w:val="22"/>
          <w:szCs w:val="22"/>
        </w:rPr>
      </w:pPr>
      <w:r>
        <w:rPr>
          <w:rFonts w:ascii="Century Gothic" w:hAnsi="Century Gothic"/>
          <w:sz w:val="22"/>
          <w:szCs w:val="22"/>
        </w:rPr>
        <w:br w:type="page"/>
      </w:r>
    </w:p>
    <w:p w14:paraId="38E6A186" w14:textId="77777777" w:rsidR="00B42001" w:rsidRPr="00B42001" w:rsidRDefault="00B42001" w:rsidP="00B42001">
      <w:pPr>
        <w:spacing w:line="360" w:lineRule="auto"/>
        <w:rPr>
          <w:rFonts w:ascii="Century Gothic" w:hAnsi="Century Gothic"/>
          <w:b/>
          <w:color w:val="025850"/>
          <w:sz w:val="22"/>
          <w:szCs w:val="22"/>
        </w:rPr>
      </w:pPr>
      <w:r w:rsidRPr="00B42001">
        <w:rPr>
          <w:rFonts w:ascii="Century Gothic" w:hAnsi="Century Gothic"/>
          <w:b/>
          <w:color w:val="025850"/>
          <w:sz w:val="22"/>
          <w:szCs w:val="22"/>
        </w:rPr>
        <w:lastRenderedPageBreak/>
        <w:t>Metas terminales e intermedias</w:t>
      </w:r>
    </w:p>
    <w:tbl>
      <w:tblPr>
        <w:tblStyle w:val="Tablaconcuadrcula4-nfasis2"/>
        <w:tblW w:w="12893" w:type="dxa"/>
        <w:tblLook w:val="04A0" w:firstRow="1" w:lastRow="0" w:firstColumn="1" w:lastColumn="0" w:noHBand="0" w:noVBand="1"/>
      </w:tblPr>
      <w:tblGrid>
        <w:gridCol w:w="4179"/>
        <w:gridCol w:w="1631"/>
        <w:gridCol w:w="1995"/>
        <w:gridCol w:w="1696"/>
        <w:gridCol w:w="1696"/>
        <w:gridCol w:w="1696"/>
      </w:tblGrid>
      <w:tr w:rsidR="00B42001" w:rsidRPr="008C4EB3" w14:paraId="0492420D" w14:textId="77777777" w:rsidTr="00B42001">
        <w:trPr>
          <w:cnfStyle w:val="100000000000" w:firstRow="1" w:lastRow="0" w:firstColumn="0" w:lastColumn="0" w:oddVBand="0" w:evenVBand="0" w:oddHBand="0"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4179" w:type="dxa"/>
            <w:hideMark/>
          </w:tcPr>
          <w:p w14:paraId="1B55B9EF" w14:textId="77777777" w:rsidR="00B42001" w:rsidRPr="008C4EB3" w:rsidRDefault="00B42001" w:rsidP="00E6209B">
            <w:pPr>
              <w:jc w:val="center"/>
              <w:rPr>
                <w:rFonts w:ascii="Calibri" w:eastAsia="Times New Roman" w:hAnsi="Calibri" w:cs="Calibri"/>
                <w:sz w:val="22"/>
                <w:szCs w:val="22"/>
                <w:lang w:eastAsia="es-MX"/>
              </w:rPr>
            </w:pPr>
            <w:r w:rsidRPr="008C4EB3">
              <w:rPr>
                <w:rFonts w:ascii="Calibri" w:eastAsia="Times New Roman" w:hAnsi="Calibri" w:cs="Calibri"/>
                <w:sz w:val="22"/>
                <w:szCs w:val="22"/>
                <w:lang w:eastAsia="es-MX"/>
              </w:rPr>
              <w:t>Meta por Actividad</w:t>
            </w:r>
          </w:p>
        </w:tc>
        <w:tc>
          <w:tcPr>
            <w:tcW w:w="1631" w:type="dxa"/>
            <w:hideMark/>
          </w:tcPr>
          <w:p w14:paraId="42CACF08" w14:textId="77777777" w:rsidR="00B42001" w:rsidRPr="008C4EB3" w:rsidRDefault="00B42001" w:rsidP="00E620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8C4EB3">
              <w:rPr>
                <w:rFonts w:ascii="Calibri" w:eastAsia="Times New Roman" w:hAnsi="Calibri" w:cs="Calibri"/>
                <w:sz w:val="22"/>
                <w:szCs w:val="22"/>
                <w:lang w:eastAsia="es-MX"/>
              </w:rPr>
              <w:t>Unidad de Medida</w:t>
            </w:r>
          </w:p>
        </w:tc>
        <w:tc>
          <w:tcPr>
            <w:tcW w:w="1995" w:type="dxa"/>
            <w:hideMark/>
          </w:tcPr>
          <w:p w14:paraId="79752B23" w14:textId="77777777" w:rsidR="00B42001" w:rsidRPr="008C4EB3" w:rsidRDefault="00B42001" w:rsidP="00E620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8C4EB3">
              <w:rPr>
                <w:rFonts w:ascii="Calibri" w:eastAsia="Times New Roman" w:hAnsi="Calibri" w:cs="Calibri"/>
                <w:sz w:val="22"/>
                <w:szCs w:val="22"/>
                <w:lang w:eastAsia="es-MX"/>
              </w:rPr>
              <w:t>Total</w:t>
            </w:r>
            <w:r w:rsidRPr="008C4EB3">
              <w:rPr>
                <w:rFonts w:ascii="Calibri" w:eastAsia="Times New Roman" w:hAnsi="Calibri" w:cs="Calibri"/>
                <w:b w:val="0"/>
                <w:bCs w:val="0"/>
                <w:sz w:val="22"/>
                <w:szCs w:val="22"/>
                <w:lang w:eastAsia="es-MX"/>
              </w:rPr>
              <w:t>,</w:t>
            </w:r>
            <w:r w:rsidRPr="008C4EB3">
              <w:rPr>
                <w:rFonts w:ascii="Calibri" w:eastAsia="Times New Roman" w:hAnsi="Calibri" w:cs="Calibri"/>
                <w:sz w:val="22"/>
                <w:szCs w:val="22"/>
                <w:lang w:eastAsia="es-MX"/>
              </w:rPr>
              <w:t xml:space="preserve"> de Metas Programadas durante la administración</w:t>
            </w:r>
          </w:p>
        </w:tc>
        <w:tc>
          <w:tcPr>
            <w:tcW w:w="1696" w:type="dxa"/>
            <w:hideMark/>
          </w:tcPr>
          <w:p w14:paraId="1F04D7A0" w14:textId="77777777" w:rsidR="00B42001" w:rsidRPr="008C4EB3" w:rsidRDefault="00B42001" w:rsidP="00E620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8C4EB3">
              <w:rPr>
                <w:rFonts w:ascii="Calibri" w:eastAsia="Times New Roman" w:hAnsi="Calibri" w:cs="Calibri"/>
                <w:sz w:val="22"/>
                <w:szCs w:val="22"/>
                <w:lang w:eastAsia="es-MX"/>
              </w:rPr>
              <w:t>Programado 2025</w:t>
            </w:r>
          </w:p>
        </w:tc>
        <w:tc>
          <w:tcPr>
            <w:tcW w:w="1696" w:type="dxa"/>
            <w:hideMark/>
          </w:tcPr>
          <w:p w14:paraId="17D0DCFC" w14:textId="77777777" w:rsidR="00B42001" w:rsidRPr="008C4EB3" w:rsidRDefault="00B42001" w:rsidP="00E620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8C4EB3">
              <w:rPr>
                <w:rFonts w:ascii="Calibri" w:eastAsia="Times New Roman" w:hAnsi="Calibri" w:cs="Calibri"/>
                <w:sz w:val="22"/>
                <w:szCs w:val="22"/>
                <w:lang w:eastAsia="es-MX"/>
              </w:rPr>
              <w:t>Programado 2026</w:t>
            </w:r>
          </w:p>
        </w:tc>
        <w:tc>
          <w:tcPr>
            <w:tcW w:w="1696" w:type="dxa"/>
            <w:hideMark/>
          </w:tcPr>
          <w:p w14:paraId="42BA6A71" w14:textId="77777777" w:rsidR="00B42001" w:rsidRPr="008C4EB3" w:rsidRDefault="00B42001" w:rsidP="00E6209B">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8C4EB3">
              <w:rPr>
                <w:rFonts w:ascii="Calibri" w:eastAsia="Times New Roman" w:hAnsi="Calibri" w:cs="Calibri"/>
                <w:sz w:val="22"/>
                <w:szCs w:val="22"/>
                <w:lang w:eastAsia="es-MX"/>
              </w:rPr>
              <w:t>Programado 2027</w:t>
            </w:r>
          </w:p>
        </w:tc>
      </w:tr>
      <w:tr w:rsidR="00B42001" w:rsidRPr="008C4EB3" w14:paraId="45C020C1" w14:textId="77777777" w:rsidTr="00B4200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79FCADC2"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 xml:space="preserve">Realizar conferencias a la mujer y comunidad LGBTIQ+ </w:t>
            </w:r>
          </w:p>
        </w:tc>
        <w:tc>
          <w:tcPr>
            <w:tcW w:w="1631" w:type="dxa"/>
            <w:noWrap/>
            <w:hideMark/>
          </w:tcPr>
          <w:p w14:paraId="6DA2DECA" w14:textId="77777777" w:rsidR="00B42001" w:rsidRPr="00B42001" w:rsidRDefault="00B42001" w:rsidP="00E620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Conferencia</w:t>
            </w:r>
          </w:p>
        </w:tc>
        <w:tc>
          <w:tcPr>
            <w:tcW w:w="1995" w:type="dxa"/>
            <w:noWrap/>
            <w:hideMark/>
          </w:tcPr>
          <w:p w14:paraId="1C49DA34"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18</w:t>
            </w:r>
          </w:p>
        </w:tc>
        <w:tc>
          <w:tcPr>
            <w:tcW w:w="1696" w:type="dxa"/>
            <w:noWrap/>
            <w:hideMark/>
          </w:tcPr>
          <w:p w14:paraId="5844C93E"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c>
          <w:tcPr>
            <w:tcW w:w="1696" w:type="dxa"/>
            <w:noWrap/>
            <w:hideMark/>
          </w:tcPr>
          <w:p w14:paraId="61E92CE2"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c>
          <w:tcPr>
            <w:tcW w:w="1696" w:type="dxa"/>
            <w:noWrap/>
            <w:hideMark/>
          </w:tcPr>
          <w:p w14:paraId="496BC061"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r>
      <w:tr w:rsidR="00B42001" w:rsidRPr="008C4EB3" w14:paraId="11E1F82C" w14:textId="77777777" w:rsidTr="00B42001">
        <w:trPr>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76B56BF2"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 xml:space="preserve">Realizar talleres de Globoflexia </w:t>
            </w:r>
          </w:p>
        </w:tc>
        <w:tc>
          <w:tcPr>
            <w:tcW w:w="1631" w:type="dxa"/>
            <w:noWrap/>
            <w:hideMark/>
          </w:tcPr>
          <w:p w14:paraId="28FB08F8" w14:textId="77777777" w:rsidR="00B42001" w:rsidRPr="00B42001" w:rsidRDefault="00B42001" w:rsidP="00E620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 xml:space="preserve">Taller </w:t>
            </w:r>
          </w:p>
        </w:tc>
        <w:tc>
          <w:tcPr>
            <w:tcW w:w="1995" w:type="dxa"/>
            <w:noWrap/>
            <w:hideMark/>
          </w:tcPr>
          <w:p w14:paraId="4193D4DB"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c>
          <w:tcPr>
            <w:tcW w:w="1696" w:type="dxa"/>
            <w:noWrap/>
            <w:hideMark/>
          </w:tcPr>
          <w:p w14:paraId="5F59A954"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0DC1D835"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609010D0"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r>
      <w:tr w:rsidR="00B42001" w:rsidRPr="008C4EB3" w14:paraId="413AE42D" w14:textId="77777777" w:rsidTr="00B4200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24FA6616"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Llevar a cabo bazares con nombre Delicia ISLENSE y ARCORIS</w:t>
            </w:r>
          </w:p>
        </w:tc>
        <w:tc>
          <w:tcPr>
            <w:tcW w:w="1631" w:type="dxa"/>
            <w:noWrap/>
            <w:hideMark/>
          </w:tcPr>
          <w:p w14:paraId="352B1303" w14:textId="77777777" w:rsidR="00B42001" w:rsidRPr="00B42001" w:rsidRDefault="00B42001" w:rsidP="00E620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Bazares</w:t>
            </w:r>
          </w:p>
        </w:tc>
        <w:tc>
          <w:tcPr>
            <w:tcW w:w="1995" w:type="dxa"/>
            <w:noWrap/>
            <w:hideMark/>
          </w:tcPr>
          <w:p w14:paraId="50853CB2"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9</w:t>
            </w:r>
          </w:p>
        </w:tc>
        <w:tc>
          <w:tcPr>
            <w:tcW w:w="1696" w:type="dxa"/>
            <w:noWrap/>
            <w:hideMark/>
          </w:tcPr>
          <w:p w14:paraId="22765401"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3</w:t>
            </w:r>
          </w:p>
        </w:tc>
        <w:tc>
          <w:tcPr>
            <w:tcW w:w="1696" w:type="dxa"/>
            <w:noWrap/>
            <w:hideMark/>
          </w:tcPr>
          <w:p w14:paraId="30816DF3"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3</w:t>
            </w:r>
          </w:p>
        </w:tc>
        <w:tc>
          <w:tcPr>
            <w:tcW w:w="1696" w:type="dxa"/>
            <w:noWrap/>
            <w:hideMark/>
          </w:tcPr>
          <w:p w14:paraId="7063D6F8"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3</w:t>
            </w:r>
          </w:p>
        </w:tc>
      </w:tr>
      <w:tr w:rsidR="00B42001" w:rsidRPr="008C4EB3" w14:paraId="131968BE" w14:textId="77777777" w:rsidTr="00B42001">
        <w:trPr>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0B506466"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Realizar un curso de colocación de extensiones de pestañas</w:t>
            </w:r>
          </w:p>
        </w:tc>
        <w:tc>
          <w:tcPr>
            <w:tcW w:w="1631" w:type="dxa"/>
            <w:noWrap/>
            <w:hideMark/>
          </w:tcPr>
          <w:p w14:paraId="26284C90" w14:textId="77777777" w:rsidR="00B42001" w:rsidRPr="00B42001" w:rsidRDefault="00B42001" w:rsidP="00E620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Cursos</w:t>
            </w:r>
          </w:p>
        </w:tc>
        <w:tc>
          <w:tcPr>
            <w:tcW w:w="1995" w:type="dxa"/>
            <w:noWrap/>
            <w:hideMark/>
          </w:tcPr>
          <w:p w14:paraId="730DE9EE"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c>
          <w:tcPr>
            <w:tcW w:w="1696" w:type="dxa"/>
            <w:noWrap/>
            <w:hideMark/>
          </w:tcPr>
          <w:p w14:paraId="77D44372"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252C7383"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35582F40"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r>
      <w:tr w:rsidR="00B42001" w:rsidRPr="008C4EB3" w14:paraId="033DDF91" w14:textId="77777777" w:rsidTr="00B4200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50D4073B"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Brindar clases defensa personal</w:t>
            </w:r>
          </w:p>
        </w:tc>
        <w:tc>
          <w:tcPr>
            <w:tcW w:w="1631" w:type="dxa"/>
            <w:noWrap/>
            <w:hideMark/>
          </w:tcPr>
          <w:p w14:paraId="712643D6" w14:textId="77777777" w:rsidR="00B42001" w:rsidRPr="00B42001" w:rsidRDefault="00B42001" w:rsidP="00E620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Clase</w:t>
            </w:r>
          </w:p>
        </w:tc>
        <w:tc>
          <w:tcPr>
            <w:tcW w:w="1995" w:type="dxa"/>
            <w:noWrap/>
            <w:hideMark/>
          </w:tcPr>
          <w:p w14:paraId="64056E0A"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c>
          <w:tcPr>
            <w:tcW w:w="1696" w:type="dxa"/>
            <w:noWrap/>
            <w:hideMark/>
          </w:tcPr>
          <w:p w14:paraId="3F5B54DE"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2DD39D52"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2A471002"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r>
      <w:tr w:rsidR="00B42001" w:rsidRPr="008C4EB3" w14:paraId="3455C46E" w14:textId="77777777" w:rsidTr="00B42001">
        <w:trPr>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77B6720C"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 xml:space="preserve">Realizar la gestión para la obtención de mastografías gratuitas </w:t>
            </w:r>
          </w:p>
        </w:tc>
        <w:tc>
          <w:tcPr>
            <w:tcW w:w="1631" w:type="dxa"/>
            <w:noWrap/>
            <w:hideMark/>
          </w:tcPr>
          <w:p w14:paraId="2D42354B" w14:textId="77777777" w:rsidR="00B42001" w:rsidRPr="00B42001" w:rsidRDefault="00B42001" w:rsidP="00E6209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 xml:space="preserve">Gestión </w:t>
            </w:r>
          </w:p>
        </w:tc>
        <w:tc>
          <w:tcPr>
            <w:tcW w:w="1995" w:type="dxa"/>
            <w:noWrap/>
            <w:hideMark/>
          </w:tcPr>
          <w:p w14:paraId="60033D42"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3</w:t>
            </w:r>
          </w:p>
        </w:tc>
        <w:tc>
          <w:tcPr>
            <w:tcW w:w="1696" w:type="dxa"/>
            <w:noWrap/>
            <w:hideMark/>
          </w:tcPr>
          <w:p w14:paraId="775203F6"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1</w:t>
            </w:r>
          </w:p>
        </w:tc>
        <w:tc>
          <w:tcPr>
            <w:tcW w:w="1696" w:type="dxa"/>
            <w:noWrap/>
            <w:hideMark/>
          </w:tcPr>
          <w:p w14:paraId="206EDF4B"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1</w:t>
            </w:r>
          </w:p>
        </w:tc>
        <w:tc>
          <w:tcPr>
            <w:tcW w:w="1696" w:type="dxa"/>
            <w:noWrap/>
            <w:hideMark/>
          </w:tcPr>
          <w:p w14:paraId="5878FB83" w14:textId="77777777" w:rsidR="00B42001" w:rsidRPr="00B42001" w:rsidRDefault="00B42001" w:rsidP="00E6209B">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1</w:t>
            </w:r>
          </w:p>
        </w:tc>
      </w:tr>
      <w:tr w:rsidR="00B42001" w:rsidRPr="008C4EB3" w14:paraId="2B1ACEF3" w14:textId="77777777" w:rsidTr="00B42001">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179" w:type="dxa"/>
            <w:noWrap/>
            <w:hideMark/>
          </w:tcPr>
          <w:p w14:paraId="595D82C1" w14:textId="77777777" w:rsidR="00B42001" w:rsidRPr="00B42001" w:rsidRDefault="00B42001" w:rsidP="00E6209B">
            <w:pPr>
              <w:rPr>
                <w:rFonts w:ascii="Calibri" w:eastAsia="Times New Roman" w:hAnsi="Calibri" w:cs="Calibri"/>
                <w:b w:val="0"/>
                <w:bCs w:val="0"/>
                <w:sz w:val="22"/>
                <w:szCs w:val="22"/>
                <w:lang w:eastAsia="es-MX"/>
              </w:rPr>
            </w:pPr>
            <w:r w:rsidRPr="00B42001">
              <w:rPr>
                <w:rFonts w:ascii="Calibri" w:eastAsia="Times New Roman" w:hAnsi="Calibri" w:cs="Calibri"/>
                <w:b w:val="0"/>
                <w:bCs w:val="0"/>
                <w:sz w:val="22"/>
                <w:szCs w:val="22"/>
                <w:lang w:eastAsia="es-MX"/>
              </w:rPr>
              <w:t xml:space="preserve">Brindar un curso de manualidades con </w:t>
            </w:r>
            <w:proofErr w:type="spellStart"/>
            <w:r w:rsidRPr="00B42001">
              <w:rPr>
                <w:rFonts w:ascii="Calibri" w:eastAsia="Times New Roman" w:hAnsi="Calibri" w:cs="Calibri"/>
                <w:b w:val="0"/>
                <w:bCs w:val="0"/>
                <w:sz w:val="22"/>
                <w:szCs w:val="22"/>
                <w:lang w:eastAsia="es-MX"/>
              </w:rPr>
              <w:t>pet</w:t>
            </w:r>
            <w:proofErr w:type="spellEnd"/>
          </w:p>
        </w:tc>
        <w:tc>
          <w:tcPr>
            <w:tcW w:w="1631" w:type="dxa"/>
            <w:noWrap/>
            <w:hideMark/>
          </w:tcPr>
          <w:p w14:paraId="736E1B4C" w14:textId="77777777" w:rsidR="00B42001" w:rsidRPr="00B42001" w:rsidRDefault="00B42001" w:rsidP="00E6209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szCs w:val="22"/>
                <w:lang w:eastAsia="es-MX"/>
              </w:rPr>
            </w:pPr>
            <w:r w:rsidRPr="00B42001">
              <w:rPr>
                <w:rFonts w:ascii="Calibri" w:eastAsia="Times New Roman" w:hAnsi="Calibri" w:cs="Calibri"/>
                <w:color w:val="000000"/>
                <w:sz w:val="22"/>
                <w:szCs w:val="22"/>
                <w:lang w:eastAsia="es-MX"/>
              </w:rPr>
              <w:t xml:space="preserve">Curso </w:t>
            </w:r>
          </w:p>
        </w:tc>
        <w:tc>
          <w:tcPr>
            <w:tcW w:w="1995" w:type="dxa"/>
            <w:noWrap/>
            <w:hideMark/>
          </w:tcPr>
          <w:p w14:paraId="621A361B"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6</w:t>
            </w:r>
          </w:p>
        </w:tc>
        <w:tc>
          <w:tcPr>
            <w:tcW w:w="1696" w:type="dxa"/>
            <w:noWrap/>
            <w:hideMark/>
          </w:tcPr>
          <w:p w14:paraId="229AA19F"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21371540"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c>
          <w:tcPr>
            <w:tcW w:w="1696" w:type="dxa"/>
            <w:noWrap/>
            <w:hideMark/>
          </w:tcPr>
          <w:p w14:paraId="5936EC79" w14:textId="77777777" w:rsidR="00B42001" w:rsidRPr="00B42001" w:rsidRDefault="00B42001" w:rsidP="00E6209B">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2"/>
                <w:szCs w:val="22"/>
                <w:lang w:eastAsia="es-MX"/>
              </w:rPr>
            </w:pPr>
            <w:r w:rsidRPr="00B42001">
              <w:rPr>
                <w:rFonts w:ascii="Calibri" w:eastAsia="Times New Roman" w:hAnsi="Calibri" w:cs="Calibri"/>
                <w:sz w:val="22"/>
                <w:szCs w:val="22"/>
                <w:lang w:eastAsia="es-MX"/>
              </w:rPr>
              <w:t>2</w:t>
            </w:r>
          </w:p>
        </w:tc>
      </w:tr>
    </w:tbl>
    <w:p w14:paraId="1CE1FE10" w14:textId="77777777" w:rsidR="00B42001" w:rsidRPr="00B42001" w:rsidRDefault="00B42001" w:rsidP="00B42001">
      <w:pPr>
        <w:spacing w:after="160" w:line="360" w:lineRule="auto"/>
        <w:jc w:val="both"/>
        <w:rPr>
          <w:rFonts w:ascii="Century Gothic" w:hAnsi="Century Gothic"/>
          <w:sz w:val="22"/>
          <w:szCs w:val="22"/>
        </w:rPr>
      </w:pPr>
    </w:p>
    <w:p w14:paraId="4A0B34A5" w14:textId="54B90DEA" w:rsidR="00B42001" w:rsidRDefault="00B42001">
      <w:pPr>
        <w:rPr>
          <w:rFonts w:ascii="Century Gothic" w:hAnsi="Century Gothic"/>
          <w:bCs/>
          <w:color w:val="025850"/>
          <w:sz w:val="22"/>
          <w:szCs w:val="22"/>
        </w:rPr>
      </w:pPr>
      <w:r>
        <w:rPr>
          <w:rFonts w:ascii="Century Gothic" w:hAnsi="Century Gothic"/>
          <w:bCs/>
          <w:color w:val="025850"/>
          <w:sz w:val="22"/>
          <w:szCs w:val="22"/>
        </w:rPr>
        <w:br w:type="page"/>
      </w:r>
    </w:p>
    <w:p w14:paraId="7FEBBFA2" w14:textId="77777777" w:rsidR="00B42001" w:rsidRDefault="00B42001" w:rsidP="007E0016">
      <w:pPr>
        <w:spacing w:line="360" w:lineRule="auto"/>
        <w:jc w:val="both"/>
        <w:rPr>
          <w:rFonts w:ascii="Century Gothic" w:hAnsi="Century Gothic"/>
          <w:bCs/>
          <w:color w:val="025850"/>
          <w:sz w:val="22"/>
          <w:szCs w:val="22"/>
        </w:rPr>
        <w:sectPr w:rsidR="00B42001" w:rsidSect="00B42001">
          <w:pgSz w:w="15840" w:h="12240" w:orient="landscape"/>
          <w:pgMar w:top="1440" w:right="1440" w:bottom="1440" w:left="1440" w:header="709" w:footer="709" w:gutter="0"/>
          <w:cols w:num="2" w:space="708"/>
          <w:docGrid w:linePitch="360"/>
        </w:sectPr>
      </w:pPr>
    </w:p>
    <w:p w14:paraId="7C25F981" w14:textId="77777777" w:rsidR="00B42001" w:rsidRPr="00B42001" w:rsidRDefault="00B42001" w:rsidP="00B42001">
      <w:pPr>
        <w:spacing w:line="360" w:lineRule="auto"/>
        <w:rPr>
          <w:rFonts w:ascii="Century Gothic" w:hAnsi="Century Gothic"/>
          <w:bCs/>
          <w:color w:val="025850"/>
          <w:sz w:val="22"/>
          <w:szCs w:val="22"/>
        </w:rPr>
      </w:pPr>
      <w:bookmarkStart w:id="13" w:name="_Hlk192856809"/>
      <w:r w:rsidRPr="00B42001">
        <w:rPr>
          <w:rFonts w:ascii="Century Gothic" w:hAnsi="Century Gothic"/>
          <w:b/>
          <w:color w:val="025850"/>
          <w:sz w:val="22"/>
          <w:szCs w:val="22"/>
        </w:rPr>
        <w:lastRenderedPageBreak/>
        <w:t>Acciones Insignias Municipales</w:t>
      </w:r>
    </w:p>
    <w:tbl>
      <w:tblPr>
        <w:tblStyle w:val="Tablaconcuadrcula4-nfasis2"/>
        <w:tblW w:w="5073" w:type="pct"/>
        <w:tblLook w:val="04A0" w:firstRow="1" w:lastRow="0" w:firstColumn="1" w:lastColumn="0" w:noHBand="0" w:noVBand="1"/>
      </w:tblPr>
      <w:tblGrid>
        <w:gridCol w:w="2102"/>
        <w:gridCol w:w="1056"/>
        <w:gridCol w:w="145"/>
        <w:gridCol w:w="1075"/>
        <w:gridCol w:w="5952"/>
        <w:gridCol w:w="2809"/>
      </w:tblGrid>
      <w:tr w:rsidR="00B42001" w:rsidRPr="00B42001" w14:paraId="6F9DB5C3" w14:textId="77777777" w:rsidTr="00B42001">
        <w:trPr>
          <w:cnfStyle w:val="100000000000" w:firstRow="1" w:lastRow="0"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1202" w:type="pct"/>
            <w:gridSpan w:val="2"/>
          </w:tcPr>
          <w:p w14:paraId="26AB51D5" w14:textId="77777777" w:rsidR="00B42001" w:rsidRPr="00B42001" w:rsidRDefault="00B42001" w:rsidP="00B42001">
            <w:pPr>
              <w:jc w:val="both"/>
              <w:rPr>
                <w:rFonts w:ascii="Century Gothic" w:hAnsi="Century Gothic"/>
                <w:color w:val="auto"/>
                <w:sz w:val="20"/>
                <w:szCs w:val="20"/>
              </w:rPr>
            </w:pPr>
            <w:bookmarkStart w:id="14" w:name="_Hlk192856845"/>
            <w:bookmarkEnd w:id="13"/>
            <w:r w:rsidRPr="00B42001">
              <w:rPr>
                <w:rFonts w:ascii="Century Gothic" w:hAnsi="Century Gothic"/>
                <w:noProof/>
                <w:sz w:val="20"/>
                <w:szCs w:val="20"/>
              </w:rPr>
              <w:drawing>
                <wp:inline distT="0" distB="0" distL="0" distR="0" wp14:anchorId="7A786955" wp14:editId="0C35705A">
                  <wp:extent cx="763675" cy="726323"/>
                  <wp:effectExtent l="0" t="0" r="0" b="0"/>
                  <wp:docPr id="1196544853" name="Imagen 1196544853"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4853" name="Imagen 1196544853" descr="Imagen que contiene Logotipo&#10;&#10;El contenido generado por IA puede ser incorrec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77466" cy="739439"/>
                          </a:xfrm>
                          <a:prstGeom prst="rect">
                            <a:avLst/>
                          </a:prstGeom>
                          <a:noFill/>
                          <a:ln>
                            <a:noFill/>
                          </a:ln>
                        </pic:spPr>
                      </pic:pic>
                    </a:graphicData>
                  </a:graphic>
                </wp:inline>
              </w:drawing>
            </w:r>
          </w:p>
        </w:tc>
        <w:tc>
          <w:tcPr>
            <w:tcW w:w="3798" w:type="pct"/>
            <w:gridSpan w:val="4"/>
          </w:tcPr>
          <w:p w14:paraId="156F2ED9" w14:textId="77777777" w:rsidR="00B42001" w:rsidRPr="00B42001" w:rsidRDefault="00B42001" w:rsidP="00B42001">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p>
          <w:p w14:paraId="656505D5" w14:textId="77777777" w:rsidR="00B42001" w:rsidRPr="00B42001" w:rsidRDefault="00B42001" w:rsidP="00B42001">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B42001">
              <w:rPr>
                <w:rFonts w:ascii="Century Gothic" w:hAnsi="Century Gothic"/>
                <w:sz w:val="20"/>
                <w:szCs w:val="20"/>
              </w:rPr>
              <w:t>ACCESO A OPORTUNIDADES DE CAPACITACIÓN Y DESARROLLO</w:t>
            </w:r>
          </w:p>
        </w:tc>
      </w:tr>
      <w:tr w:rsidR="00B42001" w:rsidRPr="00B42001" w14:paraId="560AFAE3" w14:textId="77777777" w:rsidTr="00B42001">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5000" w:type="pct"/>
            <w:gridSpan w:val="6"/>
          </w:tcPr>
          <w:p w14:paraId="1052DD93"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Objetivo:  Disminuir las barreras para la inclusión de las mujeres en la actividad económica del municipio, que permitan el pleno ejercicio de sus derechos laborales, fomentando valores de igualdad de género, para construir una relación de respeto e igualdad social.</w:t>
            </w:r>
          </w:p>
        </w:tc>
      </w:tr>
      <w:tr w:rsidR="00B42001" w:rsidRPr="00B42001" w14:paraId="1F3512A8" w14:textId="77777777" w:rsidTr="00B42001">
        <w:trPr>
          <w:trHeight w:val="114"/>
        </w:trPr>
        <w:tc>
          <w:tcPr>
            <w:cnfStyle w:val="001000000000" w:firstRow="0" w:lastRow="0" w:firstColumn="1" w:lastColumn="0" w:oddVBand="0" w:evenVBand="0" w:oddHBand="0" w:evenHBand="0" w:firstRowFirstColumn="0" w:firstRowLastColumn="0" w:lastRowFirstColumn="0" w:lastRowLastColumn="0"/>
            <w:tcW w:w="5000" w:type="pct"/>
            <w:gridSpan w:val="6"/>
          </w:tcPr>
          <w:p w14:paraId="7E47AFED"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Alineación</w:t>
            </w:r>
          </w:p>
        </w:tc>
      </w:tr>
      <w:tr w:rsidR="00B42001" w:rsidRPr="00B42001" w14:paraId="4B519818" w14:textId="77777777" w:rsidTr="00B42001">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800" w:type="pct"/>
          </w:tcPr>
          <w:p w14:paraId="52197EBD" w14:textId="77777777" w:rsidR="00B42001" w:rsidRPr="00B42001" w:rsidRDefault="00B42001" w:rsidP="00B42001">
            <w:pPr>
              <w:jc w:val="both"/>
              <w:rPr>
                <w:rFonts w:ascii="Century Gothic" w:hAnsi="Century Gothic"/>
                <w:b w:val="0"/>
                <w:bCs w:val="0"/>
                <w:sz w:val="20"/>
                <w:szCs w:val="20"/>
              </w:rPr>
            </w:pPr>
          </w:p>
          <w:p w14:paraId="371FEBFB"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ODS</w:t>
            </w:r>
          </w:p>
        </w:tc>
        <w:tc>
          <w:tcPr>
            <w:tcW w:w="4200" w:type="pct"/>
            <w:gridSpan w:val="5"/>
          </w:tcPr>
          <w:p w14:paraId="5EACD56C" w14:textId="5B926DC6"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noProof/>
                <w:sz w:val="20"/>
                <w:szCs w:val="20"/>
              </w:rPr>
              <w:drawing>
                <wp:anchor distT="0" distB="0" distL="114300" distR="114300" simplePos="0" relativeHeight="251732992" behindDoc="0" locked="0" layoutInCell="1" allowOverlap="1" wp14:anchorId="25CEE64C" wp14:editId="1F8353E0">
                  <wp:simplePos x="0" y="0"/>
                  <wp:positionH relativeFrom="column">
                    <wp:posOffset>924463</wp:posOffset>
                  </wp:positionH>
                  <wp:positionV relativeFrom="page">
                    <wp:posOffset>80526</wp:posOffset>
                  </wp:positionV>
                  <wp:extent cx="360000" cy="360000"/>
                  <wp:effectExtent l="0" t="0" r="2540" b="2540"/>
                  <wp:wrapNone/>
                  <wp:docPr id="1196544860" name="Imagen 13"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jetivo 10 - REDUCCIÓN DE LAS DESIGUALDAD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2001">
              <w:rPr>
                <w:rFonts w:ascii="Century Gothic" w:hAnsi="Century Gothic"/>
                <w:noProof/>
                <w:sz w:val="20"/>
                <w:szCs w:val="20"/>
              </w:rPr>
              <w:drawing>
                <wp:anchor distT="0" distB="0" distL="114300" distR="114300" simplePos="0" relativeHeight="251731968" behindDoc="0" locked="0" layoutInCell="1" allowOverlap="1" wp14:anchorId="27C9B0EF" wp14:editId="1C73BF6C">
                  <wp:simplePos x="0" y="0"/>
                  <wp:positionH relativeFrom="margin">
                    <wp:posOffset>371600</wp:posOffset>
                  </wp:positionH>
                  <wp:positionV relativeFrom="page">
                    <wp:posOffset>68238</wp:posOffset>
                  </wp:positionV>
                  <wp:extent cx="360000" cy="360000"/>
                  <wp:effectExtent l="0" t="0" r="2540" b="2540"/>
                  <wp:wrapNone/>
                  <wp:docPr id="1196544859"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476E3" w14:textId="40F34E99"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1FD1B676"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r>
      <w:tr w:rsidR="00B42001" w:rsidRPr="00B42001" w14:paraId="7910CD98" w14:textId="77777777" w:rsidTr="00B42001">
        <w:trPr>
          <w:trHeight w:val="114"/>
        </w:trPr>
        <w:tc>
          <w:tcPr>
            <w:cnfStyle w:val="001000000000" w:firstRow="0" w:lastRow="0" w:firstColumn="1" w:lastColumn="0" w:oddVBand="0" w:evenVBand="0" w:oddHBand="0" w:evenHBand="0" w:firstRowFirstColumn="0" w:firstRowLastColumn="0" w:lastRowFirstColumn="0" w:lastRowLastColumn="0"/>
            <w:tcW w:w="1257" w:type="pct"/>
            <w:gridSpan w:val="3"/>
          </w:tcPr>
          <w:p w14:paraId="1444B8A6"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Plan Nacional de Desarrollo</w:t>
            </w:r>
          </w:p>
        </w:tc>
        <w:tc>
          <w:tcPr>
            <w:tcW w:w="3743" w:type="pct"/>
            <w:gridSpan w:val="3"/>
          </w:tcPr>
          <w:p w14:paraId="2B6C694F" w14:textId="77777777" w:rsidR="00B42001" w:rsidRPr="00B42001" w:rsidRDefault="00B42001" w:rsidP="00B42001">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PDEM 2023-2027</w:t>
            </w:r>
          </w:p>
        </w:tc>
      </w:tr>
      <w:tr w:rsidR="00B42001" w:rsidRPr="00B42001" w14:paraId="330017C5" w14:textId="77777777" w:rsidTr="00B42001">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257" w:type="pct"/>
            <w:gridSpan w:val="3"/>
          </w:tcPr>
          <w:p w14:paraId="14AC2E84"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Tema: 01</w:t>
            </w:r>
          </w:p>
          <w:p w14:paraId="2C813FD1"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Subtema</w:t>
            </w:r>
          </w:p>
        </w:tc>
        <w:tc>
          <w:tcPr>
            <w:tcW w:w="3743" w:type="pct"/>
            <w:gridSpan w:val="3"/>
          </w:tcPr>
          <w:p w14:paraId="757A01CD"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Objetivo</w:t>
            </w:r>
          </w:p>
          <w:p w14:paraId="64A3FD3F"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T 1.4 Promover la igualdad de derechos y oportunidades de las mujeres para acceder a una vida digna.</w:t>
            </w:r>
          </w:p>
          <w:p w14:paraId="023749C2"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Estrategia</w:t>
            </w:r>
          </w:p>
          <w:p w14:paraId="1E155239"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T 1.4.1 Promover la participación igualitaria de las mujeres en espacios de toma de decisiones.</w:t>
            </w:r>
          </w:p>
        </w:tc>
      </w:tr>
      <w:tr w:rsidR="00B42001" w:rsidRPr="00B42001" w14:paraId="3AC14321" w14:textId="77777777" w:rsidTr="00B42001">
        <w:trPr>
          <w:trHeight w:val="237"/>
        </w:trPr>
        <w:tc>
          <w:tcPr>
            <w:cnfStyle w:val="001000000000" w:firstRow="0" w:lastRow="0" w:firstColumn="1" w:lastColumn="0" w:oddVBand="0" w:evenVBand="0" w:oddHBand="0" w:evenHBand="0" w:firstRowFirstColumn="0" w:firstRowLastColumn="0" w:lastRowFirstColumn="0" w:lastRowLastColumn="0"/>
            <w:tcW w:w="3931" w:type="pct"/>
            <w:gridSpan w:val="5"/>
          </w:tcPr>
          <w:p w14:paraId="259CC0DA"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Componente 1 Promover acciones que permitan reducir las desigualdades sociales</w:t>
            </w:r>
          </w:p>
        </w:tc>
        <w:tc>
          <w:tcPr>
            <w:tcW w:w="1069" w:type="pct"/>
          </w:tcPr>
          <w:p w14:paraId="099F2E56" w14:textId="77777777" w:rsidR="00B42001" w:rsidRPr="00B42001" w:rsidRDefault="00B42001" w:rsidP="00B42001">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Dependencia Responsable</w:t>
            </w:r>
          </w:p>
        </w:tc>
      </w:tr>
      <w:tr w:rsidR="00B42001" w:rsidRPr="00B42001" w14:paraId="6D51E984" w14:textId="77777777" w:rsidTr="00B42001">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666" w:type="pct"/>
            <w:gridSpan w:val="4"/>
          </w:tcPr>
          <w:p w14:paraId="23391112" w14:textId="77777777" w:rsidR="00B42001" w:rsidRPr="00B42001" w:rsidRDefault="00B42001" w:rsidP="00B42001">
            <w:pPr>
              <w:jc w:val="both"/>
              <w:rPr>
                <w:rFonts w:ascii="Century Gothic" w:hAnsi="Century Gothic"/>
                <w:b w:val="0"/>
                <w:bCs w:val="0"/>
                <w:sz w:val="20"/>
                <w:szCs w:val="20"/>
              </w:rPr>
            </w:pPr>
          </w:p>
          <w:p w14:paraId="5F50AF56" w14:textId="77777777" w:rsidR="00B42001" w:rsidRPr="00B42001" w:rsidRDefault="00B42001" w:rsidP="00B42001">
            <w:pPr>
              <w:jc w:val="both"/>
              <w:rPr>
                <w:rFonts w:ascii="Century Gothic" w:hAnsi="Century Gothic"/>
                <w:b w:val="0"/>
                <w:bCs w:val="0"/>
                <w:sz w:val="20"/>
                <w:szCs w:val="20"/>
              </w:rPr>
            </w:pPr>
          </w:p>
          <w:p w14:paraId="3563613E" w14:textId="77777777" w:rsidR="00B42001" w:rsidRPr="00B42001" w:rsidRDefault="00B42001" w:rsidP="00B42001">
            <w:pPr>
              <w:jc w:val="both"/>
              <w:rPr>
                <w:rFonts w:ascii="Century Gothic" w:hAnsi="Century Gothic"/>
                <w:b w:val="0"/>
                <w:bCs w:val="0"/>
                <w:sz w:val="20"/>
                <w:szCs w:val="20"/>
              </w:rPr>
            </w:pPr>
            <w:r w:rsidRPr="00B42001">
              <w:rPr>
                <w:rFonts w:ascii="Century Gothic" w:hAnsi="Century Gothic"/>
                <w:b w:val="0"/>
                <w:bCs w:val="0"/>
                <w:sz w:val="20"/>
                <w:szCs w:val="20"/>
              </w:rPr>
              <w:t>Acciones Especificas</w:t>
            </w:r>
          </w:p>
        </w:tc>
        <w:tc>
          <w:tcPr>
            <w:tcW w:w="2265" w:type="pct"/>
          </w:tcPr>
          <w:p w14:paraId="409649AF" w14:textId="77777777" w:rsidR="00B42001" w:rsidRPr="00B42001" w:rsidRDefault="00B42001" w:rsidP="00B42001">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Otorgar apoyos económicos a mujeres emprendedoras para que inicien o consoliden sus negocios</w:t>
            </w:r>
          </w:p>
          <w:p w14:paraId="6095A753" w14:textId="77777777" w:rsidR="00B42001" w:rsidRPr="00B42001" w:rsidRDefault="00B42001" w:rsidP="00B42001">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 xml:space="preserve">Implementar talleres de fomento al autoempleo para mujeres jefas de familia </w:t>
            </w:r>
          </w:p>
          <w:p w14:paraId="6840F271"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tc>
        <w:tc>
          <w:tcPr>
            <w:tcW w:w="1069" w:type="pct"/>
          </w:tcPr>
          <w:p w14:paraId="1EA1CA58"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3FDC5E05"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p>
          <w:p w14:paraId="040FCDAC" w14:textId="77777777" w:rsidR="00B42001" w:rsidRPr="00B42001" w:rsidRDefault="00B42001" w:rsidP="00B42001">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0"/>
                <w:szCs w:val="20"/>
              </w:rPr>
            </w:pPr>
            <w:r w:rsidRPr="00B42001">
              <w:rPr>
                <w:rFonts w:ascii="Century Gothic" w:hAnsi="Century Gothic"/>
                <w:sz w:val="20"/>
                <w:szCs w:val="20"/>
              </w:rPr>
              <w:t>Dirección de la Mujer</w:t>
            </w:r>
          </w:p>
        </w:tc>
      </w:tr>
      <w:bookmarkEnd w:id="14"/>
    </w:tbl>
    <w:p w14:paraId="5A57B408" w14:textId="4CBB064E" w:rsidR="00B42001" w:rsidRDefault="00B42001" w:rsidP="007E0016">
      <w:pPr>
        <w:spacing w:line="360" w:lineRule="auto"/>
        <w:jc w:val="both"/>
        <w:rPr>
          <w:rFonts w:ascii="Century Gothic" w:hAnsi="Century Gothic"/>
          <w:bCs/>
          <w:color w:val="025850"/>
          <w:sz w:val="22"/>
          <w:szCs w:val="22"/>
        </w:rPr>
      </w:pPr>
    </w:p>
    <w:p w14:paraId="3DEDB627" w14:textId="77777777" w:rsidR="00B42001" w:rsidRDefault="00B42001">
      <w:pPr>
        <w:rPr>
          <w:rFonts w:ascii="Century Gothic" w:hAnsi="Century Gothic"/>
          <w:bCs/>
          <w:color w:val="025850"/>
          <w:sz w:val="22"/>
          <w:szCs w:val="22"/>
        </w:rPr>
      </w:pPr>
      <w:r>
        <w:rPr>
          <w:rFonts w:ascii="Century Gothic" w:hAnsi="Century Gothic"/>
          <w:bCs/>
          <w:color w:val="025850"/>
          <w:sz w:val="22"/>
          <w:szCs w:val="22"/>
        </w:rPr>
        <w:br w:type="page"/>
      </w:r>
    </w:p>
    <w:p w14:paraId="75AB0F78" w14:textId="77777777" w:rsidR="00B42001" w:rsidRDefault="00B42001" w:rsidP="007E0016">
      <w:pPr>
        <w:spacing w:line="360" w:lineRule="auto"/>
        <w:jc w:val="both"/>
        <w:rPr>
          <w:rFonts w:ascii="Century Gothic" w:hAnsi="Century Gothic"/>
          <w:bCs/>
          <w:color w:val="025850"/>
          <w:sz w:val="22"/>
          <w:szCs w:val="22"/>
        </w:rPr>
        <w:sectPr w:rsidR="00B42001" w:rsidSect="00B42001">
          <w:pgSz w:w="15840" w:h="12240" w:orient="landscape"/>
          <w:pgMar w:top="1440" w:right="1440" w:bottom="1440" w:left="1440" w:header="709" w:footer="709" w:gutter="0"/>
          <w:cols w:space="708"/>
          <w:docGrid w:linePitch="360"/>
        </w:sectPr>
      </w:pPr>
    </w:p>
    <w:p w14:paraId="5A43E02E"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7C4F2BD4"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424D80C7"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17F4E930"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5BC2857B"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7E08109D"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3BF3EC0C"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57DF2F4B"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5C853004"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37012691"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78E592EB"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7AC3772E"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60C043E3" w14:textId="77777777" w:rsidR="00AA77F0" w:rsidRDefault="00AA77F0" w:rsidP="00AA77F0">
      <w:pPr>
        <w:spacing w:before="166" w:line="362" w:lineRule="auto"/>
        <w:jc w:val="right"/>
        <w:rPr>
          <w:rFonts w:ascii="Century Gothic" w:hAnsi="Century Gothic"/>
          <w:color w:val="8DD873" w:themeColor="accent6" w:themeTint="99"/>
          <w:sz w:val="28"/>
          <w:szCs w:val="28"/>
        </w:rPr>
      </w:pPr>
    </w:p>
    <w:p w14:paraId="59C031FE" w14:textId="77777777" w:rsidR="00AA77F0" w:rsidRDefault="00AA77F0" w:rsidP="00AA77F0">
      <w:pPr>
        <w:spacing w:before="166" w:line="362" w:lineRule="auto"/>
        <w:rPr>
          <w:rFonts w:ascii="Century Gothic" w:hAnsi="Century Gothic"/>
          <w:color w:val="8DD873" w:themeColor="accent6" w:themeTint="99"/>
          <w:sz w:val="28"/>
          <w:szCs w:val="28"/>
        </w:rPr>
      </w:pPr>
    </w:p>
    <w:p w14:paraId="209D0D51" w14:textId="77777777" w:rsidR="00AA77F0" w:rsidRDefault="00AA77F0" w:rsidP="00AA77F0">
      <w:pPr>
        <w:spacing w:before="166" w:line="362" w:lineRule="auto"/>
        <w:rPr>
          <w:rFonts w:ascii="Century Gothic" w:hAnsi="Century Gothic"/>
          <w:b/>
          <w:bCs/>
          <w:color w:val="025850"/>
          <w:sz w:val="28"/>
          <w:szCs w:val="28"/>
        </w:rPr>
      </w:pPr>
    </w:p>
    <w:p w14:paraId="681FF1B4" w14:textId="77777777" w:rsidR="00AA77F0" w:rsidRDefault="00AA77F0" w:rsidP="00AA77F0">
      <w:pPr>
        <w:spacing w:before="166" w:line="362" w:lineRule="auto"/>
        <w:rPr>
          <w:rFonts w:ascii="Century Gothic" w:hAnsi="Century Gothic"/>
          <w:b/>
          <w:bCs/>
          <w:color w:val="025850"/>
          <w:sz w:val="28"/>
          <w:szCs w:val="28"/>
        </w:rPr>
      </w:pPr>
    </w:p>
    <w:p w14:paraId="0913EFC3" w14:textId="77777777" w:rsidR="00AA77F0" w:rsidRDefault="00AA77F0" w:rsidP="00AA77F0">
      <w:pPr>
        <w:spacing w:before="166" w:line="362" w:lineRule="auto"/>
        <w:rPr>
          <w:rFonts w:ascii="Century Gothic" w:hAnsi="Century Gothic"/>
          <w:b/>
          <w:bCs/>
          <w:color w:val="025850"/>
          <w:sz w:val="28"/>
          <w:szCs w:val="28"/>
        </w:rPr>
      </w:pPr>
    </w:p>
    <w:p w14:paraId="43D9DC87" w14:textId="2C886EEB" w:rsidR="00AA77F0" w:rsidRPr="00AA77F0" w:rsidRDefault="00AA77F0" w:rsidP="00AA77F0">
      <w:pPr>
        <w:spacing w:before="166" w:line="362" w:lineRule="auto"/>
        <w:rPr>
          <w:rFonts w:ascii="Century Gothic" w:hAnsi="Century Gothic"/>
          <w:b/>
          <w:bCs/>
          <w:color w:val="025850"/>
          <w:sz w:val="28"/>
          <w:szCs w:val="28"/>
        </w:rPr>
      </w:pPr>
      <w:r w:rsidRPr="00AA77F0">
        <w:rPr>
          <w:rFonts w:ascii="Century Gothic" w:hAnsi="Century Gothic"/>
          <w:b/>
          <w:bCs/>
          <w:color w:val="025850"/>
          <w:sz w:val="28"/>
          <w:szCs w:val="28"/>
        </w:rPr>
        <w:t>EJE Transversal 2: Construcción de la paz y seguridad</w:t>
      </w:r>
    </w:p>
    <w:p w14:paraId="17EDF0ED" w14:textId="77777777" w:rsidR="00AA77F0" w:rsidRPr="00AA77F0" w:rsidRDefault="00AA77F0" w:rsidP="00AA77F0">
      <w:pPr>
        <w:spacing w:before="166" w:line="362" w:lineRule="auto"/>
        <w:jc w:val="right"/>
        <w:rPr>
          <w:rFonts w:ascii="Century Gothic" w:hAnsi="Century Gothic"/>
          <w:b/>
          <w:bCs/>
          <w:color w:val="025850"/>
          <w:sz w:val="28"/>
          <w:szCs w:val="28"/>
        </w:rPr>
      </w:pPr>
    </w:p>
    <w:p w14:paraId="1E406B52" w14:textId="77777777" w:rsidR="00AA77F0" w:rsidRPr="00AA77F0" w:rsidRDefault="00AA77F0" w:rsidP="00AA77F0">
      <w:pPr>
        <w:spacing w:before="166"/>
        <w:jc w:val="right"/>
        <w:rPr>
          <w:rFonts w:ascii="Century Gothic" w:hAnsi="Century Gothic"/>
          <w:b/>
          <w:bCs/>
          <w:color w:val="025850"/>
          <w:sz w:val="24"/>
          <w:szCs w:val="24"/>
          <w:lang w:val="es-US"/>
        </w:rPr>
      </w:pPr>
      <w:r w:rsidRPr="00AA77F0">
        <w:rPr>
          <w:rFonts w:ascii="Century Gothic" w:hAnsi="Century Gothic"/>
          <w:b/>
          <w:bCs/>
          <w:color w:val="025850"/>
          <w:sz w:val="24"/>
          <w:szCs w:val="24"/>
          <w:lang w:val="es-US"/>
        </w:rPr>
        <w:t xml:space="preserve">“"La construcción de la paz y la seguridad requiere un enfoque integral que aborde las diferentes dimensiones de la seguridad, incluyendo la seguridad económica, social y ambiental." </w:t>
      </w:r>
    </w:p>
    <w:p w14:paraId="2861FD9C" w14:textId="0B1A0E3B" w:rsidR="00AA77F0" w:rsidRPr="00AA77F0" w:rsidRDefault="00AA77F0" w:rsidP="00AA77F0">
      <w:pPr>
        <w:spacing w:before="166"/>
        <w:jc w:val="right"/>
        <w:rPr>
          <w:rFonts w:ascii="Century Gothic" w:hAnsi="Century Gothic"/>
          <w:b/>
          <w:bCs/>
          <w:color w:val="025850"/>
          <w:sz w:val="24"/>
          <w:szCs w:val="24"/>
          <w:lang w:val="es-US"/>
        </w:rPr>
      </w:pPr>
      <w:r w:rsidRPr="00AA77F0">
        <w:rPr>
          <w:rFonts w:ascii="Century Gothic" w:hAnsi="Century Gothic"/>
          <w:b/>
          <w:bCs/>
          <w:color w:val="025850"/>
          <w:sz w:val="24"/>
          <w:szCs w:val="24"/>
          <w:lang w:val="es-US"/>
        </w:rPr>
        <w:t>Antropólogo, John Paul Lederach</w:t>
      </w:r>
    </w:p>
    <w:p w14:paraId="01A0A3E9" w14:textId="77777777" w:rsidR="00AA77F0" w:rsidRDefault="00AA77F0">
      <w:pPr>
        <w:rPr>
          <w:rFonts w:ascii="Century Gothic" w:hAnsi="Century Gothic"/>
          <w:color w:val="8DD873" w:themeColor="accent6" w:themeTint="99"/>
          <w:sz w:val="24"/>
          <w:szCs w:val="24"/>
          <w:lang w:val="es-US"/>
        </w:rPr>
      </w:pPr>
      <w:r>
        <w:rPr>
          <w:rFonts w:ascii="Century Gothic" w:hAnsi="Century Gothic"/>
          <w:color w:val="8DD873" w:themeColor="accent6" w:themeTint="99"/>
          <w:sz w:val="24"/>
          <w:szCs w:val="24"/>
          <w:lang w:val="es-US"/>
        </w:rPr>
        <w:br w:type="page"/>
      </w:r>
    </w:p>
    <w:p w14:paraId="1A744E1B" w14:textId="660124BB" w:rsidR="00AA77F0" w:rsidRPr="00AA77F0" w:rsidRDefault="00AA77F0" w:rsidP="00AA77F0">
      <w:pPr>
        <w:spacing w:after="160" w:line="360" w:lineRule="auto"/>
        <w:jc w:val="both"/>
        <w:rPr>
          <w:rFonts w:ascii="Century Gothic" w:hAnsi="Century Gothic"/>
          <w:b/>
          <w:color w:val="025850"/>
          <w:sz w:val="22"/>
          <w:szCs w:val="22"/>
        </w:rPr>
      </w:pPr>
      <w:r w:rsidRPr="00AA77F0">
        <w:rPr>
          <w:rFonts w:ascii="Century Gothic" w:hAnsi="Century Gothic"/>
          <w:b/>
          <w:color w:val="025850"/>
          <w:sz w:val="22"/>
          <w:szCs w:val="22"/>
        </w:rPr>
        <w:lastRenderedPageBreak/>
        <w:t>Atender las causas del delito</w:t>
      </w:r>
    </w:p>
    <w:p w14:paraId="40910D26" w14:textId="677D86C7" w:rsidR="00AA77F0" w:rsidRPr="00AA77F0" w:rsidRDefault="00AA77F0" w:rsidP="00AA77F0">
      <w:pPr>
        <w:spacing w:line="360" w:lineRule="auto"/>
        <w:ind w:firstLine="708"/>
        <w:jc w:val="both"/>
        <w:rPr>
          <w:rFonts w:ascii="Century Gothic" w:hAnsi="Century Gothic"/>
          <w:bCs/>
          <w:sz w:val="22"/>
          <w:szCs w:val="22"/>
          <w:lang w:val="es-US"/>
        </w:rPr>
      </w:pPr>
      <w:r w:rsidRPr="00AA77F0">
        <w:rPr>
          <w:rFonts w:ascii="Century Gothic" w:hAnsi="Century Gothic"/>
          <w:bCs/>
          <w:sz w:val="22"/>
          <w:szCs w:val="22"/>
          <w:lang w:val="es-US"/>
        </w:rPr>
        <w:t>El entender qué es lo que lleva a las personas a cometer delitos es una tarea ardua. Al fin y al cabo, no existe un consenso sobre una verdad universal, aunque ésta se refiera a una determinada cultura, en un determinado momento histórico. En ese sentido, atender las causas del delito significa trabajar por la prevención del delito y es una oportunidad para estar a tiempo. La Oficina de las Naciones Unidas contra la Droga y el Delito (UNODC) en México, en colaboración con la Secretaría de Seguridad del Estado de México a través del Centro de Prevención del Delito (CPD) del Secretariado Ejecutivo del Sistema Estatal de Seguridad (SESESP) impulsa desde 2021 acciones focalizadas para prevenir el delito, la violencia y el consumo de sustancias psicoactivas en beneficio de las familias, juventudes y la niñez mexiquense.</w:t>
      </w:r>
    </w:p>
    <w:p w14:paraId="17B24EB0" w14:textId="77777777" w:rsidR="00AA77F0" w:rsidRPr="00AA77F0" w:rsidRDefault="00AA77F0" w:rsidP="00AA77F0">
      <w:pPr>
        <w:spacing w:line="360" w:lineRule="auto"/>
        <w:ind w:firstLine="708"/>
        <w:jc w:val="both"/>
        <w:rPr>
          <w:rFonts w:ascii="Century Gothic" w:hAnsi="Century Gothic"/>
          <w:bCs/>
          <w:sz w:val="22"/>
          <w:szCs w:val="22"/>
          <w:lang w:val="es-US"/>
        </w:rPr>
      </w:pPr>
      <w:r w:rsidRPr="00AA77F0">
        <w:rPr>
          <w:rFonts w:ascii="Century Gothic" w:hAnsi="Century Gothic"/>
          <w:bCs/>
          <w:sz w:val="22"/>
          <w:szCs w:val="22"/>
          <w:lang w:val="es-US"/>
        </w:rPr>
        <w:t>Como parte de estas acciones, UNODC participó en el panel de expertos en materia de seguridad pública como parte del Mecanismo de Participación Social para la Elaboración del Programa Sectorial Construcción de la paz y seguridad.</w:t>
      </w:r>
    </w:p>
    <w:p w14:paraId="2E816E49" w14:textId="77777777" w:rsidR="00AA77F0" w:rsidRPr="00AA77F0" w:rsidRDefault="00AA77F0" w:rsidP="00AA77F0">
      <w:pPr>
        <w:pStyle w:val="Prrafodelista"/>
        <w:spacing w:line="360" w:lineRule="auto"/>
        <w:jc w:val="both"/>
        <w:rPr>
          <w:rFonts w:ascii="Century Gothic" w:hAnsi="Century Gothic"/>
          <w:bCs/>
          <w:sz w:val="22"/>
          <w:szCs w:val="22"/>
          <w:lang w:val="es-US"/>
        </w:rPr>
      </w:pPr>
    </w:p>
    <w:p w14:paraId="1C3A75FF" w14:textId="095455AF" w:rsidR="00AA77F0" w:rsidRPr="00AA77F0" w:rsidRDefault="00AA77F0" w:rsidP="00AA77F0">
      <w:pPr>
        <w:spacing w:line="360" w:lineRule="auto"/>
        <w:jc w:val="both"/>
        <w:rPr>
          <w:rFonts w:ascii="Century Gothic" w:hAnsi="Century Gothic"/>
          <w:bCs/>
          <w:sz w:val="22"/>
          <w:szCs w:val="22"/>
          <w:lang w:val="es-US"/>
        </w:rPr>
      </w:pPr>
      <w:r w:rsidRPr="00AA77F0">
        <w:rPr>
          <w:rFonts w:ascii="Century Gothic" w:hAnsi="Century Gothic"/>
          <w:bCs/>
          <w:sz w:val="22"/>
          <w:szCs w:val="22"/>
          <w:lang w:val="es-US"/>
        </w:rPr>
        <w:t>Atender las causas del delito es fundamental para prevenir y reducir la delincuencia municipal, que se dan por las siguientes razones:</w:t>
      </w:r>
    </w:p>
    <w:p w14:paraId="09CD77DB" w14:textId="77777777" w:rsidR="00AA77F0" w:rsidRPr="00AA77F0" w:rsidRDefault="00AA77F0" w:rsidP="0008767B">
      <w:pPr>
        <w:pStyle w:val="Prrafodelista"/>
        <w:widowControl w:val="0"/>
        <w:numPr>
          <w:ilvl w:val="0"/>
          <w:numId w:val="66"/>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La falta de acceso a recursos económicos y oportunidades puede llevar a las personas a cometer delitos para satisfacer sus necesidades básicas.</w:t>
      </w:r>
    </w:p>
    <w:p w14:paraId="2A7BB339" w14:textId="77777777" w:rsidR="00AA77F0" w:rsidRPr="00AA77F0" w:rsidRDefault="00AA77F0" w:rsidP="0008767B">
      <w:pPr>
        <w:pStyle w:val="Prrafodelista"/>
        <w:widowControl w:val="0"/>
        <w:numPr>
          <w:ilvl w:val="0"/>
          <w:numId w:val="66"/>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La falta de acceso a la educación y oportunidades laborales puede llevar a las personas a sentirse marginadas y a buscar alternativas ilícitas.</w:t>
      </w:r>
    </w:p>
    <w:p w14:paraId="6697610E" w14:textId="77777777" w:rsidR="00AA77F0" w:rsidRPr="00AA77F0" w:rsidRDefault="00AA77F0" w:rsidP="0008767B">
      <w:pPr>
        <w:pStyle w:val="Prrafodelista"/>
        <w:widowControl w:val="0"/>
        <w:numPr>
          <w:ilvl w:val="0"/>
          <w:numId w:val="66"/>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Los problemas familiares y sociales, como la violencia doméstica, el abuso de sustancias y la falta de apoyo social, pueden contribuir a la delincuencia.</w:t>
      </w:r>
    </w:p>
    <w:p w14:paraId="58733DA3" w14:textId="77777777" w:rsidR="00AA77F0" w:rsidRPr="00AA77F0" w:rsidRDefault="00AA77F0" w:rsidP="0008767B">
      <w:pPr>
        <w:pStyle w:val="Prrafodelista"/>
        <w:widowControl w:val="0"/>
        <w:numPr>
          <w:ilvl w:val="0"/>
          <w:numId w:val="66"/>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La falta de control social y la presencia de desorden en una comunidad pueden crear un entorno propicio para la delincuencia.</w:t>
      </w:r>
    </w:p>
    <w:p w14:paraId="5810711A" w14:textId="77777777" w:rsidR="00AA77F0" w:rsidRPr="00AA77F0" w:rsidRDefault="00AA77F0" w:rsidP="0008767B">
      <w:pPr>
        <w:pStyle w:val="Prrafodelista"/>
        <w:widowControl w:val="0"/>
        <w:numPr>
          <w:ilvl w:val="0"/>
          <w:numId w:val="66"/>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La discriminación y exclusión pueden llevar a las personas a sentirse marginadas y a buscar alternativas ilícitas.</w:t>
      </w:r>
    </w:p>
    <w:p w14:paraId="09CFD8F3" w14:textId="77777777" w:rsidR="00AA77F0" w:rsidRPr="00AA77F0" w:rsidRDefault="00AA77F0" w:rsidP="00AA77F0">
      <w:pPr>
        <w:pStyle w:val="Prrafodelista"/>
        <w:spacing w:line="360" w:lineRule="auto"/>
        <w:jc w:val="both"/>
        <w:rPr>
          <w:rFonts w:ascii="Century Gothic" w:hAnsi="Century Gothic"/>
          <w:bCs/>
          <w:sz w:val="22"/>
          <w:szCs w:val="22"/>
          <w:lang w:val="es-US"/>
        </w:rPr>
      </w:pPr>
    </w:p>
    <w:p w14:paraId="17C0BEB7" w14:textId="3521E672" w:rsidR="00AA77F0" w:rsidRDefault="00AA77F0" w:rsidP="00AA77F0">
      <w:pPr>
        <w:pStyle w:val="Prrafodelista"/>
        <w:spacing w:line="360" w:lineRule="auto"/>
        <w:jc w:val="both"/>
        <w:rPr>
          <w:rFonts w:ascii="Century Gothic" w:hAnsi="Century Gothic"/>
          <w:bCs/>
          <w:sz w:val="22"/>
          <w:szCs w:val="22"/>
          <w:lang w:val="es-US"/>
        </w:rPr>
      </w:pPr>
      <w:r w:rsidRPr="00AA77F0">
        <w:rPr>
          <w:rFonts w:ascii="Century Gothic" w:hAnsi="Century Gothic"/>
          <w:bCs/>
          <w:sz w:val="22"/>
          <w:szCs w:val="22"/>
          <w:lang w:val="es-US"/>
        </w:rPr>
        <w:t>Estrategias para atender las causas del delito en San Antonio la Isla son:</w:t>
      </w:r>
    </w:p>
    <w:p w14:paraId="70926161" w14:textId="77777777" w:rsidR="00AA77F0" w:rsidRPr="00AA77F0" w:rsidRDefault="00AA77F0" w:rsidP="00AA77F0">
      <w:pPr>
        <w:pStyle w:val="Prrafodelista"/>
        <w:spacing w:line="360" w:lineRule="auto"/>
        <w:jc w:val="both"/>
        <w:rPr>
          <w:rFonts w:ascii="Century Gothic" w:hAnsi="Century Gothic"/>
          <w:bCs/>
          <w:sz w:val="22"/>
          <w:szCs w:val="22"/>
          <w:lang w:val="es-US"/>
        </w:rPr>
      </w:pPr>
    </w:p>
    <w:p w14:paraId="5861334B" w14:textId="77777777" w:rsidR="00AA77F0" w:rsidRP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Ofrecer programas de educación y capacitación para ayudar a las personas a desarrollar habilidades y competencias laborales.</w:t>
      </w:r>
    </w:p>
    <w:p w14:paraId="23F9A2A8" w14:textId="77777777" w:rsidR="00AA77F0" w:rsidRP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Proporcionar apoyo social y familiar para ayudar a las personas a superar problemas familiares y sociales.</w:t>
      </w:r>
    </w:p>
    <w:p w14:paraId="3AE1DBC7" w14:textId="77777777" w:rsidR="00AA77F0" w:rsidRP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Implementar iniciativas de empleo y economía para ayudar a las personas a acceder a oportunidades laborales y económicas.</w:t>
      </w:r>
    </w:p>
    <w:p w14:paraId="05B9257B" w14:textId="77777777" w:rsidR="00AA77F0" w:rsidRP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Desarrollar programas de prevención de la delincuencia para ayudar a las personas a evitar la delincuencia y a desarrollar habilidades y competencias para la vida.</w:t>
      </w:r>
    </w:p>
    <w:p w14:paraId="2ADF9E66" w14:textId="77777777" w:rsidR="00AA77F0" w:rsidRP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Reformar el sistema de justicia para garantizar que sea justo y equitativo.</w:t>
      </w:r>
    </w:p>
    <w:p w14:paraId="5FCC8A2A" w14:textId="77777777" w:rsidR="00AA77F0" w:rsidRP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Implementar iniciativas de comunidad para fomentar la cohesión social y la participación ciudadana.</w:t>
      </w:r>
    </w:p>
    <w:p w14:paraId="44DD68AA" w14:textId="7898AA2E" w:rsidR="00AA77F0" w:rsidRDefault="00AA77F0" w:rsidP="0008767B">
      <w:pPr>
        <w:pStyle w:val="Prrafodelista"/>
        <w:widowControl w:val="0"/>
        <w:numPr>
          <w:ilvl w:val="0"/>
          <w:numId w:val="67"/>
        </w:numPr>
        <w:autoSpaceDE w:val="0"/>
        <w:autoSpaceDN w:val="0"/>
        <w:spacing w:after="0" w:line="360" w:lineRule="auto"/>
        <w:jc w:val="both"/>
        <w:rPr>
          <w:rFonts w:ascii="Century Gothic" w:hAnsi="Century Gothic"/>
          <w:bCs/>
          <w:sz w:val="22"/>
          <w:szCs w:val="22"/>
          <w:lang w:val="es-US"/>
        </w:rPr>
      </w:pPr>
      <w:r w:rsidRPr="00AA77F0">
        <w:rPr>
          <w:rFonts w:ascii="Century Gothic" w:hAnsi="Century Gothic"/>
          <w:bCs/>
          <w:sz w:val="22"/>
          <w:szCs w:val="22"/>
          <w:lang w:val="es-US"/>
        </w:rPr>
        <w:t xml:space="preserve">Proporcionar apoyo a las víctimas de la </w:t>
      </w:r>
      <w:r w:rsidRPr="00AA77F0">
        <w:rPr>
          <w:rFonts w:ascii="Century Gothic" w:hAnsi="Century Gothic"/>
          <w:bCs/>
          <w:sz w:val="22"/>
          <w:szCs w:val="22"/>
          <w:lang w:val="es-US"/>
        </w:rPr>
        <w:t>delincuencia para ayudarlas a superar el trauma y a reintegrarse en la sociedad.</w:t>
      </w:r>
    </w:p>
    <w:p w14:paraId="13C59648" w14:textId="77777777" w:rsidR="00AA77F0" w:rsidRDefault="00AA77F0">
      <w:pPr>
        <w:rPr>
          <w:rFonts w:ascii="Century Gothic" w:hAnsi="Century Gothic"/>
          <w:bCs/>
          <w:sz w:val="22"/>
          <w:szCs w:val="22"/>
          <w:lang w:val="es-US"/>
        </w:rPr>
      </w:pPr>
      <w:r>
        <w:rPr>
          <w:rFonts w:ascii="Century Gothic" w:hAnsi="Century Gothic"/>
          <w:bCs/>
          <w:sz w:val="22"/>
          <w:szCs w:val="22"/>
          <w:lang w:val="es-US"/>
        </w:rPr>
        <w:br w:type="page"/>
      </w:r>
    </w:p>
    <w:p w14:paraId="36962037" w14:textId="77777777" w:rsidR="00AA77F0" w:rsidRDefault="00AA77F0" w:rsidP="00AA77F0">
      <w:pPr>
        <w:widowControl w:val="0"/>
        <w:autoSpaceDE w:val="0"/>
        <w:autoSpaceDN w:val="0"/>
        <w:spacing w:after="0" w:line="360" w:lineRule="auto"/>
        <w:jc w:val="both"/>
        <w:rPr>
          <w:rFonts w:ascii="Century Gothic" w:hAnsi="Century Gothic"/>
          <w:bCs/>
          <w:sz w:val="22"/>
          <w:szCs w:val="22"/>
          <w:lang w:val="es-US"/>
        </w:rPr>
        <w:sectPr w:rsidR="00AA77F0" w:rsidSect="00B42001">
          <w:pgSz w:w="15840" w:h="12240" w:orient="landscape"/>
          <w:pgMar w:top="1440" w:right="1440" w:bottom="1440" w:left="1440" w:header="709" w:footer="709" w:gutter="0"/>
          <w:cols w:num="2" w:space="708"/>
          <w:docGrid w:linePitch="360"/>
        </w:sectPr>
      </w:pPr>
    </w:p>
    <w:tbl>
      <w:tblPr>
        <w:tblStyle w:val="Tablaconcuadrcula5oscura-nfasis2"/>
        <w:tblW w:w="5000" w:type="pct"/>
        <w:jc w:val="center"/>
        <w:tblLook w:val="04A0" w:firstRow="1" w:lastRow="0" w:firstColumn="1" w:lastColumn="0" w:noHBand="0" w:noVBand="1"/>
      </w:tblPr>
      <w:tblGrid>
        <w:gridCol w:w="1905"/>
        <w:gridCol w:w="1163"/>
        <w:gridCol w:w="1520"/>
        <w:gridCol w:w="987"/>
        <w:gridCol w:w="1168"/>
        <w:gridCol w:w="1526"/>
        <w:gridCol w:w="987"/>
        <w:gridCol w:w="1168"/>
        <w:gridCol w:w="1526"/>
        <w:gridCol w:w="982"/>
        <w:gridCol w:w="18"/>
      </w:tblGrid>
      <w:tr w:rsidR="00AA77F0" w14:paraId="09DBBBE4" w14:textId="77777777" w:rsidTr="00AA77F0">
        <w:trPr>
          <w:cnfStyle w:val="100000000000" w:firstRow="1" w:lastRow="0" w:firstColumn="0" w:lastColumn="0" w:oddVBand="0" w:evenVBand="0" w:oddHBand="0" w:evenHBand="0" w:firstRowFirstColumn="0" w:firstRowLastColumn="0" w:lastRowFirstColumn="0" w:lastRowLastColumn="0"/>
          <w:trHeight w:val="306"/>
          <w:jc w:val="center"/>
        </w:trPr>
        <w:tc>
          <w:tcPr>
            <w:cnfStyle w:val="001000000000" w:firstRow="0" w:lastRow="0" w:firstColumn="1" w:lastColumn="0" w:oddVBand="0" w:evenVBand="0" w:oddHBand="0" w:evenHBand="0" w:firstRowFirstColumn="0" w:firstRowLastColumn="0" w:lastRowFirstColumn="0" w:lastRowLastColumn="0"/>
            <w:tcW w:w="736" w:type="pct"/>
            <w:tcBorders>
              <w:bottom w:val="single" w:sz="4" w:space="0" w:color="FFFFFF" w:themeColor="background1"/>
            </w:tcBorders>
            <w:hideMark/>
          </w:tcPr>
          <w:p w14:paraId="12135E4C" w14:textId="77777777" w:rsidR="00AA77F0" w:rsidRDefault="00AA77F0" w:rsidP="00AA77F0">
            <w:pPr>
              <w:rPr>
                <w:rFonts w:eastAsiaTheme="minorHAnsi"/>
              </w:rPr>
            </w:pPr>
            <w:r>
              <w:lastRenderedPageBreak/>
              <w:t>Territorio</w:t>
            </w:r>
          </w:p>
        </w:tc>
        <w:tc>
          <w:tcPr>
            <w:tcW w:w="1417" w:type="pct"/>
            <w:gridSpan w:val="3"/>
            <w:tcBorders>
              <w:bottom w:val="single" w:sz="4" w:space="0" w:color="FFFFFF" w:themeColor="background1"/>
            </w:tcBorders>
            <w:hideMark/>
          </w:tcPr>
          <w:p w14:paraId="0C155451" w14:textId="77777777" w:rsidR="00AA77F0" w:rsidRDefault="00AA77F0" w:rsidP="00AA77F0">
            <w:pPr>
              <w:cnfStyle w:val="100000000000" w:firstRow="1" w:lastRow="0" w:firstColumn="0" w:lastColumn="0" w:oddVBand="0" w:evenVBand="0" w:oddHBand="0" w:evenHBand="0" w:firstRowFirstColumn="0" w:firstRowLastColumn="0" w:lastRowFirstColumn="0" w:lastRowLastColumn="0"/>
            </w:pPr>
            <w:r>
              <w:t>2021</w:t>
            </w:r>
          </w:p>
        </w:tc>
        <w:tc>
          <w:tcPr>
            <w:tcW w:w="1421" w:type="pct"/>
            <w:gridSpan w:val="3"/>
            <w:tcBorders>
              <w:bottom w:val="single" w:sz="4" w:space="0" w:color="FFFFFF" w:themeColor="background1"/>
            </w:tcBorders>
            <w:hideMark/>
          </w:tcPr>
          <w:p w14:paraId="29505E93" w14:textId="77777777" w:rsidR="00AA77F0" w:rsidRDefault="00AA77F0" w:rsidP="00AA77F0">
            <w:pPr>
              <w:cnfStyle w:val="100000000000" w:firstRow="1" w:lastRow="0" w:firstColumn="0" w:lastColumn="0" w:oddVBand="0" w:evenVBand="0" w:oddHBand="0" w:evenHBand="0" w:firstRowFirstColumn="0" w:firstRowLastColumn="0" w:lastRowFirstColumn="0" w:lastRowLastColumn="0"/>
            </w:pPr>
            <w:r>
              <w:t>2022</w:t>
            </w:r>
          </w:p>
        </w:tc>
        <w:tc>
          <w:tcPr>
            <w:tcW w:w="1426" w:type="pct"/>
            <w:gridSpan w:val="4"/>
            <w:tcBorders>
              <w:bottom w:val="single" w:sz="4" w:space="0" w:color="FFFFFF" w:themeColor="background1"/>
            </w:tcBorders>
            <w:hideMark/>
          </w:tcPr>
          <w:p w14:paraId="0B48FB42" w14:textId="77777777" w:rsidR="00AA77F0" w:rsidRDefault="00AA77F0" w:rsidP="00AA77F0">
            <w:pPr>
              <w:cnfStyle w:val="100000000000" w:firstRow="1" w:lastRow="0" w:firstColumn="0" w:lastColumn="0" w:oddVBand="0" w:evenVBand="0" w:oddHBand="0" w:evenHBand="0" w:firstRowFirstColumn="0" w:firstRowLastColumn="0" w:lastRowFirstColumn="0" w:lastRowLastColumn="0"/>
            </w:pPr>
            <w:r>
              <w:t>2023</w:t>
            </w:r>
          </w:p>
        </w:tc>
      </w:tr>
      <w:tr w:rsidR="00AA77F0" w14:paraId="54554175"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9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tcPr>
          <w:p w14:paraId="4DC3D40C" w14:textId="77777777" w:rsidR="00AA77F0" w:rsidRDefault="00AA77F0" w:rsidP="00AA77F0"/>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AAAF5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Delitos</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168F4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Población total</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83607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Tasa por 100 mil habs.</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17E48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Delitos</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A71D8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Población total</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25BCD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Tasa por 100 mil habs.</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CB097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Delitos</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36968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Población total</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3AC99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Tasa por 100 mil habs.</w:t>
            </w:r>
          </w:p>
        </w:tc>
      </w:tr>
      <w:tr w:rsidR="00AA77F0" w14:paraId="68BBE872" w14:textId="77777777" w:rsidTr="00AA77F0">
        <w:trPr>
          <w:gridAfter w:val="1"/>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65BD12F9" w14:textId="77777777" w:rsidR="00AA77F0" w:rsidRDefault="00AA77F0" w:rsidP="00AA77F0">
            <w:r>
              <w:t>Almoloya de Juárez</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8DC2C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3,073</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75605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190,877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FD0D7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1,610</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F99838"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3,280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17309"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193,287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B7002D"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1,697</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8EAB5F"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3,378</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511A0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195,321</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5F5E9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1,678</w:t>
            </w:r>
          </w:p>
        </w:tc>
      </w:tr>
      <w:tr w:rsidR="00AA77F0" w14:paraId="4730F8D6"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41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0BD13C5A" w14:textId="77777777" w:rsidR="00AA77F0" w:rsidRDefault="00AA77F0" w:rsidP="00AA77F0">
            <w:r>
              <w:t>Almoloya del Río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05017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211</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170C79"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12,345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4665B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1,713</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B9A6B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192</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3E07B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12,447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BA984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1,543</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718AE0"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222</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E9A97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12,573</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16F7E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1,766</w:t>
            </w:r>
          </w:p>
        </w:tc>
      </w:tr>
      <w:tr w:rsidR="00AA77F0" w14:paraId="28713A78" w14:textId="77777777" w:rsidTr="00AA77F0">
        <w:trPr>
          <w:gridAfter w:val="1"/>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3CC71245" w14:textId="77777777" w:rsidR="00AA77F0" w:rsidRDefault="00AA77F0" w:rsidP="00AA77F0">
            <w:r>
              <w:t>Atizapán</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14A374"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8,141</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CF706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438,973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191D4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1,856</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8412AB"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8,405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CCEBA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442,195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7A6FF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1,901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254299"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8,570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78BD74"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445,821</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08C4C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1,922</w:t>
            </w:r>
          </w:p>
        </w:tc>
      </w:tr>
      <w:tr w:rsidR="00AA77F0" w14:paraId="4BFCDC31"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1ADCC7F7" w14:textId="77777777" w:rsidR="00AA77F0" w:rsidRDefault="00AA77F0" w:rsidP="00AA77F0">
            <w:r>
              <w:t>Calimaya</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F0155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1,001</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6E7BF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61,645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95E39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1,749</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49925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1,339</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7FF62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62,068</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12711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2,157</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8920B4"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1,290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B84659"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62,795</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6F9D9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2,054</w:t>
            </w:r>
          </w:p>
        </w:tc>
      </w:tr>
      <w:tr w:rsidR="00AA77F0" w14:paraId="49FE2400" w14:textId="77777777" w:rsidTr="00AA77F0">
        <w:trPr>
          <w:gridAfter w:val="1"/>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3E982668" w14:textId="77777777" w:rsidR="00AA77F0" w:rsidRDefault="00AA77F0" w:rsidP="00AA77F0">
            <w:r>
              <w:t>Capulhuac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063F1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272</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B04BD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21,385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5A97A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1,274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79AB8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311</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B5492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21,492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C4ADEB"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1,447</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50EC28"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291</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80A7EC"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21,813</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B7106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1,335</w:t>
            </w:r>
          </w:p>
        </w:tc>
      </w:tr>
      <w:tr w:rsidR="00AA77F0" w14:paraId="604E57A5"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35B7FE40" w14:textId="77777777" w:rsidR="00AA77F0" w:rsidRDefault="00AA77F0" w:rsidP="00AA77F0">
            <w:r>
              <w:t>Chapultepec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A1A674"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272</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7B9BB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12,335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12753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2,054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273A0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313</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EA458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13,488</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7B6B1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2,237</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C76F80"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291</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0D52CC"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13,640</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2E390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2,133</w:t>
            </w:r>
          </w:p>
        </w:tc>
      </w:tr>
      <w:tr w:rsidR="00AA77F0" w14:paraId="7E6447B3" w14:textId="77777777" w:rsidTr="00AA77F0">
        <w:trPr>
          <w:gridAfter w:val="1"/>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3885452F" w14:textId="77777777" w:rsidR="00AA77F0" w:rsidRDefault="00AA77F0" w:rsidP="00AA77F0">
            <w:r>
              <w:t>Isidro Fabela</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BBF9A8"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119</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659D37"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9,265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4D122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1,284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BD835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156</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63493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9,392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FB87F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1,662</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9BB3D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174</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4E55C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9,631</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3CBE7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1,808</w:t>
            </w:r>
          </w:p>
        </w:tc>
      </w:tr>
      <w:tr w:rsidR="00AA77F0" w14:paraId="66CC7741"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681FA81E" w14:textId="77777777" w:rsidR="00AA77F0" w:rsidRDefault="00AA77F0" w:rsidP="00AA77F0">
            <w:r>
              <w:t>Jilotzingo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817E1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229</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CFD1A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21,103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AA2F6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1,476</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E996D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364</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4CFC84"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21,139</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802D3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1,722</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52977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371</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89114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21,935</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68F6A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1,768</w:t>
            </w:r>
          </w:p>
        </w:tc>
      </w:tr>
      <w:tr w:rsidR="00AA77F0" w14:paraId="11D82650" w14:textId="77777777" w:rsidTr="00AA77F0">
        <w:trPr>
          <w:gridAfter w:val="1"/>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4D07F717" w14:textId="77777777" w:rsidR="00AA77F0" w:rsidRDefault="00AA77F0" w:rsidP="00AA77F0">
            <w:r>
              <w:t>Lerma</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9F1E9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3,186</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64B27D"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92,063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202B0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3,461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1F2ED7"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3,465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54C7A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95,396</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7BE11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3,632</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778C5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3,577</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4EF297"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96,392</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BD6BA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3,710</w:t>
            </w:r>
          </w:p>
        </w:tc>
      </w:tr>
      <w:tr w:rsidR="00AA77F0" w14:paraId="3A9354F6"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2C427E77" w14:textId="77777777" w:rsidR="00AA77F0" w:rsidRDefault="00AA77F0" w:rsidP="00AA77F0">
            <w:r>
              <w:t>Metepec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FA65F0"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7,359</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255F5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236,208</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C73417"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3,282</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264BF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8,250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3E2FD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250,352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BEC39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3,296</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618EE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8,310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B33B94"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252,915</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01A7E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3,112</w:t>
            </w:r>
          </w:p>
        </w:tc>
      </w:tr>
      <w:tr w:rsidR="00AA77F0" w14:paraId="2771A036" w14:textId="77777777" w:rsidTr="00AA77F0">
        <w:trPr>
          <w:gridAfter w:val="1"/>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412F2780" w14:textId="77777777" w:rsidR="00AA77F0" w:rsidRDefault="00AA77F0" w:rsidP="00AA77F0">
            <w:r>
              <w:t>Mexicaltzingo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0B33F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752</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D4613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11,265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A3664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2,898</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98B5ED"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786</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87F4A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11,398</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C277CC"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2,865</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7AD3FB"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820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231C39"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11,651</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FEA0F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2,895</w:t>
            </w:r>
          </w:p>
        </w:tc>
      </w:tr>
      <w:tr w:rsidR="00AA77F0" w14:paraId="011CA64B"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4D1BFCDA" w14:textId="77777777" w:rsidR="00AA77F0" w:rsidRDefault="00AA77F0" w:rsidP="00AA77F0">
            <w:r>
              <w:t>Nicolás Romero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C00AB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7,460</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68E2C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447,017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D1D32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1,669</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9D47D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8,065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D90AEC"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456,329</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84CC17"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1,774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96455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7,753</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EF73F9"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457,051</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40EEF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1,631</w:t>
            </w:r>
          </w:p>
        </w:tc>
      </w:tr>
      <w:tr w:rsidR="00AA77F0" w14:paraId="187FE5B2" w14:textId="77777777" w:rsidTr="00AA77F0">
        <w:trPr>
          <w:gridAfter w:val="1"/>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43244AEF" w14:textId="77777777" w:rsidR="00AA77F0" w:rsidRDefault="00AA77F0" w:rsidP="00AA77F0">
            <w:r>
              <w:t>Ocoyoacac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5B9BCC"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1,556</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74D8C4"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91,857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ACDA7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1,694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65D27"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1,729</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706B1F"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92,392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CA68D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1,872</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23EAA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1,673</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ECC7A8"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93,665</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B42F1B"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1,786</w:t>
            </w:r>
          </w:p>
        </w:tc>
      </w:tr>
      <w:tr w:rsidR="00AA77F0" w14:paraId="4A571813"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7D9B8AB1" w14:textId="77777777" w:rsidR="00AA77F0" w:rsidRDefault="00AA77F0" w:rsidP="00AA77F0">
            <w:r>
              <w:t>Otzolotepec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24AED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1,199</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55838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57,951</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A43FD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2,071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32EF5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1,210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15496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59,372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ACE77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2,037</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3919F9"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1,375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A6397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60,390</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F6E25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2,276</w:t>
            </w:r>
          </w:p>
        </w:tc>
      </w:tr>
      <w:tr w:rsidR="00AA77F0" w14:paraId="5D014C91" w14:textId="77777777" w:rsidTr="00AA77F0">
        <w:trPr>
          <w:gridAfter w:val="1"/>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0A436859" w14:textId="77777777" w:rsidR="00AA77F0" w:rsidRDefault="00AA77F0" w:rsidP="00AA77F0">
            <w:r>
              <w:t>San Antonio la Isla</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06D0D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1,558</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86658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22,589</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F2BAD3"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6,900</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F5FA0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1,720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84F1E6"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22,932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40CFDB"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7,503</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72F373"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1,695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F27C63"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23,665</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9AB43D"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7,162</w:t>
            </w:r>
          </w:p>
        </w:tc>
      </w:tr>
      <w:tr w:rsidR="00AA77F0" w14:paraId="594BA49C"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15E350A9" w14:textId="77777777" w:rsidR="00AA77F0" w:rsidRDefault="00AA77F0" w:rsidP="00AA77F0">
            <w:r>
              <w:t>San Mateo Atenco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9A322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2,258</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828B9C"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93,457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32B52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2,416</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5CEFC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2,399</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66EE1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95,103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C80767"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2,523</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D0AC3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2,417</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6CBEB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96,357</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DD0D1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2,508</w:t>
            </w:r>
          </w:p>
        </w:tc>
      </w:tr>
      <w:tr w:rsidR="00AA77F0" w14:paraId="36204822" w14:textId="77777777" w:rsidTr="00AA77F0">
        <w:trPr>
          <w:gridAfter w:val="1"/>
          <w:wAfter w:w="8" w:type="pct"/>
          <w:trHeight w:val="203"/>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45F6E789" w14:textId="77777777" w:rsidR="00AA77F0" w:rsidRDefault="00AA77F0" w:rsidP="00AA77F0">
            <w:r>
              <w:t>Temoaya</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1D5E1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1,252</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AE903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104,937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DF3FE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1,193</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A29A0C"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1,398</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FC62C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106,853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662A69"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1,309</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75C7F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1,442</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848BE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107,399</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F7A92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1,342</w:t>
            </w:r>
          </w:p>
        </w:tc>
      </w:tr>
      <w:tr w:rsidR="00AA77F0" w14:paraId="729437DD"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0F7BFE78" w14:textId="77777777" w:rsidR="00AA77F0" w:rsidRDefault="00AA77F0" w:rsidP="00AA77F0">
            <w:r>
              <w:t>Texcalyacac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DE0B5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113</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653EC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11,965</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271B89"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945</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58212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147</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FD7CF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12,103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B0ADE2"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1,214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0B84F3"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158</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F853E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12,210</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B81897"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1,294</w:t>
            </w:r>
          </w:p>
        </w:tc>
      </w:tr>
      <w:tr w:rsidR="00AA77F0" w14:paraId="29770BD1" w14:textId="77777777" w:rsidTr="00AA77F0">
        <w:trPr>
          <w:gridAfter w:val="1"/>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3B2FFF6A" w14:textId="77777777" w:rsidR="00AA77F0" w:rsidRDefault="00AA77F0" w:rsidP="00AA77F0">
            <w:r>
              <w:t>Tianguistenco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664F2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1,570</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F7C6F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83,300</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97C65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1,884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A1F48A"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1,504</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2F3DA8"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84,133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5D22A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1,788</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086672"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1,578</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4EF93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84,573</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BB3F46"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1,866</w:t>
            </w:r>
          </w:p>
        </w:tc>
      </w:tr>
      <w:tr w:rsidR="00AA77F0" w14:paraId="6B0987A8"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570D0AEB" w14:textId="77777777" w:rsidR="00AA77F0" w:rsidRDefault="00AA77F0" w:rsidP="00AA77F0">
            <w:r>
              <w:t>Toluca</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68C9D7"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13,183</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14093C"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910,608</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B30B4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1,449</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C388E5"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13,955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67693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927,653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3C73B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1,504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31172A"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14,205</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5289A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940,376</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790034"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1,510</w:t>
            </w:r>
          </w:p>
        </w:tc>
      </w:tr>
      <w:tr w:rsidR="00AA77F0" w14:paraId="2B7C27E7" w14:textId="77777777" w:rsidTr="00AA77F0">
        <w:trPr>
          <w:gridAfter w:val="1"/>
          <w:wAfter w:w="8" w:type="pct"/>
          <w:trHeight w:val="156"/>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67A61DC8" w14:textId="77777777" w:rsidR="00AA77F0" w:rsidRDefault="00AA77F0" w:rsidP="00AA77F0">
            <w:r>
              <w:t>Xalatlaco</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D17545"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407</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8CBC53"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24,389</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21712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1,670</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FDC293"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417</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1E6099"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24,557</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6CB1FC"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1,698</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F4F9AD"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436</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1B0F41"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25,001</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250D4D"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1,742</w:t>
            </w:r>
          </w:p>
        </w:tc>
      </w:tr>
      <w:tr w:rsidR="00AA77F0" w14:paraId="55797071" w14:textId="77777777" w:rsidTr="00AA77F0">
        <w:trPr>
          <w:gridAfter w:val="1"/>
          <w:cnfStyle w:val="000000100000" w:firstRow="0" w:lastRow="0" w:firstColumn="0" w:lastColumn="0" w:oddVBand="0" w:evenVBand="0" w:oddHBand="1" w:evenHBand="0" w:firstRowFirstColumn="0" w:firstRowLastColumn="0" w:lastRowFirstColumn="0" w:lastRowLastColumn="0"/>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bottom w:val="single" w:sz="4" w:space="0" w:color="FFFFFF" w:themeColor="background1"/>
              <w:right w:val="single" w:sz="4" w:space="0" w:color="FFFFFF" w:themeColor="background1"/>
            </w:tcBorders>
            <w:hideMark/>
          </w:tcPr>
          <w:p w14:paraId="55139618" w14:textId="77777777" w:rsidR="00AA77F0" w:rsidRDefault="00AA77F0" w:rsidP="00AA77F0">
            <w:r>
              <w:t>Xonacatlán</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71F40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1,254</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AAA9AD"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59,092</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3C071F"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2,122</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EA0FB9"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1,478</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69EF6B"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60,973</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12B316"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2,424</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6D3D51"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1,520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D61C98"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62,050</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14010E" w14:textId="77777777" w:rsidR="00AA77F0" w:rsidRDefault="00AA77F0" w:rsidP="00AA77F0">
            <w:pPr>
              <w:cnfStyle w:val="000000100000" w:firstRow="0" w:lastRow="0" w:firstColumn="0" w:lastColumn="0" w:oddVBand="0" w:evenVBand="0" w:oddHBand="1" w:evenHBand="0" w:firstRowFirstColumn="0" w:firstRowLastColumn="0" w:lastRowFirstColumn="0" w:lastRowLastColumn="0"/>
            </w:pPr>
            <w:r>
              <w:t>2,450</w:t>
            </w:r>
          </w:p>
        </w:tc>
      </w:tr>
      <w:tr w:rsidR="00AA77F0" w14:paraId="3A1DB03D" w14:textId="77777777" w:rsidTr="00AA77F0">
        <w:trPr>
          <w:gridAfter w:val="1"/>
          <w:wAfter w:w="8" w:type="pct"/>
          <w:trHeight w:val="148"/>
          <w:jc w:val="center"/>
        </w:trPr>
        <w:tc>
          <w:tcPr>
            <w:cnfStyle w:val="001000000000" w:firstRow="0" w:lastRow="0" w:firstColumn="1" w:lastColumn="0" w:oddVBand="0" w:evenVBand="0" w:oddHBand="0" w:evenHBand="0" w:firstRowFirstColumn="0" w:firstRowLastColumn="0" w:lastRowFirstColumn="0" w:lastRowLastColumn="0"/>
            <w:tcW w:w="736" w:type="pct"/>
            <w:tcBorders>
              <w:top w:val="single" w:sz="4" w:space="0" w:color="FFFFFF" w:themeColor="background1"/>
              <w:right w:val="single" w:sz="4" w:space="0" w:color="FFFFFF" w:themeColor="background1"/>
            </w:tcBorders>
            <w:hideMark/>
          </w:tcPr>
          <w:p w14:paraId="2EDB90B8" w14:textId="77777777" w:rsidR="00AA77F0" w:rsidRDefault="00AA77F0" w:rsidP="00AA77F0">
            <w:r>
              <w:t>Zinacantepec</w:t>
            </w:r>
          </w:p>
        </w:tc>
        <w:tc>
          <w:tcPr>
            <w:tcW w:w="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4BAB6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4,691</w:t>
            </w:r>
          </w:p>
        </w:tc>
        <w:tc>
          <w:tcPr>
            <w:tcW w:w="5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FA551F"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204,780</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A05889"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2,291</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71442E"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4,400</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516C54"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207,236</w:t>
            </w:r>
          </w:p>
        </w:tc>
        <w:tc>
          <w:tcPr>
            <w:tcW w:w="38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B5C7A0"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2,123</w:t>
            </w:r>
          </w:p>
        </w:tc>
        <w:tc>
          <w:tcPr>
            <w:tcW w:w="4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B841A8"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4,458</w:t>
            </w:r>
          </w:p>
        </w:tc>
        <w:tc>
          <w:tcPr>
            <w:tcW w:w="5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BB9FAC" w14:textId="77777777" w:rsidR="00AA77F0" w:rsidRDefault="00AA77F0" w:rsidP="00AA77F0">
            <w:pPr>
              <w:cnfStyle w:val="000000000000" w:firstRow="0" w:lastRow="0" w:firstColumn="0" w:lastColumn="0" w:oddVBand="0" w:evenVBand="0" w:oddHBand="0" w:evenHBand="0" w:firstRowFirstColumn="0" w:firstRowLastColumn="0" w:lastRowFirstColumn="0" w:lastRowLastColumn="0"/>
            </w:pPr>
            <w:r>
              <w:t>209,342</w:t>
            </w:r>
          </w:p>
        </w:tc>
        <w:tc>
          <w:tcPr>
            <w:tcW w:w="3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E97AEE" w14:textId="77777777" w:rsidR="00AA77F0" w:rsidRDefault="00AA77F0" w:rsidP="00AA77F0">
            <w:pPr>
              <w:keepNext/>
              <w:cnfStyle w:val="000000000000" w:firstRow="0" w:lastRow="0" w:firstColumn="0" w:lastColumn="0" w:oddVBand="0" w:evenVBand="0" w:oddHBand="0" w:evenHBand="0" w:firstRowFirstColumn="0" w:firstRowLastColumn="0" w:lastRowFirstColumn="0" w:lastRowLastColumn="0"/>
            </w:pPr>
            <w:r>
              <w:t>2,130</w:t>
            </w:r>
          </w:p>
        </w:tc>
      </w:tr>
    </w:tbl>
    <w:p w14:paraId="49903AE0" w14:textId="52F8D4A7" w:rsidR="00AA77F0" w:rsidRDefault="00AA77F0" w:rsidP="00E30B91">
      <w:pPr>
        <w:spacing w:after="160" w:line="360" w:lineRule="auto"/>
        <w:rPr>
          <w:rFonts w:ascii="Century Gothic" w:hAnsi="Century Gothic"/>
          <w:bCs/>
          <w:color w:val="000000" w:themeColor="text1"/>
          <w:sz w:val="22"/>
          <w:szCs w:val="22"/>
        </w:rPr>
      </w:pPr>
    </w:p>
    <w:p w14:paraId="2F02EB67" w14:textId="77777777" w:rsidR="00AA77F0" w:rsidRDefault="00AA77F0">
      <w:pPr>
        <w:rPr>
          <w:rFonts w:ascii="Century Gothic" w:hAnsi="Century Gothic"/>
          <w:bCs/>
          <w:color w:val="000000" w:themeColor="text1"/>
          <w:sz w:val="22"/>
          <w:szCs w:val="22"/>
        </w:rPr>
      </w:pPr>
      <w:r>
        <w:rPr>
          <w:rFonts w:ascii="Century Gothic" w:hAnsi="Century Gothic"/>
          <w:bCs/>
          <w:color w:val="000000" w:themeColor="text1"/>
          <w:sz w:val="22"/>
          <w:szCs w:val="22"/>
        </w:rPr>
        <w:br w:type="page"/>
      </w:r>
    </w:p>
    <w:p w14:paraId="0A19FEE4" w14:textId="77777777" w:rsidR="00AA77F0" w:rsidRDefault="00AA77F0" w:rsidP="00E30B91">
      <w:pPr>
        <w:spacing w:after="160" w:line="360" w:lineRule="auto"/>
        <w:rPr>
          <w:rFonts w:ascii="Century Gothic" w:hAnsi="Century Gothic"/>
          <w:bCs/>
          <w:color w:val="000000" w:themeColor="text1"/>
          <w:sz w:val="22"/>
          <w:szCs w:val="22"/>
        </w:rPr>
        <w:sectPr w:rsidR="00AA77F0" w:rsidSect="00AA77F0">
          <w:pgSz w:w="15840" w:h="12240" w:orient="landscape"/>
          <w:pgMar w:top="1440" w:right="1440" w:bottom="1440" w:left="1440" w:header="709" w:footer="709" w:gutter="0"/>
          <w:cols w:space="708"/>
          <w:docGrid w:linePitch="360"/>
        </w:sectPr>
      </w:pPr>
    </w:p>
    <w:p w14:paraId="1953AF8D" w14:textId="77777777" w:rsidR="00CB51E9" w:rsidRPr="00CB51E9" w:rsidRDefault="00CB51E9" w:rsidP="00CB51E9">
      <w:pPr>
        <w:spacing w:after="160" w:line="360" w:lineRule="auto"/>
        <w:jc w:val="both"/>
        <w:rPr>
          <w:rFonts w:ascii="Century Gothic" w:hAnsi="Century Gothic"/>
          <w:b/>
          <w:color w:val="025850"/>
          <w:sz w:val="22"/>
          <w:szCs w:val="22"/>
        </w:rPr>
      </w:pPr>
      <w:r w:rsidRPr="00CB51E9">
        <w:rPr>
          <w:rFonts w:ascii="Century Gothic" w:hAnsi="Century Gothic"/>
          <w:b/>
          <w:color w:val="025850"/>
          <w:sz w:val="22"/>
          <w:szCs w:val="22"/>
        </w:rPr>
        <w:lastRenderedPageBreak/>
        <w:t>Cuerpos policiales para la paz</w:t>
      </w:r>
    </w:p>
    <w:p w14:paraId="390781BC" w14:textId="44544094" w:rsidR="00CB51E9" w:rsidRPr="00CB51E9" w:rsidRDefault="00CB51E9" w:rsidP="00CB51E9">
      <w:pPr>
        <w:spacing w:after="160" w:line="360" w:lineRule="auto"/>
        <w:ind w:firstLine="708"/>
        <w:jc w:val="both"/>
        <w:rPr>
          <w:rFonts w:ascii="Century Gothic" w:hAnsi="Century Gothic"/>
          <w:bCs/>
          <w:sz w:val="22"/>
          <w:szCs w:val="22"/>
          <w:lang w:val="es-US"/>
        </w:rPr>
      </w:pPr>
      <w:r w:rsidRPr="00CB51E9">
        <w:rPr>
          <w:rFonts w:ascii="Century Gothic" w:hAnsi="Century Gothic"/>
          <w:bCs/>
          <w:sz w:val="22"/>
          <w:szCs w:val="22"/>
          <w:lang w:val="es-US"/>
        </w:rPr>
        <w:t>La seguridad en México enfrenta un reto estructural: en la mayoría de los municipios del país, las policías municipales carecen de los elementos suficientes por cada mil habitantes, incumpliendo los estándares internacionales de cobertura. Este déficit pone en riesgo la efectividad de la seguridad pública y deja a las comunidades vulnerables ante el aumento de la delincuencia.</w:t>
      </w:r>
    </w:p>
    <w:p w14:paraId="7008CB9B" w14:textId="77777777" w:rsidR="00CB51E9" w:rsidRPr="00CB51E9" w:rsidRDefault="00CB51E9" w:rsidP="00CB51E9">
      <w:pPr>
        <w:spacing w:after="160" w:line="360" w:lineRule="auto"/>
        <w:ind w:firstLine="708"/>
        <w:jc w:val="both"/>
        <w:rPr>
          <w:rFonts w:ascii="Century Gothic" w:hAnsi="Century Gothic"/>
          <w:bCs/>
          <w:sz w:val="22"/>
          <w:szCs w:val="22"/>
          <w:lang w:val="es-US"/>
        </w:rPr>
      </w:pPr>
      <w:r w:rsidRPr="00CB51E9">
        <w:rPr>
          <w:rFonts w:ascii="Century Gothic" w:hAnsi="Century Gothic"/>
          <w:bCs/>
          <w:sz w:val="22"/>
          <w:szCs w:val="22"/>
          <w:lang w:val="es-US"/>
        </w:rPr>
        <w:t>Expertos señalan que, mientras la Guardia Nacional cumple un rol esencial en tareas de seguridad estratégica, los municipios deben asumir su responsabilidad local con cuerpos policiales que sean suficientes, honestos y bien remunerados. Sin embargo, este objetivo enfrenta múltiples obstáculos, desde la falta de recursos hasta la corrupción, que erosionan la confianza ciudadana en sus policías.</w:t>
      </w:r>
    </w:p>
    <w:p w14:paraId="1C77EFFF" w14:textId="77777777" w:rsidR="00CB51E9" w:rsidRPr="00CB51E9" w:rsidRDefault="00CB51E9" w:rsidP="00CB51E9">
      <w:pPr>
        <w:spacing w:after="160" w:line="360" w:lineRule="auto"/>
        <w:ind w:firstLine="708"/>
        <w:jc w:val="both"/>
        <w:rPr>
          <w:rFonts w:ascii="Century Gothic" w:hAnsi="Century Gothic"/>
          <w:bCs/>
          <w:sz w:val="22"/>
          <w:szCs w:val="22"/>
          <w:lang w:val="es-US"/>
        </w:rPr>
      </w:pPr>
      <w:r w:rsidRPr="00CB51E9">
        <w:rPr>
          <w:rFonts w:ascii="Century Gothic" w:hAnsi="Century Gothic"/>
          <w:bCs/>
          <w:sz w:val="22"/>
          <w:szCs w:val="22"/>
          <w:lang w:val="es-US"/>
        </w:rPr>
        <w:t xml:space="preserve">El llamado es claro, y es fortalecer las capacidades municipales a través de un esquema de apoyo y exigencia coordinado por el gobierno federal y estatal.  Esto implica no solo incrementar el número de policías, sino garantizar su profesionalización y condiciones </w:t>
      </w:r>
      <w:r w:rsidRPr="00CB51E9">
        <w:rPr>
          <w:rFonts w:ascii="Century Gothic" w:hAnsi="Century Gothic"/>
          <w:bCs/>
          <w:sz w:val="22"/>
          <w:szCs w:val="22"/>
          <w:lang w:val="es-US"/>
        </w:rPr>
        <w:t>laborales dignas que promuevan la integridad y el compromiso con sus comunidades.</w:t>
      </w:r>
    </w:p>
    <w:p w14:paraId="403ED8B0" w14:textId="77777777" w:rsidR="00CB51E9" w:rsidRPr="00CB51E9" w:rsidRDefault="00CB51E9" w:rsidP="00CB51E9">
      <w:p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Datos clave para entender cuerpos policiales para la paz en el municipio:</w:t>
      </w:r>
    </w:p>
    <w:p w14:paraId="460BA39D" w14:textId="77777777" w:rsidR="00CB51E9" w:rsidRPr="00CB51E9" w:rsidRDefault="00CB51E9" w:rsidP="00CB51E9">
      <w:pPr>
        <w:spacing w:after="160" w:line="360" w:lineRule="auto"/>
        <w:ind w:firstLine="708"/>
        <w:jc w:val="both"/>
        <w:rPr>
          <w:rFonts w:ascii="Century Gothic" w:hAnsi="Century Gothic"/>
          <w:bCs/>
          <w:sz w:val="22"/>
          <w:szCs w:val="22"/>
          <w:lang w:val="es-US"/>
        </w:rPr>
      </w:pPr>
      <w:r w:rsidRPr="00CB51E9">
        <w:rPr>
          <w:rFonts w:ascii="Century Gothic" w:hAnsi="Century Gothic"/>
          <w:b/>
          <w:sz w:val="22"/>
          <w:szCs w:val="22"/>
          <w:lang w:val="es-US"/>
        </w:rPr>
        <w:t xml:space="preserve">Estándares internacionales, </w:t>
      </w:r>
      <w:r w:rsidRPr="00CB51E9">
        <w:rPr>
          <w:rFonts w:ascii="Century Gothic" w:hAnsi="Century Gothic"/>
          <w:bCs/>
          <w:sz w:val="22"/>
          <w:szCs w:val="22"/>
          <w:lang w:val="es-US"/>
        </w:rPr>
        <w:t>recomiendan 2.8 policías por cada 1,000 habitantes proviene de la Organización de las Naciones Unidas (ONU) y se basa en estudios y experiencias de diferentes países. En México, muchos municipios están lejos de alcanzar este promedio.</w:t>
      </w:r>
    </w:p>
    <w:p w14:paraId="4790A968" w14:textId="77777777" w:rsidR="00CB51E9" w:rsidRPr="00CB51E9" w:rsidRDefault="00CB51E9" w:rsidP="00CB51E9">
      <w:pPr>
        <w:spacing w:after="160" w:line="360" w:lineRule="auto"/>
        <w:ind w:firstLine="708"/>
        <w:jc w:val="both"/>
        <w:rPr>
          <w:rFonts w:ascii="Century Gothic" w:hAnsi="Century Gothic"/>
          <w:bCs/>
          <w:sz w:val="22"/>
          <w:szCs w:val="22"/>
          <w:lang w:val="es-US"/>
        </w:rPr>
      </w:pPr>
      <w:r w:rsidRPr="00CB51E9">
        <w:rPr>
          <w:rFonts w:ascii="Century Gothic" w:hAnsi="Century Gothic"/>
          <w:bCs/>
          <w:sz w:val="22"/>
          <w:szCs w:val="22"/>
          <w:lang w:val="es-US"/>
        </w:rPr>
        <w:t>Beneficios de cumplir con la recomendación:</w:t>
      </w:r>
    </w:p>
    <w:p w14:paraId="13BFDFCA" w14:textId="77777777" w:rsidR="00CB51E9" w:rsidRPr="00CB51E9" w:rsidRDefault="00CB51E9" w:rsidP="0008767B">
      <w:pPr>
        <w:pStyle w:val="Prrafodelista"/>
        <w:numPr>
          <w:ilvl w:val="0"/>
          <w:numId w:val="68"/>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Una mayor presencia policial puede disuadir la delincuencia y mejorar la seguridad en la comunidad.</w:t>
      </w:r>
    </w:p>
    <w:p w14:paraId="42F8F62A" w14:textId="77777777" w:rsidR="00CB51E9" w:rsidRPr="00CB51E9" w:rsidRDefault="00CB51E9" w:rsidP="0008767B">
      <w:pPr>
        <w:pStyle w:val="Prrafodelista"/>
        <w:numPr>
          <w:ilvl w:val="0"/>
          <w:numId w:val="68"/>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Una fuerza policial más numerosa puede responder de manera más efectiva a las emergencias y situaciones críticas.</w:t>
      </w:r>
    </w:p>
    <w:p w14:paraId="6408826C" w14:textId="77777777" w:rsidR="00CB51E9" w:rsidRPr="00CB51E9" w:rsidRDefault="00CB51E9" w:rsidP="0008767B">
      <w:pPr>
        <w:pStyle w:val="Prrafodelista"/>
        <w:numPr>
          <w:ilvl w:val="0"/>
          <w:numId w:val="68"/>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Una mayor presencia policial puede facilitar la interacción con la comunidad y mejorar la confianza en la institución policial.</w:t>
      </w:r>
    </w:p>
    <w:p w14:paraId="358048EB" w14:textId="77777777" w:rsidR="00CB51E9" w:rsidRPr="00CB51E9" w:rsidRDefault="00CB51E9" w:rsidP="00CB51E9">
      <w:pPr>
        <w:spacing w:after="160" w:line="360" w:lineRule="auto"/>
        <w:ind w:firstLine="360"/>
        <w:jc w:val="both"/>
        <w:rPr>
          <w:rFonts w:ascii="Century Gothic" w:hAnsi="Century Gothic"/>
          <w:bCs/>
          <w:sz w:val="22"/>
          <w:szCs w:val="22"/>
          <w:lang w:val="es-US"/>
        </w:rPr>
      </w:pPr>
      <w:r w:rsidRPr="00CB51E9">
        <w:rPr>
          <w:rFonts w:ascii="Century Gothic" w:hAnsi="Century Gothic"/>
          <w:bCs/>
          <w:sz w:val="22"/>
          <w:szCs w:val="22"/>
          <w:lang w:val="es-US"/>
        </w:rPr>
        <w:t xml:space="preserve">El municipio cuenta con 39 de elementos policiacos, lo que indica que hay un policía por cada 819 habitantes, </w:t>
      </w:r>
      <w:r w:rsidRPr="00CB51E9">
        <w:rPr>
          <w:rFonts w:ascii="Century Gothic" w:hAnsi="Century Gothic"/>
          <w:bCs/>
          <w:sz w:val="22"/>
          <w:szCs w:val="22"/>
          <w:lang w:val="es-US"/>
        </w:rPr>
        <w:lastRenderedPageBreak/>
        <w:t>cifra muy por debajo de los estándares internacionales. Estos policías se encuentran divididos en 2 turnos, mismos que cuentan con equipo de armamento para el desempeño de su función.</w:t>
      </w:r>
    </w:p>
    <w:p w14:paraId="157A377D" w14:textId="77777777" w:rsidR="00CB51E9" w:rsidRPr="00CB51E9" w:rsidRDefault="00CB51E9" w:rsidP="00CB51E9">
      <w:p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Desafíos para cumplir con la recomendación:</w:t>
      </w:r>
    </w:p>
    <w:p w14:paraId="0CAF8144" w14:textId="77777777" w:rsidR="00CB51E9" w:rsidRPr="00CB51E9" w:rsidRDefault="00CB51E9" w:rsidP="0008767B">
      <w:pPr>
        <w:pStyle w:val="Prrafodelista"/>
        <w:numPr>
          <w:ilvl w:val="0"/>
          <w:numId w:val="69"/>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La contratación y capacitación de nuevos policías puede requerir una inversión significativa de recursos.</w:t>
      </w:r>
    </w:p>
    <w:p w14:paraId="43FED2C9" w14:textId="77777777" w:rsidR="00CB51E9" w:rsidRPr="00CB51E9" w:rsidRDefault="00CB51E9" w:rsidP="0008767B">
      <w:pPr>
        <w:pStyle w:val="Prrafodelista"/>
        <w:numPr>
          <w:ilvl w:val="0"/>
          <w:numId w:val="69"/>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 xml:space="preserve">La falta de infraestructura </w:t>
      </w:r>
      <w:proofErr w:type="gramStart"/>
      <w:r w:rsidRPr="00CB51E9">
        <w:rPr>
          <w:rFonts w:ascii="Century Gothic" w:hAnsi="Century Gothic"/>
          <w:bCs/>
          <w:sz w:val="22"/>
          <w:szCs w:val="22"/>
          <w:lang w:val="es-US"/>
        </w:rPr>
        <w:t>adecuada,</w:t>
      </w:r>
      <w:proofErr w:type="gramEnd"/>
      <w:r w:rsidRPr="00CB51E9">
        <w:rPr>
          <w:rFonts w:ascii="Century Gothic" w:hAnsi="Century Gothic"/>
          <w:bCs/>
          <w:sz w:val="22"/>
          <w:szCs w:val="22"/>
          <w:lang w:val="es-US"/>
        </w:rPr>
        <w:t xml:space="preserve"> puede limitar la capacidad de la fuerza policial para responder efectivamente.</w:t>
      </w:r>
    </w:p>
    <w:p w14:paraId="21E954FE" w14:textId="77777777" w:rsidR="00CB51E9" w:rsidRPr="00CB51E9" w:rsidRDefault="00CB51E9" w:rsidP="0008767B">
      <w:pPr>
        <w:pStyle w:val="Prrafodelista"/>
        <w:numPr>
          <w:ilvl w:val="0"/>
          <w:numId w:val="69"/>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La atracción y retención de personal calificado puede ser un desafío, especialmente en áreas con altos niveles de violencia o inestabilidad.</w:t>
      </w:r>
    </w:p>
    <w:p w14:paraId="0F6E644D" w14:textId="77777777" w:rsidR="00CB51E9" w:rsidRPr="00CB51E9" w:rsidRDefault="00CB51E9" w:rsidP="00CB51E9">
      <w:pPr>
        <w:spacing w:after="160" w:line="360" w:lineRule="auto"/>
        <w:ind w:firstLine="360"/>
        <w:jc w:val="both"/>
        <w:rPr>
          <w:rFonts w:ascii="Century Gothic" w:hAnsi="Century Gothic"/>
          <w:bCs/>
          <w:sz w:val="22"/>
          <w:szCs w:val="22"/>
          <w:lang w:val="es-US"/>
        </w:rPr>
      </w:pPr>
      <w:r w:rsidRPr="00CB51E9">
        <w:rPr>
          <w:rFonts w:ascii="Century Gothic" w:hAnsi="Century Gothic"/>
          <w:b/>
          <w:sz w:val="22"/>
          <w:szCs w:val="22"/>
          <w:lang w:val="es-US"/>
        </w:rPr>
        <w:t>Salarios bajos</w:t>
      </w:r>
      <w:r w:rsidRPr="00CB51E9">
        <w:rPr>
          <w:rFonts w:ascii="Century Gothic" w:hAnsi="Century Gothic"/>
          <w:bCs/>
          <w:sz w:val="22"/>
          <w:szCs w:val="22"/>
          <w:lang w:val="es-US"/>
        </w:rPr>
        <w:t>: En algunas localidades, los policías perciben ingresos menores a los $8,000 pesos mensuales, afectando su calidad de vida y su desempeño. Los salarios bajos de los policías municipales son un problema común en muchos municipios de México. A continuación, te presento algunos datos y consideraciones sobre este tema:</w:t>
      </w:r>
    </w:p>
    <w:p w14:paraId="190A9127" w14:textId="77777777" w:rsidR="00CB51E9" w:rsidRPr="00CB51E9" w:rsidRDefault="00CB51E9" w:rsidP="00CB51E9">
      <w:p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Consecuencias de los salarios bajos:</w:t>
      </w:r>
    </w:p>
    <w:p w14:paraId="456F3AF7" w14:textId="77777777" w:rsidR="00CB51E9" w:rsidRPr="00CB51E9" w:rsidRDefault="00CB51E9" w:rsidP="0008767B">
      <w:pPr>
        <w:pStyle w:val="Prrafodelista"/>
        <w:numPr>
          <w:ilvl w:val="0"/>
          <w:numId w:val="70"/>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Los salarios bajos pueden llevar a una falta de motivación y satisfacción laboral entre los policías municipales.</w:t>
      </w:r>
    </w:p>
    <w:p w14:paraId="5735FF9A" w14:textId="77777777" w:rsidR="00CB51E9" w:rsidRPr="00CB51E9" w:rsidRDefault="00CB51E9" w:rsidP="0008767B">
      <w:pPr>
        <w:pStyle w:val="Prrafodelista"/>
        <w:numPr>
          <w:ilvl w:val="0"/>
          <w:numId w:val="70"/>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Los salarios bajos pueden llevar a una mayor deserción y rotación de personal, lo que puede afectar la eficacia y la eficiencia de la fuerza policial municipal.</w:t>
      </w:r>
    </w:p>
    <w:p w14:paraId="4D9BAA09" w14:textId="77777777" w:rsidR="00CB51E9" w:rsidRPr="00CB51E9" w:rsidRDefault="00CB51E9" w:rsidP="0008767B">
      <w:pPr>
        <w:pStyle w:val="Prrafodelista"/>
        <w:numPr>
          <w:ilvl w:val="0"/>
          <w:numId w:val="70"/>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Los salarios bajos pueden aumentar la vulnerabilidad a la corrupción, ya que los policías municipales pueden sentirse tentados a aceptar sobornos o cometer actos de corrupción para complementar sus ingresos.</w:t>
      </w:r>
    </w:p>
    <w:p w14:paraId="67D6F51B" w14:textId="77777777" w:rsidR="00CB51E9" w:rsidRPr="00CB51E9" w:rsidRDefault="00CB51E9" w:rsidP="0008767B">
      <w:pPr>
        <w:pStyle w:val="Prrafodelista"/>
        <w:numPr>
          <w:ilvl w:val="0"/>
          <w:numId w:val="71"/>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Si deseamos mejorar las condiciones laborales de los policías es necesario adoptar las siguientes estrategias:</w:t>
      </w:r>
    </w:p>
    <w:p w14:paraId="3C8604D8" w14:textId="77777777" w:rsidR="00CB51E9" w:rsidRPr="00CB51E9" w:rsidRDefault="00CB51E9" w:rsidP="0008767B">
      <w:pPr>
        <w:pStyle w:val="Prrafodelista"/>
        <w:numPr>
          <w:ilvl w:val="0"/>
          <w:numId w:val="71"/>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Aumentar el presupuesto asignado a la seguridad pública en el municipio para mejorar los salarios y las condiciones laborales de los policías municipales.</w:t>
      </w:r>
    </w:p>
    <w:p w14:paraId="7C74ABDB" w14:textId="77777777" w:rsidR="00CB51E9" w:rsidRPr="00CB51E9" w:rsidRDefault="00CB51E9" w:rsidP="0008767B">
      <w:pPr>
        <w:pStyle w:val="Prrafodelista"/>
        <w:numPr>
          <w:ilvl w:val="0"/>
          <w:numId w:val="71"/>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 xml:space="preserve">Invertir en recursos humanos, como la capacitación y el desarrollo profesional, para </w:t>
      </w:r>
      <w:r w:rsidRPr="00CB51E9">
        <w:rPr>
          <w:rFonts w:ascii="Century Gothic" w:hAnsi="Century Gothic"/>
          <w:bCs/>
          <w:sz w:val="22"/>
          <w:szCs w:val="22"/>
          <w:lang w:val="es-US"/>
        </w:rPr>
        <w:lastRenderedPageBreak/>
        <w:t>mejorar la valoración y la motivación de los policías municipales.</w:t>
      </w:r>
    </w:p>
    <w:p w14:paraId="22F1E526" w14:textId="77777777" w:rsidR="00CB51E9" w:rsidRPr="00CB51E9" w:rsidRDefault="00CB51E9" w:rsidP="0008767B">
      <w:pPr>
        <w:pStyle w:val="Prrafodelista"/>
        <w:numPr>
          <w:ilvl w:val="0"/>
          <w:numId w:val="71"/>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Revisar la estructura salarial de la fuerza policial municipal para asegurarse de que los salarios sean justos y competitivos.</w:t>
      </w:r>
    </w:p>
    <w:p w14:paraId="34F0AE8F" w14:textId="77777777" w:rsidR="00CB51E9" w:rsidRPr="00CB51E9" w:rsidRDefault="00CB51E9" w:rsidP="0008767B">
      <w:pPr>
        <w:pStyle w:val="Prrafodelista"/>
        <w:numPr>
          <w:ilvl w:val="0"/>
          <w:numId w:val="71"/>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Ofrecer beneficios adicionales, como seguro médico, planes de pensiones y programas de bienestar, para mejorar la calidad de vida de los policías municipales.</w:t>
      </w:r>
    </w:p>
    <w:p w14:paraId="10656FEE" w14:textId="77777777" w:rsidR="00CB51E9" w:rsidRPr="00CB51E9" w:rsidRDefault="00CB51E9" w:rsidP="0008767B">
      <w:pPr>
        <w:pStyle w:val="Prrafodelista"/>
        <w:numPr>
          <w:ilvl w:val="0"/>
          <w:numId w:val="71"/>
        </w:numPr>
        <w:spacing w:after="160" w:line="360" w:lineRule="auto"/>
        <w:jc w:val="both"/>
        <w:rPr>
          <w:rFonts w:ascii="Century Gothic" w:hAnsi="Century Gothic"/>
          <w:bCs/>
          <w:sz w:val="22"/>
          <w:szCs w:val="22"/>
          <w:lang w:val="es-US"/>
        </w:rPr>
      </w:pPr>
      <w:r w:rsidRPr="00CB51E9">
        <w:rPr>
          <w:rFonts w:ascii="Century Gothic" w:hAnsi="Century Gothic"/>
          <w:bCs/>
          <w:sz w:val="22"/>
          <w:szCs w:val="22"/>
          <w:lang w:val="es-US"/>
        </w:rPr>
        <w:t>Colaborar con otros niveles de gobierno, como el estado y la federación, para obtener recursos y apoyo para mejorar los salarios y las condiciones laborales de los policías municipales.</w:t>
      </w:r>
    </w:p>
    <w:p w14:paraId="1E83B7FB" w14:textId="77777777" w:rsidR="00CB51E9" w:rsidRPr="00CB51E9" w:rsidRDefault="00CB51E9" w:rsidP="00CB51E9">
      <w:pPr>
        <w:spacing w:after="160" w:line="360" w:lineRule="auto"/>
        <w:ind w:firstLine="360"/>
        <w:jc w:val="both"/>
        <w:rPr>
          <w:rFonts w:ascii="Century Gothic" w:hAnsi="Century Gothic"/>
          <w:bCs/>
          <w:sz w:val="22"/>
          <w:szCs w:val="22"/>
          <w:lang w:val="es-US"/>
        </w:rPr>
      </w:pPr>
      <w:r w:rsidRPr="00CB51E9">
        <w:rPr>
          <w:rFonts w:ascii="Century Gothic" w:hAnsi="Century Gothic"/>
          <w:bCs/>
          <w:sz w:val="22"/>
          <w:szCs w:val="22"/>
          <w:lang w:val="es-US"/>
        </w:rPr>
        <w:t xml:space="preserve">Es importante destacar que la seguridad y la paz en San Antonio la Isla, es un tema inaplazable y requieren la colaboración y coordinación entre todos estos cuerpos policiales </w:t>
      </w:r>
      <w:proofErr w:type="spellStart"/>
      <w:r w:rsidRPr="00CB51E9">
        <w:rPr>
          <w:rFonts w:ascii="Century Gothic" w:hAnsi="Century Gothic"/>
          <w:bCs/>
          <w:sz w:val="22"/>
          <w:szCs w:val="22"/>
          <w:lang w:val="es-US"/>
        </w:rPr>
        <w:t>y</w:t>
      </w:r>
      <w:proofErr w:type="spellEnd"/>
      <w:r w:rsidRPr="00CB51E9">
        <w:rPr>
          <w:rFonts w:ascii="Century Gothic" w:hAnsi="Century Gothic"/>
          <w:bCs/>
          <w:sz w:val="22"/>
          <w:szCs w:val="22"/>
          <w:lang w:val="es-US"/>
        </w:rPr>
        <w:t xml:space="preserve"> instancias de seguridad, así como la </w:t>
      </w:r>
      <w:proofErr w:type="gramStart"/>
      <w:r w:rsidRPr="00CB51E9">
        <w:rPr>
          <w:rFonts w:ascii="Century Gothic" w:hAnsi="Century Gothic"/>
          <w:bCs/>
          <w:sz w:val="22"/>
          <w:szCs w:val="22"/>
          <w:lang w:val="es-US"/>
        </w:rPr>
        <w:t>participación activa</w:t>
      </w:r>
      <w:proofErr w:type="gramEnd"/>
      <w:r w:rsidRPr="00CB51E9">
        <w:rPr>
          <w:rFonts w:ascii="Century Gothic" w:hAnsi="Century Gothic"/>
          <w:bCs/>
          <w:sz w:val="22"/>
          <w:szCs w:val="22"/>
          <w:lang w:val="es-US"/>
        </w:rPr>
        <w:t xml:space="preserve"> de la comunidad, para combatir y reducir el índice delictivo.</w:t>
      </w:r>
    </w:p>
    <w:p w14:paraId="3E35ECB4" w14:textId="40AF2C39" w:rsidR="00CB51E9" w:rsidRPr="00CB51E9" w:rsidRDefault="00CB51E9" w:rsidP="00CB51E9">
      <w:pPr>
        <w:widowControl w:val="0"/>
        <w:autoSpaceDE w:val="0"/>
        <w:autoSpaceDN w:val="0"/>
        <w:spacing w:after="0" w:line="240" w:lineRule="auto"/>
        <w:rPr>
          <w:rFonts w:ascii="Century Gothic" w:hAnsi="Century Gothic"/>
          <w:b/>
          <w:bCs/>
          <w:color w:val="025850"/>
          <w:sz w:val="22"/>
          <w:szCs w:val="22"/>
        </w:rPr>
      </w:pPr>
      <w:r w:rsidRPr="00CB51E9">
        <w:rPr>
          <w:rFonts w:ascii="Century Gothic" w:hAnsi="Century Gothic"/>
          <w:b/>
          <w:bCs/>
          <w:color w:val="025850"/>
          <w:sz w:val="22"/>
          <w:szCs w:val="22"/>
        </w:rPr>
        <w:t>Inteligencia e investigación</w:t>
      </w:r>
    </w:p>
    <w:p w14:paraId="1B405E9A" w14:textId="77777777" w:rsidR="00CB51E9" w:rsidRPr="00CB51E9" w:rsidRDefault="00CB51E9" w:rsidP="00CB51E9">
      <w:pPr>
        <w:widowControl w:val="0"/>
        <w:autoSpaceDE w:val="0"/>
        <w:autoSpaceDN w:val="0"/>
        <w:spacing w:after="0" w:line="240" w:lineRule="auto"/>
        <w:rPr>
          <w:rFonts w:ascii="Century Gothic" w:eastAsiaTheme="minorHAnsi" w:hAnsi="Century Gothic"/>
          <w:b/>
          <w:bCs/>
          <w:sz w:val="22"/>
          <w:szCs w:val="22"/>
        </w:rPr>
      </w:pPr>
    </w:p>
    <w:p w14:paraId="1CD0A35A" w14:textId="0F79EFE6" w:rsidR="00CB51E9" w:rsidRPr="00CB51E9" w:rsidRDefault="00CB51E9" w:rsidP="00CB51E9">
      <w:pPr>
        <w:rPr>
          <w:rFonts w:ascii="Century Gothic" w:hAnsi="Century Gothic"/>
          <w:sz w:val="22"/>
          <w:szCs w:val="22"/>
        </w:rPr>
      </w:pPr>
      <w:r w:rsidRPr="00CB51E9">
        <w:rPr>
          <w:rFonts w:ascii="Century Gothic" w:hAnsi="Century Gothic"/>
          <w:sz w:val="22"/>
          <w:szCs w:val="22"/>
        </w:rPr>
        <w:t xml:space="preserve">La inteligencia e investigación en materia de seguridad son pilares fundamentales para que los municipios </w:t>
      </w:r>
      <w:r w:rsidRPr="00CB51E9">
        <w:rPr>
          <w:rFonts w:ascii="Century Gothic" w:hAnsi="Century Gothic"/>
          <w:sz w:val="22"/>
          <w:szCs w:val="22"/>
        </w:rPr>
        <w:t>prevengan y combatan la delincuencia de manera efectiva. Estas herramientas permiten recopilar, analizar y utilizar información estratégica para anticipar y neutralizar amenazas delictivas, fortaleciendo así la seguridad ciudadana.</w:t>
      </w:r>
    </w:p>
    <w:p w14:paraId="0B176753" w14:textId="77777777" w:rsidR="00CB51E9" w:rsidRPr="00CB51E9" w:rsidRDefault="00CB51E9" w:rsidP="00CB51E9">
      <w:pPr>
        <w:ind w:firstLine="360"/>
        <w:rPr>
          <w:rFonts w:ascii="Century Gothic" w:hAnsi="Century Gothic"/>
          <w:sz w:val="22"/>
          <w:szCs w:val="22"/>
        </w:rPr>
      </w:pPr>
      <w:r w:rsidRPr="00CB51E9">
        <w:rPr>
          <w:rFonts w:ascii="Century Gothic" w:hAnsi="Century Gothic"/>
          <w:sz w:val="22"/>
          <w:szCs w:val="22"/>
        </w:rPr>
        <w:t>Para ello, la inteligencia y la investigación en seguridad pública se apoyan en diversas herramientas clave, entre ellas:</w:t>
      </w:r>
    </w:p>
    <w:p w14:paraId="1BE39466" w14:textId="77777777" w:rsidR="00CB51E9" w:rsidRPr="00CB51E9" w:rsidRDefault="00CB51E9" w:rsidP="00CB51E9">
      <w:pPr>
        <w:rPr>
          <w:rFonts w:ascii="Century Gothic" w:hAnsi="Century Gothic"/>
          <w:sz w:val="22"/>
          <w:szCs w:val="22"/>
        </w:rPr>
      </w:pPr>
    </w:p>
    <w:p w14:paraId="04C0DE35" w14:textId="77777777" w:rsidR="00CB51E9" w:rsidRPr="00CB51E9" w:rsidRDefault="00CB51E9" w:rsidP="0008767B">
      <w:pPr>
        <w:pStyle w:val="Prrafodelista"/>
        <w:numPr>
          <w:ilvl w:val="0"/>
          <w:numId w:val="72"/>
        </w:numPr>
        <w:spacing w:after="160" w:line="256" w:lineRule="auto"/>
        <w:rPr>
          <w:rFonts w:ascii="Century Gothic" w:hAnsi="Century Gothic"/>
          <w:sz w:val="22"/>
          <w:szCs w:val="22"/>
        </w:rPr>
      </w:pPr>
      <w:r w:rsidRPr="00CB51E9">
        <w:rPr>
          <w:rFonts w:ascii="Century Gothic" w:hAnsi="Century Gothic"/>
          <w:sz w:val="22"/>
          <w:szCs w:val="22"/>
        </w:rPr>
        <w:t>Sistemas de información para el seguimiento y análisis de incidentes delictivos.</w:t>
      </w:r>
    </w:p>
    <w:p w14:paraId="76193FDD" w14:textId="77777777" w:rsidR="00CB51E9" w:rsidRPr="00CB51E9" w:rsidRDefault="00CB51E9" w:rsidP="0008767B">
      <w:pPr>
        <w:pStyle w:val="Prrafodelista"/>
        <w:numPr>
          <w:ilvl w:val="0"/>
          <w:numId w:val="72"/>
        </w:numPr>
        <w:spacing w:after="160" w:line="256" w:lineRule="auto"/>
        <w:rPr>
          <w:rFonts w:ascii="Century Gothic" w:hAnsi="Century Gothic"/>
          <w:sz w:val="22"/>
          <w:szCs w:val="22"/>
        </w:rPr>
      </w:pPr>
      <w:r w:rsidRPr="00CB51E9">
        <w:rPr>
          <w:rFonts w:ascii="Century Gothic" w:hAnsi="Century Gothic"/>
          <w:sz w:val="22"/>
          <w:szCs w:val="22"/>
        </w:rPr>
        <w:t>Plataformas tecnológicas que optimizan la recopilación y procesamiento de datos.</w:t>
      </w:r>
    </w:p>
    <w:p w14:paraId="41B3EC5C" w14:textId="77777777" w:rsidR="00CB51E9" w:rsidRPr="00CB51E9" w:rsidRDefault="00CB51E9" w:rsidP="0008767B">
      <w:pPr>
        <w:pStyle w:val="Prrafodelista"/>
        <w:numPr>
          <w:ilvl w:val="0"/>
          <w:numId w:val="72"/>
        </w:numPr>
        <w:spacing w:after="160" w:line="256" w:lineRule="auto"/>
        <w:rPr>
          <w:rFonts w:ascii="Century Gothic" w:hAnsi="Century Gothic"/>
          <w:sz w:val="22"/>
          <w:szCs w:val="22"/>
        </w:rPr>
      </w:pPr>
      <w:r w:rsidRPr="00CB51E9">
        <w:rPr>
          <w:rFonts w:ascii="Century Gothic" w:hAnsi="Century Gothic"/>
          <w:sz w:val="22"/>
          <w:szCs w:val="22"/>
        </w:rPr>
        <w:t>Tácticas policiales especializadas basadas en estrategias de prevención y respuesta.</w:t>
      </w:r>
    </w:p>
    <w:p w14:paraId="2E7F4EA1" w14:textId="77777777" w:rsidR="00CB51E9" w:rsidRPr="00CB51E9" w:rsidRDefault="00CB51E9" w:rsidP="0008767B">
      <w:pPr>
        <w:pStyle w:val="Prrafodelista"/>
        <w:numPr>
          <w:ilvl w:val="0"/>
          <w:numId w:val="72"/>
        </w:numPr>
        <w:spacing w:after="160" w:line="256" w:lineRule="auto"/>
        <w:rPr>
          <w:rFonts w:ascii="Century Gothic" w:hAnsi="Century Gothic"/>
          <w:sz w:val="22"/>
          <w:szCs w:val="22"/>
        </w:rPr>
      </w:pPr>
      <w:r w:rsidRPr="00CB51E9">
        <w:rPr>
          <w:rFonts w:ascii="Century Gothic" w:hAnsi="Century Gothic"/>
          <w:sz w:val="22"/>
          <w:szCs w:val="22"/>
        </w:rPr>
        <w:t>Bancos de datos que facilitan la identificación de patrones delictivos y la toma de decisiones.</w:t>
      </w:r>
    </w:p>
    <w:p w14:paraId="64F83BB8" w14:textId="77777777" w:rsidR="00CB51E9" w:rsidRPr="00CB51E9" w:rsidRDefault="00CB51E9" w:rsidP="00CB51E9">
      <w:pPr>
        <w:ind w:firstLine="708"/>
        <w:rPr>
          <w:rFonts w:ascii="Century Gothic" w:hAnsi="Century Gothic"/>
          <w:sz w:val="22"/>
          <w:szCs w:val="22"/>
        </w:rPr>
      </w:pPr>
      <w:r w:rsidRPr="00CB51E9">
        <w:rPr>
          <w:rFonts w:ascii="Century Gothic" w:hAnsi="Century Gothic"/>
          <w:sz w:val="22"/>
          <w:szCs w:val="22"/>
        </w:rPr>
        <w:t>Sin embargo, el municipio de San Antonio la Isla enfrenta importantes desafíos para fortalecer estas capacidades y consolidar un modelo de seguridad eficaz y sostenible:</w:t>
      </w:r>
    </w:p>
    <w:p w14:paraId="2217FBC1" w14:textId="77777777" w:rsidR="00CB51E9" w:rsidRPr="00CB51E9" w:rsidRDefault="00CB51E9" w:rsidP="0008767B">
      <w:pPr>
        <w:pStyle w:val="Prrafodelista"/>
        <w:numPr>
          <w:ilvl w:val="0"/>
          <w:numId w:val="73"/>
        </w:numPr>
        <w:spacing w:after="160" w:line="256" w:lineRule="auto"/>
        <w:rPr>
          <w:rFonts w:ascii="Century Gothic" w:hAnsi="Century Gothic"/>
          <w:sz w:val="22"/>
          <w:szCs w:val="22"/>
        </w:rPr>
      </w:pPr>
      <w:r w:rsidRPr="00CB51E9">
        <w:rPr>
          <w:rFonts w:ascii="Century Gothic" w:hAnsi="Century Gothic"/>
          <w:sz w:val="22"/>
          <w:szCs w:val="22"/>
        </w:rPr>
        <w:t>Limitaciones financieras, que dificultan la inversión en infraestructura tecnológica y capacitación especializada.</w:t>
      </w:r>
    </w:p>
    <w:p w14:paraId="0D21E2E6" w14:textId="77777777" w:rsidR="00CB51E9" w:rsidRPr="00CB51E9" w:rsidRDefault="00CB51E9" w:rsidP="0008767B">
      <w:pPr>
        <w:pStyle w:val="Prrafodelista"/>
        <w:numPr>
          <w:ilvl w:val="0"/>
          <w:numId w:val="73"/>
        </w:numPr>
        <w:spacing w:after="160" w:line="256" w:lineRule="auto"/>
        <w:rPr>
          <w:rFonts w:ascii="Century Gothic" w:hAnsi="Century Gothic"/>
          <w:sz w:val="22"/>
          <w:szCs w:val="22"/>
        </w:rPr>
      </w:pPr>
      <w:r w:rsidRPr="00CB51E9">
        <w:rPr>
          <w:rFonts w:ascii="Century Gothic" w:hAnsi="Century Gothic"/>
          <w:sz w:val="22"/>
          <w:szCs w:val="22"/>
        </w:rPr>
        <w:t>Déficit de personal capacitado, lo que impide el desarrollo de estrategias de inteligencia avanzadas.</w:t>
      </w:r>
    </w:p>
    <w:p w14:paraId="680A457A" w14:textId="77777777" w:rsidR="00CB51E9" w:rsidRPr="00CB51E9" w:rsidRDefault="00CB51E9" w:rsidP="0008767B">
      <w:pPr>
        <w:pStyle w:val="Prrafodelista"/>
        <w:numPr>
          <w:ilvl w:val="0"/>
          <w:numId w:val="73"/>
        </w:numPr>
        <w:spacing w:after="160" w:line="256" w:lineRule="auto"/>
        <w:rPr>
          <w:rFonts w:ascii="Century Gothic" w:hAnsi="Century Gothic"/>
          <w:sz w:val="22"/>
          <w:szCs w:val="22"/>
        </w:rPr>
      </w:pPr>
      <w:r w:rsidRPr="00CB51E9">
        <w:rPr>
          <w:rFonts w:ascii="Century Gothic" w:hAnsi="Century Gothic"/>
          <w:sz w:val="22"/>
          <w:szCs w:val="22"/>
        </w:rPr>
        <w:lastRenderedPageBreak/>
        <w:t>Infraestructura insuficiente, incluyendo sistemas de información y tecnología para la recolección y análisis de datos.</w:t>
      </w:r>
    </w:p>
    <w:p w14:paraId="6D1854CD" w14:textId="77777777" w:rsidR="00CB51E9" w:rsidRPr="00CB51E9" w:rsidRDefault="00CB51E9" w:rsidP="0008767B">
      <w:pPr>
        <w:pStyle w:val="Prrafodelista"/>
        <w:numPr>
          <w:ilvl w:val="0"/>
          <w:numId w:val="73"/>
        </w:numPr>
        <w:spacing w:after="160" w:line="256" w:lineRule="auto"/>
        <w:rPr>
          <w:rFonts w:ascii="Century Gothic" w:hAnsi="Century Gothic"/>
          <w:sz w:val="22"/>
          <w:szCs w:val="22"/>
        </w:rPr>
      </w:pPr>
      <w:r w:rsidRPr="00CB51E9">
        <w:rPr>
          <w:rFonts w:ascii="Century Gothic" w:hAnsi="Century Gothic"/>
          <w:sz w:val="22"/>
          <w:szCs w:val="22"/>
        </w:rPr>
        <w:t>Falta de mecanismos de coordinación interinstitucional, que obstaculizan el intercambio de información entre agencias de seguridad.</w:t>
      </w:r>
    </w:p>
    <w:p w14:paraId="597A237F" w14:textId="77777777" w:rsidR="00CB51E9" w:rsidRPr="00CB51E9" w:rsidRDefault="00CB51E9" w:rsidP="0008767B">
      <w:pPr>
        <w:pStyle w:val="Prrafodelista"/>
        <w:numPr>
          <w:ilvl w:val="0"/>
          <w:numId w:val="73"/>
        </w:numPr>
        <w:spacing w:after="160" w:line="256" w:lineRule="auto"/>
        <w:rPr>
          <w:rFonts w:ascii="Century Gothic" w:hAnsi="Century Gothic"/>
          <w:sz w:val="22"/>
          <w:szCs w:val="22"/>
        </w:rPr>
      </w:pPr>
      <w:r w:rsidRPr="00CB51E9">
        <w:rPr>
          <w:rFonts w:ascii="Century Gothic" w:hAnsi="Century Gothic"/>
          <w:sz w:val="22"/>
          <w:szCs w:val="22"/>
        </w:rPr>
        <w:t>Riesgos asociados a la recopilación de información, especialmente en materia de privacidad y derechos humanos.</w:t>
      </w:r>
    </w:p>
    <w:p w14:paraId="3DB0B60C" w14:textId="77777777" w:rsidR="00CB51E9" w:rsidRPr="00CB51E9" w:rsidRDefault="00CB51E9" w:rsidP="00CB51E9">
      <w:pPr>
        <w:ind w:firstLine="360"/>
        <w:rPr>
          <w:rFonts w:ascii="Century Gothic" w:hAnsi="Century Gothic"/>
          <w:sz w:val="22"/>
          <w:szCs w:val="22"/>
        </w:rPr>
      </w:pPr>
      <w:r w:rsidRPr="00CB51E9">
        <w:rPr>
          <w:rFonts w:ascii="Century Gothic" w:hAnsi="Century Gothic"/>
          <w:sz w:val="22"/>
          <w:szCs w:val="22"/>
        </w:rPr>
        <w:t>Ante estos retos, es imperativo que se implementen políticas públicas integrales que garanticen el fortalecimiento de la inteligencia y la investigación en seguridad. La colaboración entre los diferentes niveles de gobierno, la asignación eficiente de recursos y el respeto a los derechos fundamentales de la ciudadanía son esenciales para construir un entorno seguro y ordenado para todos.</w:t>
      </w:r>
    </w:p>
    <w:p w14:paraId="6BB25496" w14:textId="53F4F5A3" w:rsidR="00CB51E9" w:rsidRPr="00CB51E9" w:rsidRDefault="00CB51E9" w:rsidP="00CB51E9">
      <w:pPr>
        <w:ind w:firstLine="360"/>
        <w:rPr>
          <w:rFonts w:ascii="Century Gothic" w:hAnsi="Century Gothic"/>
          <w:sz w:val="22"/>
          <w:szCs w:val="22"/>
        </w:rPr>
      </w:pPr>
      <w:r w:rsidRPr="00CB51E9">
        <w:rPr>
          <w:rFonts w:ascii="Century Gothic" w:hAnsi="Century Gothic"/>
          <w:sz w:val="22"/>
          <w:szCs w:val="22"/>
        </w:rPr>
        <w:t xml:space="preserve">El centro de control y mando cuenta con un sistema avanzado que incluye cuatro puntos de monitoreo distribuidos de manera estratégica, lo que facilita la vigilancia constante y permite una intervención eficiente y oportuna ante cualquier incidencia relacionada con la seguridad pública. Este centro tiene como principal objetivo garantizar la protección inmediata de la integridad de la población </w:t>
      </w:r>
      <w:proofErr w:type="spellStart"/>
      <w:r w:rsidRPr="00CB51E9">
        <w:rPr>
          <w:rFonts w:ascii="Century Gothic" w:hAnsi="Century Gothic"/>
          <w:sz w:val="22"/>
          <w:szCs w:val="22"/>
        </w:rPr>
        <w:t>islense</w:t>
      </w:r>
      <w:proofErr w:type="spellEnd"/>
      <w:r w:rsidRPr="00CB51E9">
        <w:rPr>
          <w:rFonts w:ascii="Century Gothic" w:hAnsi="Century Gothic"/>
          <w:sz w:val="22"/>
          <w:szCs w:val="22"/>
        </w:rPr>
        <w:t xml:space="preserve">, destacando la relevancia crucial de mantener un entorno seguro para sus habitantes. La disposición de los puntos de monitoreo y la capacidad de respuesta rápida son elementos </w:t>
      </w:r>
      <w:r w:rsidRPr="00CB51E9">
        <w:rPr>
          <w:rFonts w:ascii="Century Gothic" w:hAnsi="Century Gothic"/>
          <w:sz w:val="22"/>
          <w:szCs w:val="22"/>
        </w:rPr>
        <w:t>fundamentales que contribuyen al resguardo efectivo de la seguridad, reforzando la confianza y el bienestar de la comunidad.</w:t>
      </w:r>
    </w:p>
    <w:p w14:paraId="3363F614" w14:textId="77777777" w:rsidR="00CB51E9" w:rsidRPr="00CB51E9" w:rsidRDefault="00CB51E9" w:rsidP="00CB51E9">
      <w:pPr>
        <w:widowControl w:val="0"/>
        <w:autoSpaceDE w:val="0"/>
        <w:autoSpaceDN w:val="0"/>
        <w:spacing w:after="0" w:line="360" w:lineRule="auto"/>
        <w:jc w:val="both"/>
        <w:rPr>
          <w:rFonts w:ascii="Century Gothic" w:hAnsi="Century Gothic"/>
          <w:b/>
          <w:bCs/>
          <w:color w:val="025850"/>
          <w:sz w:val="22"/>
          <w:szCs w:val="22"/>
          <w:lang w:val="es-US"/>
        </w:rPr>
      </w:pPr>
      <w:r w:rsidRPr="00CB51E9">
        <w:rPr>
          <w:rFonts w:ascii="Century Gothic" w:hAnsi="Century Gothic"/>
          <w:b/>
          <w:bCs/>
          <w:color w:val="025850"/>
          <w:sz w:val="22"/>
          <w:szCs w:val="22"/>
          <w:lang w:val="es-US"/>
        </w:rPr>
        <w:t>Reingeniería y coordinación interinstitucional</w:t>
      </w:r>
    </w:p>
    <w:p w14:paraId="3F8A3DC2" w14:textId="25C6C745" w:rsidR="00CB51E9" w:rsidRPr="00CB51E9" w:rsidRDefault="00CB51E9" w:rsidP="00CB51E9">
      <w:pPr>
        <w:spacing w:line="360" w:lineRule="auto"/>
        <w:ind w:firstLine="360"/>
        <w:jc w:val="both"/>
        <w:rPr>
          <w:rFonts w:ascii="Century Gothic" w:hAnsi="Century Gothic"/>
          <w:sz w:val="22"/>
          <w:szCs w:val="22"/>
          <w:lang w:val="es-US"/>
        </w:rPr>
      </w:pPr>
      <w:r w:rsidRPr="00CB51E9">
        <w:rPr>
          <w:rFonts w:ascii="Century Gothic" w:hAnsi="Century Gothic"/>
          <w:sz w:val="22"/>
          <w:szCs w:val="22"/>
          <w:lang w:val="es-US"/>
        </w:rPr>
        <w:t xml:space="preserve">La reingeniería de procesos y la coordinación en seguridad pública son aspectos importantes para mejorar la efectividad de las instituciones policiales y su cercanía con la comunidad. Algunos aspectos de la reingeniería y coordinación en seguridad pública son: </w:t>
      </w:r>
    </w:p>
    <w:p w14:paraId="35701CA9" w14:textId="77777777" w:rsidR="00CB51E9" w:rsidRPr="00CB51E9" w:rsidRDefault="00CB51E9" w:rsidP="0008767B">
      <w:pPr>
        <w:widowControl w:val="0"/>
        <w:numPr>
          <w:ilvl w:val="0"/>
          <w:numId w:val="74"/>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Diseño de planes de seguridad pública.</w:t>
      </w:r>
    </w:p>
    <w:p w14:paraId="2908496D" w14:textId="77777777" w:rsidR="00CB51E9" w:rsidRPr="00CB51E9" w:rsidRDefault="00CB51E9" w:rsidP="0008767B">
      <w:pPr>
        <w:widowControl w:val="0"/>
        <w:numPr>
          <w:ilvl w:val="0"/>
          <w:numId w:val="74"/>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Adecuación del marco normativo.</w:t>
      </w:r>
    </w:p>
    <w:p w14:paraId="3DF59FC2" w14:textId="77777777" w:rsidR="00CB51E9" w:rsidRPr="00CB51E9" w:rsidRDefault="00CB51E9" w:rsidP="0008767B">
      <w:pPr>
        <w:widowControl w:val="0"/>
        <w:numPr>
          <w:ilvl w:val="0"/>
          <w:numId w:val="74"/>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Formulación de estándares, protocolos y normas técnicas de actuación policial.</w:t>
      </w:r>
    </w:p>
    <w:p w14:paraId="12FEA20E" w14:textId="77777777" w:rsidR="00CB51E9" w:rsidRPr="00CB51E9" w:rsidRDefault="00CB51E9" w:rsidP="0008767B">
      <w:pPr>
        <w:widowControl w:val="0"/>
        <w:numPr>
          <w:ilvl w:val="0"/>
          <w:numId w:val="74"/>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Desarrollo de sistemas de evaluación del desempeño policial.</w:t>
      </w:r>
    </w:p>
    <w:p w14:paraId="4D9BBEFD" w14:textId="77777777" w:rsidR="00CB51E9" w:rsidRPr="00CB51E9" w:rsidRDefault="00CB51E9" w:rsidP="0008767B">
      <w:pPr>
        <w:widowControl w:val="0"/>
        <w:numPr>
          <w:ilvl w:val="0"/>
          <w:numId w:val="74"/>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Establecimiento de mecanismos de coordinación entre las instituciones de seguridad pública.</w:t>
      </w:r>
    </w:p>
    <w:p w14:paraId="6AFAC9D2" w14:textId="77777777" w:rsidR="00CB51E9" w:rsidRPr="00CB51E9" w:rsidRDefault="00CB51E9" w:rsidP="0008767B">
      <w:pPr>
        <w:widowControl w:val="0"/>
        <w:numPr>
          <w:ilvl w:val="0"/>
          <w:numId w:val="74"/>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Establecimiento de compromisos y responsabilidades entre las instituciones de seguridad pública.</w:t>
      </w:r>
    </w:p>
    <w:p w14:paraId="321D7C4B" w14:textId="77777777" w:rsidR="00CB51E9" w:rsidRPr="00CB51E9" w:rsidRDefault="00CB51E9" w:rsidP="00CB51E9">
      <w:pPr>
        <w:spacing w:line="360" w:lineRule="auto"/>
        <w:jc w:val="both"/>
        <w:rPr>
          <w:rFonts w:ascii="Century Gothic" w:hAnsi="Century Gothic"/>
          <w:sz w:val="22"/>
          <w:szCs w:val="22"/>
          <w:lang w:val="es-US"/>
        </w:rPr>
      </w:pPr>
    </w:p>
    <w:p w14:paraId="27405C6D" w14:textId="55D77011" w:rsidR="00CB51E9" w:rsidRPr="00CB51E9" w:rsidRDefault="00CB51E9" w:rsidP="00CB51E9">
      <w:pPr>
        <w:spacing w:line="360" w:lineRule="auto"/>
        <w:jc w:val="both"/>
        <w:rPr>
          <w:rFonts w:ascii="Century Gothic" w:hAnsi="Century Gothic"/>
          <w:sz w:val="22"/>
          <w:szCs w:val="22"/>
          <w:lang w:val="es-US"/>
        </w:rPr>
      </w:pPr>
      <w:r w:rsidRPr="00CB51E9">
        <w:rPr>
          <w:rFonts w:ascii="Century Gothic" w:hAnsi="Century Gothic"/>
          <w:sz w:val="22"/>
          <w:szCs w:val="22"/>
          <w:lang w:val="es-US"/>
        </w:rPr>
        <w:lastRenderedPageBreak/>
        <w:t xml:space="preserve">En ese tenor, la reglamentación municipal en San Antonio la Isla ha sido una herramienta importante para garantizar la seguridad pública.  </w:t>
      </w:r>
    </w:p>
    <w:p w14:paraId="3FE44EDD" w14:textId="44F31963" w:rsidR="00CB51E9" w:rsidRPr="00CB51E9" w:rsidRDefault="00CB51E9" w:rsidP="00CB51E9">
      <w:pPr>
        <w:spacing w:line="360" w:lineRule="auto"/>
        <w:ind w:firstLine="360"/>
        <w:jc w:val="both"/>
        <w:rPr>
          <w:rFonts w:ascii="Century Gothic" w:hAnsi="Century Gothic"/>
          <w:sz w:val="22"/>
          <w:szCs w:val="22"/>
          <w:lang w:val="es-US"/>
        </w:rPr>
      </w:pPr>
      <w:r w:rsidRPr="00CB51E9">
        <w:rPr>
          <w:rFonts w:ascii="Century Gothic" w:hAnsi="Century Gothic"/>
          <w:sz w:val="22"/>
          <w:szCs w:val="22"/>
          <w:lang w:val="es-US"/>
        </w:rPr>
        <w:t xml:space="preserve">Estos ordenamientos regulan la estructura administrativa y el cumplimiento de funciones del ayuntamiento, y se enfocan en preservar la seguridad, el orden y la tranquilidad pública.  En ese sentido, el ayuntamiento tiene atribuciones en materia de seguridad pública, como: </w:t>
      </w:r>
    </w:p>
    <w:p w14:paraId="34B25385" w14:textId="77777777" w:rsidR="00CB51E9" w:rsidRPr="00CB51E9" w:rsidRDefault="00CB51E9" w:rsidP="0008767B">
      <w:pPr>
        <w:widowControl w:val="0"/>
        <w:numPr>
          <w:ilvl w:val="0"/>
          <w:numId w:val="75"/>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Expedir disposiciones administrativas</w:t>
      </w:r>
    </w:p>
    <w:p w14:paraId="383AE9FC" w14:textId="77777777" w:rsidR="00CB51E9" w:rsidRPr="00CB51E9" w:rsidRDefault="00CB51E9" w:rsidP="0008767B">
      <w:pPr>
        <w:widowControl w:val="0"/>
        <w:numPr>
          <w:ilvl w:val="0"/>
          <w:numId w:val="75"/>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Gestionar el Programa Municipal de Seguridad Pública Preventiva</w:t>
      </w:r>
    </w:p>
    <w:p w14:paraId="472F4C20" w14:textId="77777777" w:rsidR="00CB51E9" w:rsidRPr="00CB51E9" w:rsidRDefault="00CB51E9" w:rsidP="0008767B">
      <w:pPr>
        <w:widowControl w:val="0"/>
        <w:numPr>
          <w:ilvl w:val="0"/>
          <w:numId w:val="75"/>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Aprobar convenios de coordinación con otros municipios</w:t>
      </w:r>
    </w:p>
    <w:p w14:paraId="7C8850D2" w14:textId="77777777" w:rsidR="00CB51E9" w:rsidRPr="00CB51E9" w:rsidRDefault="00CB51E9" w:rsidP="0008767B">
      <w:pPr>
        <w:widowControl w:val="0"/>
        <w:numPr>
          <w:ilvl w:val="0"/>
          <w:numId w:val="75"/>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Aprobar el nombramiento del Director de Seguridad Pública Municipal</w:t>
      </w:r>
    </w:p>
    <w:p w14:paraId="14918965" w14:textId="77777777" w:rsidR="00CB51E9" w:rsidRPr="00CB51E9" w:rsidRDefault="00CB51E9" w:rsidP="0008767B">
      <w:pPr>
        <w:widowControl w:val="0"/>
        <w:numPr>
          <w:ilvl w:val="0"/>
          <w:numId w:val="75"/>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Vigilar el desarrollo y cumplimiento del servicio de seguridad pública</w:t>
      </w:r>
    </w:p>
    <w:p w14:paraId="2E5099F8" w14:textId="77777777" w:rsidR="00CB51E9" w:rsidRPr="00CB51E9" w:rsidRDefault="00CB51E9" w:rsidP="0008767B">
      <w:pPr>
        <w:widowControl w:val="0"/>
        <w:numPr>
          <w:ilvl w:val="0"/>
          <w:numId w:val="75"/>
        </w:numPr>
        <w:autoSpaceDE w:val="0"/>
        <w:autoSpaceDN w:val="0"/>
        <w:spacing w:after="0" w:line="360" w:lineRule="auto"/>
        <w:jc w:val="both"/>
        <w:rPr>
          <w:rFonts w:ascii="Century Gothic" w:hAnsi="Century Gothic"/>
          <w:sz w:val="22"/>
          <w:szCs w:val="22"/>
          <w:lang w:val="es-US"/>
        </w:rPr>
      </w:pPr>
      <w:r w:rsidRPr="00CB51E9">
        <w:rPr>
          <w:rFonts w:ascii="Century Gothic" w:hAnsi="Century Gothic"/>
          <w:sz w:val="22"/>
          <w:szCs w:val="22"/>
          <w:lang w:val="es-US"/>
        </w:rPr>
        <w:t>Establecen una mejor relación de convivencia dentro de la comunidad.</w:t>
      </w:r>
    </w:p>
    <w:p w14:paraId="60DFB9A2" w14:textId="01E15CF6" w:rsidR="00CB51E9" w:rsidRPr="00CB51E9" w:rsidRDefault="00CB51E9" w:rsidP="00CB51E9">
      <w:pPr>
        <w:pStyle w:val="NormalWeb"/>
        <w:spacing w:line="360" w:lineRule="auto"/>
        <w:ind w:left="360"/>
        <w:rPr>
          <w:rFonts w:ascii="Century Gothic" w:hAnsi="Century Gothic"/>
          <w:sz w:val="22"/>
          <w:szCs w:val="22"/>
        </w:rPr>
      </w:pPr>
      <w:r w:rsidRPr="00CB51E9">
        <w:rPr>
          <w:rFonts w:ascii="Century Gothic" w:hAnsi="Century Gothic"/>
          <w:sz w:val="22"/>
          <w:szCs w:val="22"/>
        </w:rPr>
        <w:t>En el municipio de San Antonio la Isla, se llevan a cabo diversos operativos de seguridad en estrecha colaboración con la Policía Estatal del Estado de México y la Guardia Nacional. Estos operativos tienen un carácter preventivo, con el objetivo primordial de garantizar la seguridad y protección de la integridad física y patrimonial de los habitantes de la localidad. A través de esta coordinación interinstitucional, se busca mantener un entorno seguro, que permita a las y los islenses desarrollarse en un ambiente de tranquilidad, reduciendo riesgos y actuando de manera oportuna ante cualquier incidencia que pueda afectar el bienestar de la comunidad.</w:t>
      </w:r>
      <w:bookmarkStart w:id="15" w:name="_Hlk188369387"/>
    </w:p>
    <w:p w14:paraId="6AA5D832" w14:textId="3DB80C6E" w:rsidR="00CB51E9" w:rsidRPr="00CB51E9" w:rsidRDefault="00CB51E9" w:rsidP="00CB51E9">
      <w:pPr>
        <w:spacing w:after="160" w:line="360" w:lineRule="auto"/>
        <w:jc w:val="both"/>
        <w:rPr>
          <w:rFonts w:ascii="Century Gothic" w:hAnsi="Century Gothic"/>
          <w:b/>
          <w:color w:val="025850"/>
          <w:sz w:val="22"/>
          <w:szCs w:val="22"/>
        </w:rPr>
      </w:pPr>
      <w:r w:rsidRPr="00CB51E9">
        <w:rPr>
          <w:rFonts w:ascii="Century Gothic" w:hAnsi="Century Gothic"/>
          <w:b/>
          <w:color w:val="025850"/>
          <w:sz w:val="22"/>
          <w:szCs w:val="22"/>
        </w:rPr>
        <w:t>Acceso a la Justicia y Sistema Penitenciario</w:t>
      </w:r>
      <w:bookmarkEnd w:id="15"/>
    </w:p>
    <w:p w14:paraId="7763D3E5" w14:textId="77777777" w:rsidR="00CB51E9" w:rsidRPr="00CB51E9" w:rsidRDefault="00CB51E9" w:rsidP="00CB51E9">
      <w:pPr>
        <w:spacing w:after="160" w:line="360" w:lineRule="auto"/>
        <w:ind w:firstLine="360"/>
        <w:jc w:val="both"/>
        <w:rPr>
          <w:rFonts w:ascii="Century Gothic" w:hAnsi="Century Gothic"/>
          <w:bCs/>
          <w:sz w:val="22"/>
          <w:szCs w:val="22"/>
        </w:rPr>
      </w:pPr>
      <w:r w:rsidRPr="00CB51E9">
        <w:rPr>
          <w:rFonts w:ascii="Century Gothic" w:hAnsi="Century Gothic"/>
          <w:bCs/>
          <w:sz w:val="22"/>
          <w:szCs w:val="22"/>
        </w:rPr>
        <w:t>El Modelo Nacional de Policía y Justicia Cívica, inicio en el 2019 que apuesta por mejorar la convivencia cotidiana a través de la prevención atendiendo la resolución de conflictos comunitarios y las faltas administrativas, evitando así que estas acciones escalen. “Este proyecto visionario busca la transición de un modelo recaudatorio y punitivo de la justicia municipal a uno restaurativo, preventivo y de construcción de paz”.</w:t>
      </w:r>
    </w:p>
    <w:p w14:paraId="4BC5014F" w14:textId="5D4D8B5D" w:rsidR="00CB51E9" w:rsidRPr="00CB51E9" w:rsidRDefault="00CB51E9" w:rsidP="00CB51E9">
      <w:pPr>
        <w:spacing w:after="160" w:line="360" w:lineRule="auto"/>
        <w:ind w:firstLine="360"/>
        <w:jc w:val="both"/>
        <w:rPr>
          <w:rFonts w:ascii="Century Gothic" w:hAnsi="Century Gothic"/>
          <w:bCs/>
          <w:sz w:val="22"/>
          <w:szCs w:val="22"/>
        </w:rPr>
      </w:pPr>
      <w:r w:rsidRPr="00CB51E9">
        <w:rPr>
          <w:rFonts w:ascii="Century Gothic" w:hAnsi="Century Gothic"/>
          <w:bCs/>
          <w:sz w:val="22"/>
          <w:szCs w:val="22"/>
        </w:rPr>
        <w:lastRenderedPageBreak/>
        <w:t xml:space="preserve">El conflicto, es parte inherente del ser humano y la consecuencia de la convivencia diaria y de la pluralidad de ideologías, de tal manera que, como autoridades encargadas de reservar la seguridad, se debe apostar por mecanismos que procuren la paz y faciliten alternativas para solucionar problemas de la vida diaria. </w:t>
      </w:r>
    </w:p>
    <w:p w14:paraId="5FD01D1F" w14:textId="77777777" w:rsidR="00CB51E9" w:rsidRPr="00CB51E9" w:rsidRDefault="00CB51E9" w:rsidP="00CB51E9">
      <w:pPr>
        <w:spacing w:after="160" w:line="360" w:lineRule="auto"/>
        <w:ind w:firstLine="708"/>
        <w:jc w:val="both"/>
        <w:rPr>
          <w:rFonts w:ascii="Century Gothic" w:hAnsi="Century Gothic"/>
          <w:bCs/>
          <w:sz w:val="22"/>
          <w:szCs w:val="22"/>
        </w:rPr>
      </w:pPr>
      <w:r w:rsidRPr="00CB51E9">
        <w:rPr>
          <w:rFonts w:ascii="Century Gothic" w:hAnsi="Century Gothic"/>
          <w:bCs/>
          <w:sz w:val="22"/>
          <w:szCs w:val="22"/>
        </w:rPr>
        <w:t>El modelo de justicia cívica pone de manifiesto que la reconstrucción del tejido social es una responsabilidad compartida que compete no solo a las autoridades sino a todos los miembros de la sociedad. “Es fundamental comprender que los actos delincuenciales tienen orígenes multifactoriales que deben ser entendidos para arrancarlos de raíz y no actuar cuando ese cúmulo se desencadena en un hecho ilícito; lo que se resume prevenir y atener”</w:t>
      </w:r>
    </w:p>
    <w:p w14:paraId="4DFA1DE8" w14:textId="2464F1BB" w:rsidR="00CB51E9" w:rsidRPr="00CB51E9" w:rsidRDefault="00CB51E9" w:rsidP="00CB51E9">
      <w:pPr>
        <w:spacing w:after="160" w:line="360" w:lineRule="auto"/>
        <w:ind w:firstLine="708"/>
        <w:jc w:val="both"/>
        <w:rPr>
          <w:rFonts w:ascii="Century Gothic" w:hAnsi="Century Gothic"/>
          <w:bCs/>
          <w:sz w:val="22"/>
          <w:szCs w:val="22"/>
        </w:rPr>
      </w:pPr>
      <w:r w:rsidRPr="00CB51E9">
        <w:rPr>
          <w:rFonts w:ascii="Century Gothic" w:hAnsi="Century Gothic"/>
          <w:bCs/>
          <w:sz w:val="22"/>
          <w:szCs w:val="22"/>
        </w:rPr>
        <w:t>Tras la evaluación que la Comisión de Derechos Humanos del Estado de México (CODHEM) realizó a los 125 municipios para constatar su nivel de cumplimiento de la Ley de Justicia Cívica, se informó que sólo el 20% cumplen con las medidas establecidas en cuanto al recurso humano, infraestructura y procedimientos.</w:t>
      </w:r>
    </w:p>
    <w:p w14:paraId="0F5A197D" w14:textId="20365F91" w:rsidR="00CB51E9" w:rsidRPr="00CB51E9" w:rsidRDefault="00CB51E9" w:rsidP="00CB51E9">
      <w:pPr>
        <w:spacing w:after="160" w:line="360" w:lineRule="auto"/>
        <w:ind w:firstLine="708"/>
        <w:jc w:val="both"/>
        <w:rPr>
          <w:rFonts w:ascii="Century Gothic" w:hAnsi="Century Gothic"/>
          <w:bCs/>
          <w:sz w:val="22"/>
          <w:szCs w:val="22"/>
        </w:rPr>
      </w:pPr>
      <w:r w:rsidRPr="00CB51E9">
        <w:rPr>
          <w:rFonts w:ascii="Century Gothic" w:hAnsi="Century Gothic"/>
          <w:bCs/>
          <w:sz w:val="22"/>
          <w:szCs w:val="22"/>
        </w:rPr>
        <w:t>La CODHEM pudo vigilar qué tanto están comprometidos los municipios con acatar la ley e ir avanzando hacia la no criminalización de los infractores administrativos, el respeto a los derechos humanos y erradicar la arbitrariedad en la imposición de infracciones.</w:t>
      </w:r>
    </w:p>
    <w:p w14:paraId="0E907979" w14:textId="77777777" w:rsidR="00CB51E9" w:rsidRPr="00CB51E9" w:rsidRDefault="00CB51E9" w:rsidP="00CB51E9">
      <w:pPr>
        <w:spacing w:after="160" w:line="360" w:lineRule="auto"/>
        <w:ind w:firstLine="708"/>
        <w:jc w:val="both"/>
        <w:rPr>
          <w:rFonts w:ascii="Century Gothic" w:hAnsi="Century Gothic"/>
          <w:bCs/>
          <w:sz w:val="22"/>
          <w:szCs w:val="22"/>
        </w:rPr>
      </w:pPr>
      <w:r w:rsidRPr="00CB51E9">
        <w:rPr>
          <w:rFonts w:ascii="Century Gothic" w:hAnsi="Century Gothic"/>
          <w:bCs/>
          <w:sz w:val="22"/>
          <w:szCs w:val="22"/>
        </w:rPr>
        <w:t xml:space="preserve">Los municipios que han dado un mayor cumplimiento a la </w:t>
      </w:r>
      <w:proofErr w:type="gramStart"/>
      <w:r w:rsidRPr="00CB51E9">
        <w:rPr>
          <w:rFonts w:ascii="Century Gothic" w:hAnsi="Century Gothic"/>
          <w:bCs/>
          <w:sz w:val="22"/>
          <w:szCs w:val="22"/>
        </w:rPr>
        <w:t>ley,</w:t>
      </w:r>
      <w:proofErr w:type="gramEnd"/>
      <w:r w:rsidRPr="00CB51E9">
        <w:rPr>
          <w:rFonts w:ascii="Century Gothic" w:hAnsi="Century Gothic"/>
          <w:bCs/>
          <w:sz w:val="22"/>
          <w:szCs w:val="22"/>
        </w:rPr>
        <w:t xml:space="preserve"> son: Acambay, Aculco, Acolman, Almoloya del Río, Atizapán de Zaragoza, Chapultepec, Chiautla, Ecatzingo, Huixquilucan, Lerma, Otumba, Papalotla, San Antonio la Isla, San Mateo Atenco, Tecámac, Tejupilco, Temoaya, Teoloyucan, Texcoco, Tlalnepantla, Toluca, Tultitlán, Villa del Carbón, Xalatlaco y Xonacatlán.</w:t>
      </w:r>
    </w:p>
    <w:p w14:paraId="5790DF1D" w14:textId="77777777" w:rsidR="00CB51E9" w:rsidRPr="00CB51E9" w:rsidRDefault="00CB51E9" w:rsidP="00CB51E9">
      <w:pPr>
        <w:spacing w:after="160" w:line="360" w:lineRule="auto"/>
        <w:ind w:firstLine="708"/>
        <w:jc w:val="both"/>
        <w:rPr>
          <w:rFonts w:ascii="Century Gothic" w:hAnsi="Century Gothic"/>
          <w:bCs/>
          <w:sz w:val="22"/>
          <w:szCs w:val="22"/>
        </w:rPr>
      </w:pPr>
      <w:r w:rsidRPr="00CB51E9">
        <w:rPr>
          <w:rFonts w:ascii="Century Gothic" w:hAnsi="Century Gothic"/>
          <w:bCs/>
          <w:sz w:val="22"/>
          <w:szCs w:val="22"/>
        </w:rPr>
        <w:t xml:space="preserve">El resto de los municipios presenta carencias al no contar con personal humano suficiente, pues la ley prevé la creación de un Juzgado Cívico en los municipios que será integrado por un juez cívico, un secretario, un médico y un psicólogo, un facilitador, policías de custodia, entre otros; además carece de infraestructura adecuada, puesto que las galeras deben garantizar condiciones decorosas, dignas, limpias y ordenadas para </w:t>
      </w:r>
      <w:r w:rsidRPr="00CB51E9">
        <w:rPr>
          <w:rFonts w:ascii="Century Gothic" w:hAnsi="Century Gothic"/>
          <w:bCs/>
          <w:sz w:val="22"/>
          <w:szCs w:val="22"/>
        </w:rPr>
        <w:lastRenderedPageBreak/>
        <w:t>los infractores cuya sanción sea el arresto. Asimismo, los procedimientos normativos que aplican no son los idóneos, al vulnerar derechos humanos.</w:t>
      </w:r>
    </w:p>
    <w:p w14:paraId="6BCC324D" w14:textId="77777777" w:rsidR="00CB51E9" w:rsidRPr="00CB51E9" w:rsidRDefault="00CB51E9" w:rsidP="00CB51E9">
      <w:pPr>
        <w:spacing w:after="160" w:line="360" w:lineRule="auto"/>
        <w:ind w:firstLine="360"/>
        <w:jc w:val="both"/>
        <w:rPr>
          <w:rFonts w:ascii="Century Gothic" w:hAnsi="Century Gothic"/>
          <w:bCs/>
          <w:sz w:val="22"/>
          <w:szCs w:val="22"/>
        </w:rPr>
      </w:pPr>
      <w:r w:rsidRPr="00CB51E9">
        <w:rPr>
          <w:rFonts w:ascii="Century Gothic" w:hAnsi="Century Gothic"/>
          <w:bCs/>
          <w:sz w:val="22"/>
          <w:szCs w:val="22"/>
        </w:rPr>
        <w:t>Cabe señalar, que la Ley de Justicia Cívica, es de observancia general. Es de reconocerse que San Antonio la Isla, fue uno de los ocho municipios en arrancarán con la transición al Modelo Homologado de una Justicia Cívica, cuya implementación nos permitió atender conflictos comunitarios y faltas administrativas con un enfoque preventivo y restaurativo.</w:t>
      </w:r>
    </w:p>
    <w:p w14:paraId="45EB5FCE" w14:textId="210054EE" w:rsidR="00CB51E9" w:rsidRPr="00CB51E9" w:rsidRDefault="00CB51E9" w:rsidP="00CB51E9">
      <w:pPr>
        <w:spacing w:after="160" w:line="360" w:lineRule="auto"/>
        <w:contextualSpacing/>
        <w:jc w:val="both"/>
        <w:rPr>
          <w:rFonts w:ascii="Century Gothic" w:hAnsi="Century Gothic"/>
          <w:b/>
          <w:color w:val="025850"/>
          <w:sz w:val="22"/>
          <w:szCs w:val="22"/>
        </w:rPr>
      </w:pPr>
      <w:r w:rsidRPr="00CB51E9">
        <w:rPr>
          <w:rFonts w:ascii="Century Gothic" w:hAnsi="Century Gothic"/>
          <w:b/>
          <w:color w:val="025850"/>
          <w:sz w:val="22"/>
          <w:szCs w:val="22"/>
        </w:rPr>
        <w:t>Gestión integral de riesgos y protección civil</w:t>
      </w:r>
    </w:p>
    <w:p w14:paraId="71C74E08" w14:textId="77777777" w:rsidR="00CB51E9" w:rsidRPr="00CB51E9" w:rsidRDefault="00CB51E9" w:rsidP="00CB51E9">
      <w:pPr>
        <w:spacing w:after="160" w:line="360" w:lineRule="auto"/>
        <w:ind w:firstLine="708"/>
        <w:jc w:val="both"/>
        <w:rPr>
          <w:rFonts w:ascii="Century Gothic" w:eastAsiaTheme="minorHAnsi" w:hAnsi="Century Gothic"/>
          <w:sz w:val="22"/>
          <w:szCs w:val="22"/>
        </w:rPr>
      </w:pPr>
      <w:r w:rsidRPr="00CB51E9">
        <w:rPr>
          <w:rFonts w:ascii="Century Gothic" w:eastAsiaTheme="minorHAnsi" w:hAnsi="Century Gothic"/>
          <w:sz w:val="22"/>
          <w:szCs w:val="22"/>
        </w:rPr>
        <w:t>La gestión integral de riesgos en el municipio de San Antonio la Isla, ubicado en el Estado de México, es fundamental debido a la necesidad de proteger a la población, la infraestructura y los recursos naturales ante los diversos riesgos que enfrenta esta localidad. Este municipio, como muchas otras áreas urbanas y rurales, está expuesto a una amplia gama de riesgos tanto naturales (como sismos, inundaciones y deslizamientos) como antropogénicos (como accidentes industriales, riesgos sociales y de salud pública).</w:t>
      </w:r>
    </w:p>
    <w:p w14:paraId="06096DD7" w14:textId="77777777" w:rsidR="00CB51E9" w:rsidRPr="00CB51E9" w:rsidRDefault="00CB51E9" w:rsidP="00CB51E9">
      <w:pPr>
        <w:spacing w:after="160" w:line="360" w:lineRule="auto"/>
        <w:ind w:firstLine="708"/>
        <w:jc w:val="both"/>
        <w:rPr>
          <w:rFonts w:ascii="Century Gothic" w:eastAsiaTheme="minorHAnsi" w:hAnsi="Century Gothic"/>
          <w:sz w:val="22"/>
          <w:szCs w:val="22"/>
        </w:rPr>
      </w:pPr>
      <w:r w:rsidRPr="00CB51E9">
        <w:rPr>
          <w:rFonts w:ascii="Century Gothic" w:eastAsiaTheme="minorHAnsi" w:hAnsi="Century Gothic"/>
          <w:sz w:val="22"/>
          <w:szCs w:val="22"/>
        </w:rPr>
        <w:t>Dado su contexto geográfico, social y económico, es crucial adoptar un enfoque integral que no solo identifique y evalúe los riesgos, sino que también permita implementar estrategias para prevenir, mitigar y gestionar las crisis de manera eficiente. La gestión integral de riesgos permite anticiparse a eventos adversos, optimizar recursos y fomentar la resiliencia de la comunidad, mejorando la capacidad de respuesta ante emergencias y reduciendo los impactos negativos en la calidad de vida de los habitantes del municipio.</w:t>
      </w:r>
    </w:p>
    <w:p w14:paraId="32C777FF" w14:textId="77777777" w:rsidR="00CB51E9" w:rsidRPr="00CB51E9" w:rsidRDefault="00CB51E9" w:rsidP="00CB51E9">
      <w:pPr>
        <w:spacing w:after="160" w:line="360" w:lineRule="auto"/>
        <w:ind w:firstLine="708"/>
        <w:jc w:val="both"/>
        <w:rPr>
          <w:rFonts w:ascii="Century Gothic" w:eastAsiaTheme="minorHAnsi" w:hAnsi="Century Gothic"/>
          <w:sz w:val="22"/>
          <w:szCs w:val="22"/>
        </w:rPr>
      </w:pPr>
      <w:r w:rsidRPr="00CB51E9">
        <w:rPr>
          <w:rFonts w:ascii="Century Gothic" w:eastAsiaTheme="minorHAnsi" w:hAnsi="Century Gothic"/>
          <w:sz w:val="22"/>
          <w:szCs w:val="22"/>
        </w:rPr>
        <w:t>Este enfoque busca promover la seguridad, el bienestar y el desarrollo sostenible de San Antonio la Isla, garantizando que la comunidad pueda enfrentar con eficacia los retos asociados a los riesgos y, de ser posible, reducir la probabilidad de su ocurrencia o minimizar sus consecuencias.</w:t>
      </w:r>
    </w:p>
    <w:p w14:paraId="29532F87" w14:textId="77777777" w:rsidR="00CB51E9" w:rsidRPr="00CB51E9" w:rsidRDefault="00CB51E9" w:rsidP="00CB51E9">
      <w:pPr>
        <w:spacing w:after="160" w:line="360" w:lineRule="auto"/>
        <w:jc w:val="both"/>
        <w:rPr>
          <w:rFonts w:ascii="Century Gothic" w:eastAsiaTheme="minorHAnsi" w:hAnsi="Century Gothic"/>
          <w:b/>
          <w:bCs/>
          <w:sz w:val="22"/>
          <w:szCs w:val="22"/>
        </w:rPr>
      </w:pPr>
      <w:r w:rsidRPr="00CB51E9">
        <w:rPr>
          <w:rFonts w:ascii="Century Gothic" w:eastAsiaTheme="minorHAnsi" w:hAnsi="Century Gothic"/>
          <w:b/>
          <w:bCs/>
          <w:sz w:val="22"/>
          <w:szCs w:val="22"/>
        </w:rPr>
        <w:t xml:space="preserve">1. </w:t>
      </w:r>
      <w:r w:rsidRPr="00CB51E9">
        <w:rPr>
          <w:rFonts w:ascii="Century Gothic" w:eastAsiaTheme="minorHAnsi" w:hAnsi="Century Gothic"/>
          <w:b/>
          <w:bCs/>
          <w:color w:val="025850"/>
          <w:sz w:val="22"/>
          <w:szCs w:val="22"/>
        </w:rPr>
        <w:t>Contexto geográfico y demográfico</w:t>
      </w:r>
    </w:p>
    <w:p w14:paraId="7753293A" w14:textId="77777777" w:rsidR="00CB51E9" w:rsidRPr="00CB51E9" w:rsidRDefault="00CB51E9" w:rsidP="00CB51E9">
      <w:pPr>
        <w:spacing w:after="160" w:line="360" w:lineRule="auto"/>
        <w:jc w:val="both"/>
        <w:rPr>
          <w:rFonts w:ascii="Century Gothic" w:eastAsiaTheme="minorHAnsi" w:hAnsi="Century Gothic"/>
          <w:sz w:val="22"/>
          <w:szCs w:val="22"/>
        </w:rPr>
      </w:pPr>
      <w:r w:rsidRPr="00CB51E9">
        <w:rPr>
          <w:rFonts w:ascii="Century Gothic" w:eastAsiaTheme="minorHAnsi" w:hAnsi="Century Gothic"/>
          <w:sz w:val="22"/>
          <w:szCs w:val="22"/>
        </w:rPr>
        <w:t>San Antonio la Isla es un municipio ubicado en el Estado de México, que podría enfrentar diversos tipos de riesgos debido a su ubicación geográfica, infraestructura, y características demográficas. Un análisis efectivo de la gestión de riesgos debe tomar en cuenta:</w:t>
      </w:r>
    </w:p>
    <w:p w14:paraId="4C619872" w14:textId="77777777" w:rsidR="00CB51E9" w:rsidRPr="00CB51E9" w:rsidRDefault="00CB51E9" w:rsidP="0008767B">
      <w:pPr>
        <w:numPr>
          <w:ilvl w:val="0"/>
          <w:numId w:val="76"/>
        </w:numPr>
        <w:spacing w:after="160" w:line="360" w:lineRule="auto"/>
        <w:jc w:val="both"/>
        <w:rPr>
          <w:rFonts w:ascii="Century Gothic" w:eastAsiaTheme="minorHAnsi" w:hAnsi="Century Gothic"/>
          <w:sz w:val="22"/>
          <w:szCs w:val="22"/>
        </w:rPr>
      </w:pPr>
      <w:r w:rsidRPr="00CB51E9">
        <w:rPr>
          <w:rFonts w:ascii="Century Gothic" w:eastAsiaTheme="minorHAnsi" w:hAnsi="Century Gothic"/>
          <w:b/>
          <w:bCs/>
          <w:color w:val="025850"/>
          <w:sz w:val="22"/>
          <w:szCs w:val="22"/>
        </w:rPr>
        <w:lastRenderedPageBreak/>
        <w:t>Ubicación geográfica:</w:t>
      </w:r>
      <w:r w:rsidRPr="00CB51E9">
        <w:rPr>
          <w:rFonts w:ascii="Century Gothic" w:eastAsiaTheme="minorHAnsi" w:hAnsi="Century Gothic"/>
          <w:color w:val="025850"/>
          <w:sz w:val="22"/>
          <w:szCs w:val="22"/>
        </w:rPr>
        <w:t xml:space="preserve"> </w:t>
      </w:r>
      <w:r w:rsidRPr="00CB51E9">
        <w:rPr>
          <w:rFonts w:ascii="Century Gothic" w:eastAsiaTheme="minorHAnsi" w:hAnsi="Century Gothic"/>
          <w:sz w:val="22"/>
          <w:szCs w:val="22"/>
        </w:rPr>
        <w:t>San Antonio la Isla se encuentra cerca de áreas montañosas y puede estar expuesto a riesgos naturales como sismos, deslaves, inundaciones o sequías. Además, la cercanía con otros municipios importantes puede generar riesgos urbanos o socioeconómicos.</w:t>
      </w:r>
    </w:p>
    <w:p w14:paraId="5722295A" w14:textId="77777777" w:rsidR="00CB51E9" w:rsidRPr="00CB51E9" w:rsidRDefault="00CB51E9" w:rsidP="0008767B">
      <w:pPr>
        <w:numPr>
          <w:ilvl w:val="0"/>
          <w:numId w:val="76"/>
        </w:numPr>
        <w:spacing w:after="160" w:line="360" w:lineRule="auto"/>
        <w:jc w:val="both"/>
        <w:rPr>
          <w:rFonts w:ascii="Century Gothic" w:eastAsiaTheme="minorHAnsi" w:hAnsi="Century Gothic"/>
          <w:sz w:val="22"/>
          <w:szCs w:val="22"/>
        </w:rPr>
      </w:pPr>
      <w:r w:rsidRPr="00CB51E9">
        <w:rPr>
          <w:rFonts w:ascii="Century Gothic" w:eastAsiaTheme="minorHAnsi" w:hAnsi="Century Gothic"/>
          <w:b/>
          <w:bCs/>
          <w:color w:val="025850"/>
          <w:sz w:val="22"/>
          <w:szCs w:val="22"/>
        </w:rPr>
        <w:t>Demografía:</w:t>
      </w:r>
      <w:r w:rsidRPr="00CB51E9">
        <w:rPr>
          <w:rFonts w:ascii="Century Gothic" w:eastAsiaTheme="minorHAnsi" w:hAnsi="Century Gothic"/>
          <w:color w:val="025850"/>
          <w:sz w:val="22"/>
          <w:szCs w:val="22"/>
        </w:rPr>
        <w:t xml:space="preserve"> </w:t>
      </w:r>
      <w:r w:rsidRPr="00CB51E9">
        <w:rPr>
          <w:rFonts w:ascii="Century Gothic" w:eastAsiaTheme="minorHAnsi" w:hAnsi="Century Gothic"/>
          <w:sz w:val="22"/>
          <w:szCs w:val="22"/>
        </w:rPr>
        <w:t>Se debe considerar la densidad de población y los asentamientos vulnerables (como zonas de alto riesgo o barrios marginados) que pueden necesitar una atención especial.</w:t>
      </w:r>
    </w:p>
    <w:p w14:paraId="549936AA" w14:textId="77777777" w:rsidR="00CB51E9" w:rsidRPr="00CB51E9" w:rsidRDefault="00CB51E9" w:rsidP="00CB51E9">
      <w:pPr>
        <w:spacing w:after="160" w:line="360" w:lineRule="auto"/>
        <w:jc w:val="both"/>
        <w:rPr>
          <w:rFonts w:ascii="Century Gothic" w:eastAsiaTheme="minorHAnsi" w:hAnsi="Century Gothic"/>
          <w:b/>
          <w:bCs/>
          <w:color w:val="025850"/>
          <w:sz w:val="22"/>
          <w:szCs w:val="22"/>
        </w:rPr>
      </w:pPr>
      <w:r w:rsidRPr="00CB51E9">
        <w:rPr>
          <w:rFonts w:ascii="Century Gothic" w:eastAsiaTheme="minorHAnsi" w:hAnsi="Century Gothic"/>
          <w:b/>
          <w:bCs/>
          <w:color w:val="025850"/>
          <w:sz w:val="22"/>
          <w:szCs w:val="22"/>
        </w:rPr>
        <w:t>2. Identificación de riesgos</w:t>
      </w:r>
    </w:p>
    <w:p w14:paraId="14D2F0DA" w14:textId="77777777" w:rsidR="00CB51E9" w:rsidRPr="00CB51E9" w:rsidRDefault="00CB51E9" w:rsidP="00CB51E9">
      <w:pPr>
        <w:spacing w:after="160" w:line="360" w:lineRule="auto"/>
        <w:jc w:val="both"/>
        <w:rPr>
          <w:rFonts w:ascii="Century Gothic" w:eastAsiaTheme="minorHAnsi" w:hAnsi="Century Gothic"/>
          <w:sz w:val="22"/>
          <w:szCs w:val="22"/>
        </w:rPr>
      </w:pPr>
      <w:r w:rsidRPr="00CB51E9">
        <w:rPr>
          <w:rFonts w:ascii="Century Gothic" w:eastAsiaTheme="minorHAnsi" w:hAnsi="Century Gothic"/>
          <w:sz w:val="22"/>
          <w:szCs w:val="22"/>
        </w:rPr>
        <w:t>Los riesgos que afectan a San Antonio la Isla pueden ser tanto naturales como antropogénicos. Algunos de los principales riesgos a considerar son:</w:t>
      </w:r>
    </w:p>
    <w:p w14:paraId="7B6E8D8B" w14:textId="77777777" w:rsidR="00CB51E9" w:rsidRPr="00CB51E9" w:rsidRDefault="00CB51E9" w:rsidP="0008767B">
      <w:pPr>
        <w:numPr>
          <w:ilvl w:val="0"/>
          <w:numId w:val="77"/>
        </w:numPr>
        <w:spacing w:after="160" w:line="360" w:lineRule="auto"/>
        <w:jc w:val="both"/>
        <w:rPr>
          <w:rFonts w:ascii="Century Gothic" w:eastAsiaTheme="minorHAnsi" w:hAnsi="Century Gothic"/>
          <w:color w:val="025850"/>
          <w:sz w:val="22"/>
          <w:szCs w:val="22"/>
        </w:rPr>
      </w:pPr>
      <w:r w:rsidRPr="00CB51E9">
        <w:rPr>
          <w:rFonts w:ascii="Century Gothic" w:eastAsiaTheme="minorHAnsi" w:hAnsi="Century Gothic"/>
          <w:b/>
          <w:bCs/>
          <w:color w:val="025850"/>
          <w:sz w:val="22"/>
          <w:szCs w:val="22"/>
        </w:rPr>
        <w:t>Riesgos naturales:</w:t>
      </w:r>
    </w:p>
    <w:p w14:paraId="5B391018" w14:textId="77777777" w:rsidR="00CB51E9" w:rsidRPr="00CB51E9" w:rsidRDefault="00CB51E9" w:rsidP="0008767B">
      <w:pPr>
        <w:numPr>
          <w:ilvl w:val="1"/>
          <w:numId w:val="77"/>
        </w:numPr>
        <w:spacing w:after="160" w:line="360" w:lineRule="auto"/>
        <w:jc w:val="both"/>
        <w:rPr>
          <w:rFonts w:ascii="Century Gothic" w:eastAsiaTheme="minorHAnsi" w:hAnsi="Century Gothic"/>
          <w:sz w:val="22"/>
          <w:szCs w:val="22"/>
        </w:rPr>
      </w:pPr>
      <w:r w:rsidRPr="00CB51E9">
        <w:rPr>
          <w:rFonts w:ascii="Century Gothic" w:eastAsiaTheme="minorHAnsi" w:hAnsi="Century Gothic"/>
          <w:b/>
          <w:bCs/>
          <w:color w:val="025850"/>
          <w:sz w:val="22"/>
          <w:szCs w:val="22"/>
        </w:rPr>
        <w:t>Sismos:</w:t>
      </w:r>
      <w:r w:rsidRPr="00CB51E9">
        <w:rPr>
          <w:rFonts w:ascii="Century Gothic" w:eastAsiaTheme="minorHAnsi" w:hAnsi="Century Gothic"/>
          <w:color w:val="025850"/>
          <w:sz w:val="22"/>
          <w:szCs w:val="22"/>
        </w:rPr>
        <w:t xml:space="preserve"> </w:t>
      </w:r>
      <w:r w:rsidRPr="00CB51E9">
        <w:rPr>
          <w:rFonts w:ascii="Century Gothic" w:eastAsiaTheme="minorHAnsi" w:hAnsi="Century Gothic"/>
          <w:sz w:val="22"/>
          <w:szCs w:val="22"/>
        </w:rPr>
        <w:t>El Estado de México se encuentra en una zona sísmica activa, lo que hace importante la preparación ante terremotos.</w:t>
      </w:r>
    </w:p>
    <w:p w14:paraId="391AC4B3" w14:textId="542D3826" w:rsidR="00E30B91" w:rsidRDefault="00E30B91" w:rsidP="00E30B91">
      <w:pPr>
        <w:spacing w:after="160" w:line="360" w:lineRule="auto"/>
        <w:rPr>
          <w:rFonts w:ascii="Century Gothic" w:hAnsi="Century Gothic"/>
          <w:bCs/>
          <w:color w:val="000000" w:themeColor="text1"/>
          <w:sz w:val="22"/>
          <w:szCs w:val="22"/>
        </w:rPr>
      </w:pPr>
    </w:p>
    <w:p w14:paraId="65CFFBC5" w14:textId="76FA98F8" w:rsidR="004A7C99" w:rsidRDefault="004A7C99" w:rsidP="00E30B91">
      <w:pPr>
        <w:spacing w:after="160" w:line="360" w:lineRule="auto"/>
        <w:rPr>
          <w:rFonts w:ascii="Century Gothic" w:hAnsi="Century Gothic"/>
          <w:bCs/>
          <w:color w:val="000000" w:themeColor="text1"/>
          <w:sz w:val="22"/>
          <w:szCs w:val="22"/>
        </w:rPr>
      </w:pPr>
    </w:p>
    <w:p w14:paraId="06CB4B39" w14:textId="7755A8D3" w:rsidR="004A7C99" w:rsidRDefault="004A7C99" w:rsidP="004A7C99">
      <w:pPr>
        <w:spacing w:after="160" w:line="360" w:lineRule="auto"/>
        <w:jc w:val="center"/>
        <w:rPr>
          <w:rFonts w:ascii="Century Gothic" w:hAnsi="Century Gothic"/>
          <w:bCs/>
          <w:color w:val="000000" w:themeColor="text1"/>
          <w:sz w:val="22"/>
          <w:szCs w:val="22"/>
        </w:rPr>
      </w:pPr>
      <w:r>
        <w:rPr>
          <w:rFonts w:ascii="Century Gothic" w:eastAsiaTheme="minorHAnsi" w:hAnsi="Century Gothic"/>
          <w:noProof/>
        </w:rPr>
        <w:drawing>
          <wp:inline distT="0" distB="0" distL="0" distR="0" wp14:anchorId="2C3A98EB" wp14:editId="3A8CF1F0">
            <wp:extent cx="2743200" cy="21231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11624" b="10982"/>
                    <a:stretch/>
                  </pic:blipFill>
                  <pic:spPr bwMode="auto">
                    <a:xfrm>
                      <a:off x="0" y="0"/>
                      <a:ext cx="2753130" cy="2130872"/>
                    </a:xfrm>
                    <a:prstGeom prst="rect">
                      <a:avLst/>
                    </a:prstGeom>
                    <a:noFill/>
                    <a:ln>
                      <a:noFill/>
                    </a:ln>
                    <a:extLst>
                      <a:ext uri="{53640926-AAD7-44D8-BBD7-CCE9431645EC}">
                        <a14:shadowObscured xmlns:a14="http://schemas.microsoft.com/office/drawing/2010/main"/>
                      </a:ext>
                    </a:extLst>
                  </pic:spPr>
                </pic:pic>
              </a:graphicData>
            </a:graphic>
          </wp:inline>
        </w:drawing>
      </w:r>
    </w:p>
    <w:p w14:paraId="58A87A10" w14:textId="4C2A6598" w:rsidR="004A7C99" w:rsidRDefault="004A7C99" w:rsidP="0008767B">
      <w:pPr>
        <w:numPr>
          <w:ilvl w:val="0"/>
          <w:numId w:val="77"/>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Inundaciones:</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Algunas áreas cercanas a cuerpos de agua o zonas bajas pueden ser susceptibles a inundaciones en temporada de lluvias.</w:t>
      </w:r>
    </w:p>
    <w:p w14:paraId="5B90B4D3" w14:textId="7DCFC1BC" w:rsidR="004A7C99" w:rsidRDefault="004A7C99" w:rsidP="004A7C99">
      <w:pPr>
        <w:spacing w:after="160" w:line="360" w:lineRule="auto"/>
        <w:jc w:val="center"/>
        <w:rPr>
          <w:rFonts w:ascii="Century Gothic" w:eastAsiaTheme="minorHAnsi" w:hAnsi="Century Gothic"/>
          <w:sz w:val="22"/>
          <w:szCs w:val="22"/>
        </w:rPr>
      </w:pPr>
      <w:r>
        <w:rPr>
          <w:rFonts w:ascii="Century Gothic" w:eastAsiaTheme="minorHAnsi" w:hAnsi="Century Gothic"/>
          <w:noProof/>
        </w:rPr>
        <w:drawing>
          <wp:inline distT="0" distB="0" distL="0" distR="0" wp14:anchorId="0D572E38" wp14:editId="51B0F8AE">
            <wp:extent cx="2514600" cy="1921168"/>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9845" b="13614"/>
                    <a:stretch/>
                  </pic:blipFill>
                  <pic:spPr bwMode="auto">
                    <a:xfrm>
                      <a:off x="0" y="0"/>
                      <a:ext cx="2518687" cy="1924290"/>
                    </a:xfrm>
                    <a:prstGeom prst="rect">
                      <a:avLst/>
                    </a:prstGeom>
                    <a:noFill/>
                    <a:ln>
                      <a:noFill/>
                    </a:ln>
                    <a:extLst>
                      <a:ext uri="{53640926-AAD7-44D8-BBD7-CCE9431645EC}">
                        <a14:shadowObscured xmlns:a14="http://schemas.microsoft.com/office/drawing/2010/main"/>
                      </a:ext>
                    </a:extLst>
                  </pic:spPr>
                </pic:pic>
              </a:graphicData>
            </a:graphic>
          </wp:inline>
        </w:drawing>
      </w:r>
    </w:p>
    <w:p w14:paraId="26485052" w14:textId="77777777" w:rsidR="004A7C99" w:rsidRDefault="004A7C99">
      <w:pPr>
        <w:rPr>
          <w:rFonts w:ascii="Century Gothic" w:eastAsiaTheme="minorHAnsi" w:hAnsi="Century Gothic"/>
          <w:sz w:val="22"/>
          <w:szCs w:val="22"/>
        </w:rPr>
      </w:pPr>
      <w:r>
        <w:rPr>
          <w:rFonts w:ascii="Century Gothic" w:eastAsiaTheme="minorHAnsi" w:hAnsi="Century Gothic"/>
          <w:sz w:val="22"/>
          <w:szCs w:val="22"/>
        </w:rPr>
        <w:br w:type="page"/>
      </w:r>
    </w:p>
    <w:p w14:paraId="1E3F7AD1" w14:textId="77777777" w:rsidR="004A7C99" w:rsidRPr="004A7C99" w:rsidRDefault="004A7C99" w:rsidP="0008767B">
      <w:pPr>
        <w:numPr>
          <w:ilvl w:val="1"/>
          <w:numId w:val="77"/>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lastRenderedPageBreak/>
        <w:t>Sequías y escasez de agua:</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Dada la variabilidad climática, el acceso al agua puede ser un problema, especialmente en épocas de sequía.</w:t>
      </w:r>
    </w:p>
    <w:p w14:paraId="045777ED" w14:textId="77777777" w:rsidR="004A7C99" w:rsidRPr="004A7C99" w:rsidRDefault="004A7C99" w:rsidP="0008767B">
      <w:pPr>
        <w:numPr>
          <w:ilvl w:val="0"/>
          <w:numId w:val="77"/>
        </w:numPr>
        <w:spacing w:after="160" w:line="360" w:lineRule="auto"/>
        <w:jc w:val="both"/>
        <w:rPr>
          <w:rFonts w:ascii="Century Gothic" w:eastAsiaTheme="minorHAnsi" w:hAnsi="Century Gothic"/>
          <w:color w:val="025850"/>
          <w:sz w:val="22"/>
          <w:szCs w:val="22"/>
        </w:rPr>
      </w:pPr>
      <w:r w:rsidRPr="004A7C99">
        <w:rPr>
          <w:rFonts w:ascii="Century Gothic" w:eastAsiaTheme="minorHAnsi" w:hAnsi="Century Gothic"/>
          <w:b/>
          <w:bCs/>
          <w:color w:val="025850"/>
          <w:sz w:val="22"/>
          <w:szCs w:val="22"/>
        </w:rPr>
        <w:t>Riesgos antropogénicos:</w:t>
      </w:r>
    </w:p>
    <w:p w14:paraId="2AA063F7" w14:textId="77777777" w:rsidR="004A7C99" w:rsidRPr="004A7C99" w:rsidRDefault="004A7C99" w:rsidP="0008767B">
      <w:pPr>
        <w:numPr>
          <w:ilvl w:val="1"/>
          <w:numId w:val="77"/>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sz w:val="22"/>
          <w:szCs w:val="22"/>
        </w:rPr>
        <w:t>Accidentes industriales o químicos:</w:t>
      </w:r>
      <w:r w:rsidRPr="004A7C99">
        <w:rPr>
          <w:rFonts w:ascii="Century Gothic" w:eastAsiaTheme="minorHAnsi" w:hAnsi="Century Gothic"/>
          <w:sz w:val="22"/>
          <w:szCs w:val="22"/>
        </w:rPr>
        <w:t xml:space="preserve"> Existen zonas con actividades industriales cercanas, pueden existir riesgos relacionados con la manipulación de sustancias peligrosas.</w:t>
      </w:r>
    </w:p>
    <w:p w14:paraId="6627BC4A" w14:textId="77777777" w:rsidR="004A7C99" w:rsidRPr="004A7C99" w:rsidRDefault="004A7C99" w:rsidP="0008767B">
      <w:pPr>
        <w:numPr>
          <w:ilvl w:val="1"/>
          <w:numId w:val="77"/>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Riesgos de salud pública:</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Brotes de enfermedades infecciosas, como dengue o enfermedades respiratorias, especialmente en comunidades vulnerables.</w:t>
      </w:r>
    </w:p>
    <w:p w14:paraId="1D6F609D" w14:textId="77777777" w:rsidR="004A7C99" w:rsidRPr="004A7C99" w:rsidRDefault="004A7C99" w:rsidP="0008767B">
      <w:pPr>
        <w:numPr>
          <w:ilvl w:val="1"/>
          <w:numId w:val="77"/>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Riesgos sociales:</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Inseguridad, violencia, o problemas relacionados con el crimen organizado.</w:t>
      </w:r>
    </w:p>
    <w:p w14:paraId="54DA38EE" w14:textId="77777777" w:rsidR="004A7C99" w:rsidRPr="004A7C99" w:rsidRDefault="004A7C99" w:rsidP="004A7C99">
      <w:pPr>
        <w:spacing w:after="160" w:line="360" w:lineRule="auto"/>
        <w:jc w:val="both"/>
        <w:rPr>
          <w:rFonts w:ascii="Century Gothic" w:eastAsiaTheme="minorHAnsi" w:hAnsi="Century Gothic"/>
          <w:b/>
          <w:bCs/>
          <w:color w:val="025850"/>
          <w:sz w:val="22"/>
          <w:szCs w:val="22"/>
        </w:rPr>
      </w:pPr>
      <w:r w:rsidRPr="004A7C99">
        <w:rPr>
          <w:rFonts w:ascii="Century Gothic" w:eastAsiaTheme="minorHAnsi" w:hAnsi="Century Gothic"/>
          <w:b/>
          <w:bCs/>
          <w:color w:val="025850"/>
          <w:sz w:val="22"/>
          <w:szCs w:val="22"/>
        </w:rPr>
        <w:t>3. Evaluación de riesgos</w:t>
      </w:r>
    </w:p>
    <w:p w14:paraId="52C6F0C1" w14:textId="77777777" w:rsidR="004A7C99" w:rsidRPr="004A7C99" w:rsidRDefault="004A7C99" w:rsidP="004A7C99">
      <w:pPr>
        <w:spacing w:after="160" w:line="360" w:lineRule="auto"/>
        <w:jc w:val="both"/>
        <w:rPr>
          <w:rFonts w:ascii="Century Gothic" w:eastAsiaTheme="minorHAnsi" w:hAnsi="Century Gothic"/>
          <w:sz w:val="22"/>
          <w:szCs w:val="22"/>
        </w:rPr>
      </w:pPr>
      <w:r w:rsidRPr="004A7C99">
        <w:rPr>
          <w:rFonts w:ascii="Century Gothic" w:eastAsiaTheme="minorHAnsi" w:hAnsi="Century Gothic"/>
          <w:sz w:val="22"/>
          <w:szCs w:val="22"/>
        </w:rPr>
        <w:t xml:space="preserve">Una vez identificados los riesgos, es fundamental evaluarlos en términos de su probabilidad de ocurrencia y el impacto potencial. Este proceso permite priorizar los </w:t>
      </w:r>
      <w:r w:rsidRPr="004A7C99">
        <w:rPr>
          <w:rFonts w:ascii="Century Gothic" w:eastAsiaTheme="minorHAnsi" w:hAnsi="Century Gothic"/>
          <w:sz w:val="22"/>
          <w:szCs w:val="22"/>
        </w:rPr>
        <w:t>riesgos que deben ser atendidos con urgencia. Ejemplos de evaluación incluyen:</w:t>
      </w:r>
    </w:p>
    <w:p w14:paraId="350F0457" w14:textId="77777777" w:rsidR="004A7C99" w:rsidRPr="004A7C99" w:rsidRDefault="004A7C99" w:rsidP="0008767B">
      <w:pPr>
        <w:numPr>
          <w:ilvl w:val="0"/>
          <w:numId w:val="78"/>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Probabilidad de ocurrencia:</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Los sismos y las lluvias intensas son eventos con alta probabilidad en la región, mientras que las inundaciones pueden depender de factores como el manejo de los cauces y la infraestructura hidráulica.</w:t>
      </w:r>
    </w:p>
    <w:p w14:paraId="1C264A7C" w14:textId="77777777" w:rsidR="004A7C99" w:rsidRPr="004A7C99" w:rsidRDefault="004A7C99" w:rsidP="0008767B">
      <w:pPr>
        <w:numPr>
          <w:ilvl w:val="0"/>
          <w:numId w:val="78"/>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Impacto potencial:</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El impacto de un sismo en infraestructura no adecuada puede ser grave, al igual que las inundaciones en zonas urbanas o rurales vulnerables.</w:t>
      </w:r>
    </w:p>
    <w:p w14:paraId="04043877" w14:textId="77777777" w:rsidR="004A7C99" w:rsidRPr="004A7C99" w:rsidRDefault="004A7C99" w:rsidP="004A7C99">
      <w:pPr>
        <w:spacing w:after="160" w:line="360" w:lineRule="auto"/>
        <w:jc w:val="both"/>
        <w:rPr>
          <w:rFonts w:ascii="Century Gothic" w:eastAsiaTheme="minorHAnsi" w:hAnsi="Century Gothic"/>
          <w:b/>
          <w:bCs/>
          <w:sz w:val="22"/>
          <w:szCs w:val="22"/>
        </w:rPr>
      </w:pPr>
      <w:r w:rsidRPr="004A7C99">
        <w:rPr>
          <w:rFonts w:ascii="Century Gothic" w:eastAsiaTheme="minorHAnsi" w:hAnsi="Century Gothic"/>
          <w:b/>
          <w:bCs/>
          <w:sz w:val="22"/>
          <w:szCs w:val="22"/>
        </w:rPr>
        <w:t xml:space="preserve">4. </w:t>
      </w:r>
      <w:r w:rsidRPr="004A7C99">
        <w:rPr>
          <w:rFonts w:ascii="Century Gothic" w:eastAsiaTheme="minorHAnsi" w:hAnsi="Century Gothic"/>
          <w:b/>
          <w:bCs/>
          <w:color w:val="025850"/>
          <w:sz w:val="22"/>
          <w:szCs w:val="22"/>
        </w:rPr>
        <w:t>Estrategias de gestión de riesgos</w:t>
      </w:r>
    </w:p>
    <w:p w14:paraId="30F6D04C" w14:textId="77777777" w:rsidR="004A7C99" w:rsidRPr="004A7C99" w:rsidRDefault="004A7C99" w:rsidP="004A7C99">
      <w:pPr>
        <w:spacing w:after="160" w:line="360" w:lineRule="auto"/>
        <w:jc w:val="both"/>
        <w:rPr>
          <w:rFonts w:ascii="Century Gothic" w:eastAsiaTheme="minorHAnsi" w:hAnsi="Century Gothic"/>
          <w:sz w:val="22"/>
          <w:szCs w:val="22"/>
        </w:rPr>
      </w:pPr>
      <w:r w:rsidRPr="004A7C99">
        <w:rPr>
          <w:rFonts w:ascii="Century Gothic" w:eastAsiaTheme="minorHAnsi" w:hAnsi="Century Gothic"/>
          <w:sz w:val="22"/>
          <w:szCs w:val="22"/>
        </w:rPr>
        <w:t>Una vez evaluados los riesgos, es necesario diseñar estrategias para mitigarlos o manejarlos de manera adecuada. Algunas estrategias recomendadas para San Antonio la Isla podrían incluir:</w:t>
      </w:r>
    </w:p>
    <w:p w14:paraId="07A1CDC0" w14:textId="77777777" w:rsidR="004A7C99" w:rsidRPr="004A7C99" w:rsidRDefault="004A7C99" w:rsidP="0008767B">
      <w:pPr>
        <w:numPr>
          <w:ilvl w:val="0"/>
          <w:numId w:val="79"/>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Preparación ante desastres:</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Implementación de programas de educación y capacitación para la comunidad sobre cómo actuar en caso de sismos, inundaciones o deslizamientos.</w:t>
      </w:r>
    </w:p>
    <w:p w14:paraId="655F05EE" w14:textId="77777777" w:rsidR="004A7C99" w:rsidRPr="004A7C99" w:rsidRDefault="004A7C99" w:rsidP="0008767B">
      <w:pPr>
        <w:numPr>
          <w:ilvl w:val="0"/>
          <w:numId w:val="79"/>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lastRenderedPageBreak/>
        <w:t>Infraestructura resiliente:</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Mejorar la infraestructura de drenaje pluvial y la construcción de viviendas más resistentes a fenómenos sísmicos y meteorológicos.</w:t>
      </w:r>
    </w:p>
    <w:p w14:paraId="09736ABC" w14:textId="77777777" w:rsidR="004A7C99" w:rsidRPr="004A7C99" w:rsidRDefault="004A7C99" w:rsidP="0008767B">
      <w:pPr>
        <w:numPr>
          <w:ilvl w:val="0"/>
          <w:numId w:val="79"/>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Planificación del uso de suelo:</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Evitar el asentamiento en zonas de alto riesgo como ríos, barrancas o laderas inestables, promoviendo la urbanización ordenada.</w:t>
      </w:r>
    </w:p>
    <w:p w14:paraId="2BD257A9" w14:textId="77777777" w:rsidR="004A7C99" w:rsidRPr="004A7C99" w:rsidRDefault="004A7C99" w:rsidP="0008767B">
      <w:pPr>
        <w:numPr>
          <w:ilvl w:val="0"/>
          <w:numId w:val="79"/>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Sistemas de alerta temprana:</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Implementación de sistemas de alerta temprana para inundaciones y sismos, que permitan a la población reaccionar rápidamente ante posibles emergencias.</w:t>
      </w:r>
    </w:p>
    <w:p w14:paraId="3F79AC10" w14:textId="77777777" w:rsidR="004A7C99" w:rsidRPr="004A7C99" w:rsidRDefault="004A7C99" w:rsidP="0008767B">
      <w:pPr>
        <w:numPr>
          <w:ilvl w:val="0"/>
          <w:numId w:val="79"/>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Atención en salud pública:</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Establecimiento de campañas de vacunación y control de vectores en áreas propensas a brotes de enfermedades infecciosas.</w:t>
      </w:r>
    </w:p>
    <w:p w14:paraId="39CAA819" w14:textId="77777777" w:rsidR="004A7C99" w:rsidRPr="004A7C99" w:rsidRDefault="004A7C99" w:rsidP="004A7C99">
      <w:pPr>
        <w:spacing w:after="160" w:line="360" w:lineRule="auto"/>
        <w:jc w:val="both"/>
        <w:rPr>
          <w:rFonts w:ascii="Century Gothic" w:eastAsiaTheme="minorHAnsi" w:hAnsi="Century Gothic"/>
          <w:b/>
          <w:bCs/>
          <w:sz w:val="22"/>
          <w:szCs w:val="22"/>
        </w:rPr>
      </w:pPr>
      <w:r w:rsidRPr="004A7C99">
        <w:rPr>
          <w:rFonts w:ascii="Century Gothic" w:eastAsiaTheme="minorHAnsi" w:hAnsi="Century Gothic"/>
          <w:b/>
          <w:bCs/>
          <w:sz w:val="22"/>
          <w:szCs w:val="22"/>
        </w:rPr>
        <w:t xml:space="preserve">5. </w:t>
      </w:r>
      <w:r w:rsidRPr="004A7C99">
        <w:rPr>
          <w:rFonts w:ascii="Century Gothic" w:eastAsiaTheme="minorHAnsi" w:hAnsi="Century Gothic"/>
          <w:b/>
          <w:bCs/>
          <w:color w:val="025850"/>
          <w:sz w:val="22"/>
          <w:szCs w:val="22"/>
        </w:rPr>
        <w:t>Monitoreo y revisión</w:t>
      </w:r>
    </w:p>
    <w:p w14:paraId="2E9F8918" w14:textId="77777777" w:rsidR="004A7C99" w:rsidRPr="004A7C99" w:rsidRDefault="004A7C99" w:rsidP="004A7C99">
      <w:pPr>
        <w:spacing w:after="160" w:line="360" w:lineRule="auto"/>
        <w:jc w:val="both"/>
        <w:rPr>
          <w:rFonts w:ascii="Century Gothic" w:eastAsiaTheme="minorHAnsi" w:hAnsi="Century Gothic"/>
          <w:sz w:val="22"/>
          <w:szCs w:val="22"/>
        </w:rPr>
      </w:pPr>
      <w:r w:rsidRPr="004A7C99">
        <w:rPr>
          <w:rFonts w:ascii="Century Gothic" w:eastAsiaTheme="minorHAnsi" w:hAnsi="Century Gothic"/>
          <w:sz w:val="22"/>
          <w:szCs w:val="22"/>
        </w:rPr>
        <w:t>La gestión de riesgos debe ser un proceso continuo, por lo que es esencial contar con mecanismos de monitoreo y revisión para evaluar la efectividad de las acciones implementadas:</w:t>
      </w:r>
    </w:p>
    <w:p w14:paraId="395B3888" w14:textId="77777777" w:rsidR="004A7C99" w:rsidRPr="004A7C99" w:rsidRDefault="004A7C99" w:rsidP="0008767B">
      <w:pPr>
        <w:numPr>
          <w:ilvl w:val="0"/>
          <w:numId w:val="80"/>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Evaluación constante:</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Monitoreo continuo de las condiciones geográficas y climáticas, además de revisar la infraestructura y los planes de emergencia.</w:t>
      </w:r>
    </w:p>
    <w:p w14:paraId="7B9498F0" w14:textId="77777777" w:rsidR="004A7C99" w:rsidRPr="004A7C99" w:rsidRDefault="004A7C99" w:rsidP="0008767B">
      <w:pPr>
        <w:numPr>
          <w:ilvl w:val="0"/>
          <w:numId w:val="80"/>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Simulacros periódicos:</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Realización de simulacros de emergencia (sismos, evacuaciones, etc.) para preparar tanto a las autoridades como a la población.</w:t>
      </w:r>
    </w:p>
    <w:p w14:paraId="0EBC1FBC" w14:textId="77777777" w:rsidR="004A7C99" w:rsidRPr="004A7C99" w:rsidRDefault="004A7C99" w:rsidP="0008767B">
      <w:pPr>
        <w:numPr>
          <w:ilvl w:val="0"/>
          <w:numId w:val="80"/>
        </w:numPr>
        <w:spacing w:after="160" w:line="360" w:lineRule="auto"/>
        <w:jc w:val="both"/>
        <w:rPr>
          <w:rFonts w:ascii="Century Gothic" w:eastAsiaTheme="minorHAnsi" w:hAnsi="Century Gothic"/>
          <w:sz w:val="22"/>
          <w:szCs w:val="22"/>
        </w:rPr>
      </w:pPr>
      <w:r w:rsidRPr="004A7C99">
        <w:rPr>
          <w:rFonts w:ascii="Century Gothic" w:eastAsiaTheme="minorHAnsi" w:hAnsi="Century Gothic"/>
          <w:b/>
          <w:bCs/>
          <w:color w:val="025850"/>
          <w:sz w:val="22"/>
          <w:szCs w:val="22"/>
        </w:rPr>
        <w:t>Revisión de políticas públicas:</w:t>
      </w:r>
      <w:r w:rsidRPr="004A7C99">
        <w:rPr>
          <w:rFonts w:ascii="Century Gothic" w:eastAsiaTheme="minorHAnsi" w:hAnsi="Century Gothic"/>
          <w:color w:val="025850"/>
          <w:sz w:val="22"/>
          <w:szCs w:val="22"/>
        </w:rPr>
        <w:t xml:space="preserve"> </w:t>
      </w:r>
      <w:r w:rsidRPr="004A7C99">
        <w:rPr>
          <w:rFonts w:ascii="Century Gothic" w:eastAsiaTheme="minorHAnsi" w:hAnsi="Century Gothic"/>
          <w:sz w:val="22"/>
          <w:szCs w:val="22"/>
        </w:rPr>
        <w:t>Ajuste constante de las políticas y estrategias locales según el contexto de riesgos y la experiencia acumulada durante las emergencias.</w:t>
      </w:r>
    </w:p>
    <w:p w14:paraId="621A1C2D" w14:textId="77777777" w:rsidR="004A7C99" w:rsidRPr="004A7C99" w:rsidRDefault="004A7C99" w:rsidP="004A7C99">
      <w:pPr>
        <w:spacing w:after="160" w:line="360" w:lineRule="auto"/>
        <w:jc w:val="both"/>
        <w:rPr>
          <w:rFonts w:ascii="Century Gothic" w:eastAsiaTheme="minorHAnsi" w:hAnsi="Century Gothic"/>
          <w:b/>
          <w:bCs/>
          <w:sz w:val="22"/>
          <w:szCs w:val="22"/>
        </w:rPr>
      </w:pPr>
      <w:r w:rsidRPr="004A7C99">
        <w:rPr>
          <w:rFonts w:ascii="Century Gothic" w:eastAsiaTheme="minorHAnsi" w:hAnsi="Century Gothic"/>
          <w:b/>
          <w:bCs/>
          <w:color w:val="025850"/>
          <w:sz w:val="22"/>
          <w:szCs w:val="22"/>
        </w:rPr>
        <w:t>6. Participación comunitaria</w:t>
      </w:r>
    </w:p>
    <w:p w14:paraId="1EB7E2FC" w14:textId="3BB772E5" w:rsidR="00555985" w:rsidRDefault="004A7C99" w:rsidP="004A7C99">
      <w:pPr>
        <w:spacing w:after="160" w:line="360" w:lineRule="auto"/>
        <w:jc w:val="both"/>
        <w:rPr>
          <w:rFonts w:ascii="Century Gothic" w:eastAsiaTheme="minorHAnsi" w:hAnsi="Century Gothic"/>
          <w:sz w:val="22"/>
          <w:szCs w:val="22"/>
        </w:rPr>
      </w:pPr>
      <w:r w:rsidRPr="004A7C99">
        <w:rPr>
          <w:rFonts w:ascii="Century Gothic" w:eastAsiaTheme="minorHAnsi" w:hAnsi="Century Gothic"/>
          <w:sz w:val="22"/>
          <w:szCs w:val="22"/>
        </w:rPr>
        <w:t>Es crucial que la gestión integral de riesgos en San Antonio la Isla involucre a la comunidad. Esto se puede lograr mediante la creación de comités de protección civil, talleres de capacitación, y una comunicación abierta con la población.</w:t>
      </w:r>
    </w:p>
    <w:p w14:paraId="07BF878C" w14:textId="77777777" w:rsidR="00555985" w:rsidRDefault="00555985">
      <w:pPr>
        <w:rPr>
          <w:rFonts w:ascii="Century Gothic" w:eastAsiaTheme="minorHAnsi" w:hAnsi="Century Gothic"/>
          <w:sz w:val="22"/>
          <w:szCs w:val="22"/>
        </w:rPr>
      </w:pPr>
      <w:r>
        <w:rPr>
          <w:rFonts w:ascii="Century Gothic" w:eastAsiaTheme="minorHAnsi" w:hAnsi="Century Gothic"/>
          <w:sz w:val="22"/>
          <w:szCs w:val="22"/>
        </w:rPr>
        <w:br w:type="page"/>
      </w:r>
    </w:p>
    <w:p w14:paraId="2BBD03D6" w14:textId="77777777" w:rsidR="00555985" w:rsidRDefault="00555985" w:rsidP="004A7C99">
      <w:pPr>
        <w:spacing w:after="160" w:line="360" w:lineRule="auto"/>
        <w:jc w:val="both"/>
        <w:rPr>
          <w:rFonts w:ascii="Century Gothic" w:eastAsiaTheme="minorHAnsi" w:hAnsi="Century Gothic"/>
          <w:sz w:val="22"/>
          <w:szCs w:val="22"/>
        </w:rPr>
        <w:sectPr w:rsidR="00555985" w:rsidSect="00AA77F0">
          <w:pgSz w:w="15840" w:h="12240" w:orient="landscape"/>
          <w:pgMar w:top="1440" w:right="1440" w:bottom="1440" w:left="1440" w:header="709" w:footer="709" w:gutter="0"/>
          <w:cols w:num="2" w:space="708"/>
          <w:docGrid w:linePitch="360"/>
        </w:sectPr>
      </w:pPr>
    </w:p>
    <w:p w14:paraId="5811BE1E" w14:textId="592FFA39" w:rsidR="004A7C99" w:rsidRDefault="00555985" w:rsidP="005360AF">
      <w:pPr>
        <w:spacing w:after="0" w:line="240" w:lineRule="auto"/>
        <w:jc w:val="both"/>
        <w:rPr>
          <w:rFonts w:ascii="Century Gothic" w:hAnsi="Century Gothic"/>
          <w:b/>
          <w:color w:val="025850"/>
          <w:sz w:val="22"/>
          <w:szCs w:val="22"/>
        </w:rPr>
      </w:pPr>
      <w:r w:rsidRPr="00555985">
        <w:rPr>
          <w:rFonts w:ascii="Century Gothic" w:hAnsi="Century Gothic"/>
          <w:b/>
          <w:color w:val="025850"/>
          <w:sz w:val="22"/>
          <w:szCs w:val="22"/>
        </w:rPr>
        <w:lastRenderedPageBreak/>
        <w:t>Análisis Prospectivo</w:t>
      </w:r>
    </w:p>
    <w:tbl>
      <w:tblPr>
        <w:tblStyle w:val="Tablaconcuadrcula4-nfasis2"/>
        <w:tblW w:w="5000" w:type="pct"/>
        <w:tblLook w:val="01E0" w:firstRow="1" w:lastRow="1" w:firstColumn="1" w:lastColumn="1" w:noHBand="0" w:noVBand="0"/>
      </w:tblPr>
      <w:tblGrid>
        <w:gridCol w:w="2263"/>
        <w:gridCol w:w="4942"/>
        <w:gridCol w:w="5745"/>
      </w:tblGrid>
      <w:tr w:rsidR="005360AF" w:rsidRPr="005360AF" w14:paraId="3921DCF2" w14:textId="77777777" w:rsidTr="005360AF">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74" w:type="pct"/>
          </w:tcPr>
          <w:p w14:paraId="6E7B566B" w14:textId="77777777" w:rsidR="005360AF" w:rsidRPr="005360AF" w:rsidRDefault="005360AF" w:rsidP="00CF14B0">
            <w:pPr>
              <w:pStyle w:val="TableParagraph"/>
              <w:spacing w:before="7" w:line="252" w:lineRule="exact"/>
              <w:ind w:left="206"/>
              <w:rPr>
                <w:rFonts w:ascii="Century Gothic" w:hAnsi="Century Gothic"/>
                <w:b w:val="0"/>
                <w:sz w:val="14"/>
                <w:szCs w:val="14"/>
              </w:rPr>
            </w:pPr>
            <w:r w:rsidRPr="005360AF">
              <w:rPr>
                <w:rFonts w:ascii="Century Gothic" w:hAnsi="Century Gothic"/>
                <w:w w:val="90"/>
                <w:sz w:val="14"/>
                <w:szCs w:val="14"/>
              </w:rPr>
              <w:t>Tema</w:t>
            </w:r>
            <w:r w:rsidRPr="005360AF">
              <w:rPr>
                <w:rFonts w:ascii="Century Gothic" w:hAnsi="Century Gothic"/>
                <w:spacing w:val="12"/>
                <w:sz w:val="14"/>
                <w:szCs w:val="14"/>
              </w:rPr>
              <w:t xml:space="preserve"> </w:t>
            </w:r>
            <w:r w:rsidRPr="005360AF">
              <w:rPr>
                <w:rFonts w:ascii="Century Gothic" w:hAnsi="Century Gothic"/>
                <w:w w:val="90"/>
                <w:sz w:val="14"/>
                <w:szCs w:val="14"/>
              </w:rPr>
              <w:t>de</w:t>
            </w:r>
            <w:r w:rsidRPr="005360AF">
              <w:rPr>
                <w:rFonts w:ascii="Century Gothic" w:hAnsi="Century Gothic"/>
                <w:spacing w:val="13"/>
                <w:sz w:val="14"/>
                <w:szCs w:val="14"/>
              </w:rPr>
              <w:t xml:space="preserve"> </w:t>
            </w:r>
            <w:r w:rsidRPr="005360AF">
              <w:rPr>
                <w:rFonts w:ascii="Century Gothic" w:hAnsi="Century Gothic"/>
                <w:w w:val="90"/>
                <w:sz w:val="14"/>
                <w:szCs w:val="14"/>
              </w:rPr>
              <w:t>Desarrollo</w:t>
            </w:r>
            <w:r w:rsidRPr="005360AF">
              <w:rPr>
                <w:rFonts w:ascii="Century Gothic" w:hAnsi="Century Gothic"/>
                <w:spacing w:val="15"/>
                <w:sz w:val="14"/>
                <w:szCs w:val="14"/>
              </w:rPr>
              <w:t xml:space="preserve"> </w:t>
            </w:r>
          </w:p>
        </w:tc>
        <w:tc>
          <w:tcPr>
            <w:cnfStyle w:val="000010000000" w:firstRow="0" w:lastRow="0" w:firstColumn="0" w:lastColumn="0" w:oddVBand="1" w:evenVBand="0" w:oddHBand="0" w:evenHBand="0" w:firstRowFirstColumn="0" w:firstRowLastColumn="0" w:lastRowFirstColumn="0" w:lastRowLastColumn="0"/>
            <w:tcW w:w="1908" w:type="pct"/>
          </w:tcPr>
          <w:p w14:paraId="0CAF32EC" w14:textId="77777777" w:rsidR="005360AF" w:rsidRPr="005360AF" w:rsidRDefault="005360AF" w:rsidP="00CF14B0">
            <w:pPr>
              <w:pStyle w:val="TableParagraph"/>
              <w:spacing w:before="7" w:line="252" w:lineRule="exact"/>
              <w:ind w:left="957"/>
              <w:rPr>
                <w:rFonts w:ascii="Century Gothic" w:hAnsi="Century Gothic"/>
                <w:b w:val="0"/>
                <w:sz w:val="14"/>
                <w:szCs w:val="14"/>
              </w:rPr>
            </w:pPr>
            <w:r w:rsidRPr="005360AF">
              <w:rPr>
                <w:rFonts w:ascii="Century Gothic" w:hAnsi="Century Gothic"/>
                <w:w w:val="90"/>
                <w:sz w:val="14"/>
                <w:szCs w:val="14"/>
              </w:rPr>
              <w:t>Escenario</w:t>
            </w:r>
            <w:r w:rsidRPr="005360AF">
              <w:rPr>
                <w:rFonts w:ascii="Century Gothic" w:hAnsi="Century Gothic"/>
                <w:spacing w:val="31"/>
                <w:sz w:val="14"/>
                <w:szCs w:val="14"/>
              </w:rPr>
              <w:t xml:space="preserve"> </w:t>
            </w:r>
            <w:r w:rsidRPr="005360AF">
              <w:rPr>
                <w:rFonts w:ascii="Century Gothic" w:hAnsi="Century Gothic"/>
                <w:spacing w:val="-2"/>
                <w:sz w:val="14"/>
                <w:szCs w:val="14"/>
              </w:rPr>
              <w:t>Tendencial</w:t>
            </w:r>
          </w:p>
        </w:tc>
        <w:tc>
          <w:tcPr>
            <w:cnfStyle w:val="000100000000" w:firstRow="0" w:lastRow="0" w:firstColumn="0" w:lastColumn="1" w:oddVBand="0" w:evenVBand="0" w:oddHBand="0" w:evenHBand="0" w:firstRowFirstColumn="0" w:firstRowLastColumn="0" w:lastRowFirstColumn="0" w:lastRowLastColumn="0"/>
            <w:tcW w:w="2218" w:type="pct"/>
          </w:tcPr>
          <w:p w14:paraId="38413883" w14:textId="77777777" w:rsidR="005360AF" w:rsidRPr="005360AF" w:rsidRDefault="005360AF" w:rsidP="00CF14B0">
            <w:pPr>
              <w:pStyle w:val="TableParagraph"/>
              <w:spacing w:before="7" w:line="252" w:lineRule="exact"/>
              <w:ind w:left="1727"/>
              <w:jc w:val="both"/>
              <w:rPr>
                <w:rFonts w:ascii="Century Gothic" w:hAnsi="Century Gothic"/>
                <w:b w:val="0"/>
                <w:sz w:val="14"/>
                <w:szCs w:val="14"/>
              </w:rPr>
            </w:pPr>
            <w:r w:rsidRPr="005360AF">
              <w:rPr>
                <w:rFonts w:ascii="Century Gothic" w:hAnsi="Century Gothic"/>
                <w:w w:val="90"/>
                <w:sz w:val="14"/>
                <w:szCs w:val="14"/>
              </w:rPr>
              <w:t>Escenario</w:t>
            </w:r>
            <w:r w:rsidRPr="005360AF">
              <w:rPr>
                <w:rFonts w:ascii="Century Gothic" w:hAnsi="Century Gothic"/>
                <w:spacing w:val="24"/>
                <w:sz w:val="14"/>
                <w:szCs w:val="14"/>
              </w:rPr>
              <w:t xml:space="preserve"> </w:t>
            </w:r>
            <w:r w:rsidRPr="005360AF">
              <w:rPr>
                <w:rFonts w:ascii="Century Gothic" w:hAnsi="Century Gothic"/>
                <w:spacing w:val="-2"/>
                <w:sz w:val="14"/>
                <w:szCs w:val="14"/>
              </w:rPr>
              <w:t>Factible</w:t>
            </w:r>
          </w:p>
        </w:tc>
      </w:tr>
      <w:tr w:rsidR="005360AF" w:rsidRPr="005360AF" w14:paraId="2670AB1C" w14:textId="77777777" w:rsidTr="005360AF">
        <w:trPr>
          <w:cnfStyle w:val="000000100000" w:firstRow="0" w:lastRow="0" w:firstColumn="0" w:lastColumn="0" w:oddVBand="0" w:evenVBand="0" w:oddHBand="1" w:evenHBand="0" w:firstRowFirstColumn="0" w:firstRowLastColumn="0" w:lastRowFirstColumn="0" w:lastRowLastColumn="0"/>
          <w:trHeight w:val="1059"/>
        </w:trPr>
        <w:tc>
          <w:tcPr>
            <w:cnfStyle w:val="001000000000" w:firstRow="0" w:lastRow="0" w:firstColumn="1" w:lastColumn="0" w:oddVBand="0" w:evenVBand="0" w:oddHBand="0" w:evenHBand="0" w:firstRowFirstColumn="0" w:firstRowLastColumn="0" w:lastRowFirstColumn="0" w:lastRowLastColumn="0"/>
            <w:tcW w:w="874" w:type="pct"/>
          </w:tcPr>
          <w:p w14:paraId="63260435" w14:textId="77777777" w:rsidR="005360AF" w:rsidRPr="005360AF" w:rsidRDefault="005360AF" w:rsidP="00CF14B0">
            <w:pPr>
              <w:pStyle w:val="TableParagraph"/>
              <w:spacing w:before="2"/>
              <w:rPr>
                <w:rFonts w:ascii="Century Gothic" w:hAnsi="Century Gothic"/>
                <w:sz w:val="14"/>
                <w:szCs w:val="14"/>
              </w:rPr>
            </w:pPr>
            <w:r w:rsidRPr="005360AF">
              <w:rPr>
                <w:rFonts w:ascii="Century Gothic" w:hAnsi="Century Gothic"/>
                <w:sz w:val="14"/>
                <w:szCs w:val="14"/>
              </w:rPr>
              <w:t>Atender las causas del delito</w:t>
            </w:r>
          </w:p>
        </w:tc>
        <w:tc>
          <w:tcPr>
            <w:cnfStyle w:val="000010000000" w:firstRow="0" w:lastRow="0" w:firstColumn="0" w:lastColumn="0" w:oddVBand="1" w:evenVBand="0" w:oddHBand="0" w:evenHBand="0" w:firstRowFirstColumn="0" w:firstRowLastColumn="0" w:lastRowFirstColumn="0" w:lastRowLastColumn="0"/>
            <w:tcW w:w="1908" w:type="pct"/>
          </w:tcPr>
          <w:p w14:paraId="447C4C5B" w14:textId="77777777" w:rsidR="005360AF" w:rsidRPr="005360AF" w:rsidRDefault="005360AF" w:rsidP="00CF14B0">
            <w:pPr>
              <w:pStyle w:val="TableParagraph"/>
              <w:spacing w:line="242" w:lineRule="exact"/>
              <w:ind w:left="108"/>
              <w:rPr>
                <w:rFonts w:ascii="Century Gothic" w:hAnsi="Century Gothic"/>
                <w:sz w:val="14"/>
                <w:szCs w:val="14"/>
              </w:rPr>
            </w:pPr>
            <w:r w:rsidRPr="005360AF">
              <w:rPr>
                <w:rFonts w:ascii="Century Gothic" w:hAnsi="Century Gothic"/>
                <w:sz w:val="14"/>
                <w:szCs w:val="14"/>
              </w:rPr>
              <w:t>Con la puesta en marcha de los operativos las distintas localidades se lograron disminuir los índices delictivos en el territorio municipal</w:t>
            </w:r>
          </w:p>
        </w:tc>
        <w:tc>
          <w:tcPr>
            <w:cnfStyle w:val="000100000000" w:firstRow="0" w:lastRow="0" w:firstColumn="0" w:lastColumn="1" w:oddVBand="0" w:evenVBand="0" w:oddHBand="0" w:evenHBand="0" w:firstRowFirstColumn="0" w:firstRowLastColumn="0" w:lastRowFirstColumn="0" w:lastRowLastColumn="0"/>
            <w:tcW w:w="2218" w:type="pct"/>
          </w:tcPr>
          <w:p w14:paraId="6F8A167F" w14:textId="77777777" w:rsidR="005360AF" w:rsidRPr="005360AF" w:rsidRDefault="005360AF" w:rsidP="00CF14B0">
            <w:pPr>
              <w:pStyle w:val="TableParagraph"/>
              <w:spacing w:before="2" w:line="278" w:lineRule="auto"/>
              <w:ind w:left="107" w:right="201"/>
              <w:jc w:val="both"/>
              <w:rPr>
                <w:rFonts w:ascii="Century Gothic" w:hAnsi="Century Gothic"/>
                <w:bCs w:val="0"/>
                <w:sz w:val="14"/>
                <w:szCs w:val="14"/>
                <w:lang w:val="es-US"/>
              </w:rPr>
            </w:pPr>
            <w:r w:rsidRPr="005360AF">
              <w:rPr>
                <w:rFonts w:ascii="Century Gothic" w:hAnsi="Century Gothic"/>
                <w:sz w:val="14"/>
                <w:szCs w:val="14"/>
              </w:rPr>
              <w:t>Se llevan a cabo operativos en coordinación con la secretaria de seguridad del Estado realizando acciones preventivas.</w:t>
            </w:r>
            <w:r w:rsidRPr="005360AF">
              <w:rPr>
                <w:rFonts w:ascii="Century Gothic" w:hAnsi="Century Gothic"/>
                <w:sz w:val="14"/>
                <w:szCs w:val="14"/>
                <w:lang w:val="es-US"/>
              </w:rPr>
              <w:t xml:space="preserve"> </w:t>
            </w:r>
          </w:p>
          <w:p w14:paraId="1F8E055E" w14:textId="77777777" w:rsidR="005360AF" w:rsidRPr="005360AF" w:rsidRDefault="005360AF" w:rsidP="00CF14B0">
            <w:pPr>
              <w:pStyle w:val="TableParagraph"/>
              <w:spacing w:before="2" w:line="278" w:lineRule="auto"/>
              <w:ind w:left="107" w:right="201"/>
              <w:jc w:val="both"/>
              <w:rPr>
                <w:rFonts w:ascii="Century Gothic" w:hAnsi="Century Gothic"/>
                <w:sz w:val="14"/>
                <w:szCs w:val="14"/>
              </w:rPr>
            </w:pPr>
            <w:r w:rsidRPr="005360AF">
              <w:rPr>
                <w:rFonts w:ascii="Century Gothic" w:hAnsi="Century Gothic"/>
                <w:sz w:val="14"/>
                <w:szCs w:val="14"/>
                <w:lang w:val="es-US"/>
              </w:rPr>
              <w:t>Implementar iniciativas de comunidad para fomentar la cohesión social y la participación ciudadana</w:t>
            </w:r>
          </w:p>
        </w:tc>
      </w:tr>
      <w:tr w:rsidR="005360AF" w:rsidRPr="005360AF" w14:paraId="26B20081" w14:textId="77777777" w:rsidTr="005360AF">
        <w:trPr>
          <w:trHeight w:val="1271"/>
        </w:trPr>
        <w:tc>
          <w:tcPr>
            <w:cnfStyle w:val="001000000000" w:firstRow="0" w:lastRow="0" w:firstColumn="1" w:lastColumn="0" w:oddVBand="0" w:evenVBand="0" w:oddHBand="0" w:evenHBand="0" w:firstRowFirstColumn="0" w:firstRowLastColumn="0" w:lastRowFirstColumn="0" w:lastRowLastColumn="0"/>
            <w:tcW w:w="874" w:type="pct"/>
          </w:tcPr>
          <w:p w14:paraId="4B612158" w14:textId="77777777" w:rsidR="005360AF" w:rsidRPr="005360AF" w:rsidRDefault="005360AF" w:rsidP="00CF14B0">
            <w:pPr>
              <w:pStyle w:val="TableParagraph"/>
              <w:spacing w:before="2"/>
              <w:jc w:val="both"/>
              <w:rPr>
                <w:rFonts w:ascii="Century Gothic" w:hAnsi="Century Gothic"/>
                <w:color w:val="FF0000"/>
                <w:w w:val="85"/>
                <w:sz w:val="14"/>
                <w:szCs w:val="14"/>
              </w:rPr>
            </w:pPr>
            <w:r w:rsidRPr="005360AF">
              <w:rPr>
                <w:rFonts w:ascii="Century Gothic" w:hAnsi="Century Gothic"/>
                <w:sz w:val="14"/>
                <w:szCs w:val="14"/>
              </w:rPr>
              <w:t>Cuerpos policiales para la paz</w:t>
            </w:r>
          </w:p>
        </w:tc>
        <w:tc>
          <w:tcPr>
            <w:cnfStyle w:val="000010000000" w:firstRow="0" w:lastRow="0" w:firstColumn="0" w:lastColumn="0" w:oddVBand="1" w:evenVBand="0" w:oddHBand="0" w:evenHBand="0" w:firstRowFirstColumn="0" w:firstRowLastColumn="0" w:lastRowFirstColumn="0" w:lastRowLastColumn="0"/>
            <w:tcW w:w="1908" w:type="pct"/>
          </w:tcPr>
          <w:p w14:paraId="68491471" w14:textId="77777777" w:rsidR="005360AF" w:rsidRPr="005360AF" w:rsidRDefault="005360AF" w:rsidP="00CF14B0">
            <w:pPr>
              <w:pStyle w:val="TableParagraph"/>
              <w:spacing w:before="146" w:line="278" w:lineRule="auto"/>
              <w:ind w:right="204"/>
              <w:jc w:val="both"/>
              <w:rPr>
                <w:rFonts w:ascii="Century Gothic" w:hAnsi="Century Gothic"/>
                <w:bCs/>
                <w:sz w:val="14"/>
                <w:szCs w:val="14"/>
                <w:lang w:val="es-US"/>
              </w:rPr>
            </w:pPr>
            <w:r w:rsidRPr="005360AF">
              <w:rPr>
                <w:rFonts w:ascii="Century Gothic" w:hAnsi="Century Gothic"/>
                <w:bCs/>
                <w:sz w:val="14"/>
                <w:szCs w:val="14"/>
                <w:lang w:val="es-US"/>
              </w:rPr>
              <w:t>El municipio cuenta con 39 de elementos policiacos, lo que indica que hay un policía por cada 819 habitantes, cifra muy por debajo de los estándares internacionales. Estos policías se encuentran divididos en 2 turnos, mismos que cuentan con equipo de armamento para el desempeño de su función.</w:t>
            </w:r>
          </w:p>
        </w:tc>
        <w:tc>
          <w:tcPr>
            <w:cnfStyle w:val="000100000000" w:firstRow="0" w:lastRow="0" w:firstColumn="0" w:lastColumn="1" w:oddVBand="0" w:evenVBand="0" w:oddHBand="0" w:evenHBand="0" w:firstRowFirstColumn="0" w:firstRowLastColumn="0" w:lastRowFirstColumn="0" w:lastRowLastColumn="0"/>
            <w:tcW w:w="2218" w:type="pct"/>
          </w:tcPr>
          <w:p w14:paraId="56A22D55" w14:textId="77777777" w:rsidR="005360AF" w:rsidRPr="005360AF" w:rsidRDefault="005360AF" w:rsidP="00CF14B0">
            <w:pPr>
              <w:pStyle w:val="TableParagraph"/>
              <w:spacing w:before="4" w:line="278" w:lineRule="auto"/>
              <w:ind w:left="107" w:right="205"/>
              <w:jc w:val="both"/>
              <w:rPr>
                <w:rFonts w:ascii="Century Gothic" w:hAnsi="Century Gothic"/>
                <w:sz w:val="14"/>
                <w:szCs w:val="14"/>
              </w:rPr>
            </w:pPr>
            <w:r w:rsidRPr="005360AF">
              <w:rPr>
                <w:rFonts w:ascii="Century Gothic" w:hAnsi="Century Gothic"/>
                <w:sz w:val="14"/>
                <w:szCs w:val="14"/>
                <w:lang w:val="es-US"/>
              </w:rPr>
              <w:t>Una mayor presencia policial puede disuadir la delincuencia y mejorar la seguridad en la comunidad.</w:t>
            </w:r>
          </w:p>
        </w:tc>
      </w:tr>
      <w:tr w:rsidR="005360AF" w:rsidRPr="005360AF" w14:paraId="5CAC8D64" w14:textId="77777777" w:rsidTr="005360AF">
        <w:trPr>
          <w:cnfStyle w:val="000000100000" w:firstRow="0" w:lastRow="0" w:firstColumn="0" w:lastColumn="0" w:oddVBand="0" w:evenVBand="0" w:oddHBand="1" w:evenHBand="0" w:firstRowFirstColumn="0" w:firstRowLastColumn="0" w:lastRowFirstColumn="0" w:lastRowLastColumn="0"/>
          <w:trHeight w:val="1271"/>
        </w:trPr>
        <w:tc>
          <w:tcPr>
            <w:cnfStyle w:val="001000000000" w:firstRow="0" w:lastRow="0" w:firstColumn="1" w:lastColumn="0" w:oddVBand="0" w:evenVBand="0" w:oddHBand="0" w:evenHBand="0" w:firstRowFirstColumn="0" w:firstRowLastColumn="0" w:lastRowFirstColumn="0" w:lastRowLastColumn="0"/>
            <w:tcW w:w="874" w:type="pct"/>
          </w:tcPr>
          <w:p w14:paraId="15CA1A8D" w14:textId="77777777" w:rsidR="005360AF" w:rsidRPr="005360AF" w:rsidRDefault="005360AF" w:rsidP="00CF14B0">
            <w:pPr>
              <w:pStyle w:val="TableParagraph"/>
              <w:spacing w:before="2"/>
              <w:jc w:val="both"/>
              <w:rPr>
                <w:rFonts w:ascii="Century Gothic" w:hAnsi="Century Gothic"/>
                <w:color w:val="FF0000"/>
                <w:w w:val="85"/>
                <w:sz w:val="14"/>
                <w:szCs w:val="14"/>
              </w:rPr>
            </w:pPr>
            <w:r w:rsidRPr="005360AF">
              <w:rPr>
                <w:rFonts w:ascii="Century Gothic" w:hAnsi="Century Gothic"/>
                <w:sz w:val="14"/>
                <w:szCs w:val="14"/>
              </w:rPr>
              <w:t>Inteligencia e investigación</w:t>
            </w:r>
          </w:p>
        </w:tc>
        <w:tc>
          <w:tcPr>
            <w:cnfStyle w:val="000010000000" w:firstRow="0" w:lastRow="0" w:firstColumn="0" w:lastColumn="0" w:oddVBand="1" w:evenVBand="0" w:oddHBand="0" w:evenHBand="0" w:firstRowFirstColumn="0" w:firstRowLastColumn="0" w:lastRowFirstColumn="0" w:lastRowLastColumn="0"/>
            <w:tcW w:w="1908" w:type="pct"/>
          </w:tcPr>
          <w:p w14:paraId="056943DB" w14:textId="77777777" w:rsidR="005360AF" w:rsidRPr="005360AF" w:rsidRDefault="005360AF" w:rsidP="00CF14B0">
            <w:pPr>
              <w:pStyle w:val="TableParagraph"/>
              <w:spacing w:before="146" w:line="278" w:lineRule="auto"/>
              <w:ind w:left="108" w:right="204"/>
              <w:rPr>
                <w:rFonts w:ascii="Century Gothic" w:hAnsi="Century Gothic"/>
                <w:bCs/>
                <w:sz w:val="14"/>
                <w:szCs w:val="14"/>
              </w:rPr>
            </w:pPr>
            <w:r w:rsidRPr="005360AF">
              <w:rPr>
                <w:rFonts w:ascii="Century Gothic" w:hAnsi="Century Gothic"/>
                <w:bCs/>
                <w:sz w:val="14"/>
                <w:szCs w:val="14"/>
              </w:rPr>
              <w:t xml:space="preserve">Existen varios desafíos que San Antonio la Isla enfrenta para implementar y mantener capacidades de inteligencia e investigación en materia de seguridad. </w:t>
            </w:r>
          </w:p>
          <w:p w14:paraId="325CD79D" w14:textId="77777777" w:rsidR="005360AF" w:rsidRPr="005360AF" w:rsidRDefault="005360AF" w:rsidP="00CF14B0">
            <w:pPr>
              <w:pStyle w:val="TableParagraph"/>
              <w:spacing w:before="146" w:line="278" w:lineRule="auto"/>
              <w:ind w:left="108" w:right="204"/>
              <w:jc w:val="both"/>
              <w:rPr>
                <w:rFonts w:ascii="Century Gothic" w:hAnsi="Century Gothic"/>
                <w:sz w:val="14"/>
                <w:szCs w:val="14"/>
              </w:rPr>
            </w:pPr>
          </w:p>
        </w:tc>
        <w:tc>
          <w:tcPr>
            <w:cnfStyle w:val="000100000000" w:firstRow="0" w:lastRow="0" w:firstColumn="0" w:lastColumn="1" w:oddVBand="0" w:evenVBand="0" w:oddHBand="0" w:evenHBand="0" w:firstRowFirstColumn="0" w:firstRowLastColumn="0" w:lastRowFirstColumn="0" w:lastRowLastColumn="0"/>
            <w:tcW w:w="2218" w:type="pct"/>
          </w:tcPr>
          <w:p w14:paraId="2EC87E93" w14:textId="77777777" w:rsidR="005360AF" w:rsidRPr="005360AF" w:rsidRDefault="005360AF" w:rsidP="00CF14B0">
            <w:pPr>
              <w:pStyle w:val="TableParagraph"/>
              <w:spacing w:line="278" w:lineRule="auto"/>
              <w:ind w:right="205"/>
              <w:jc w:val="both"/>
              <w:rPr>
                <w:rFonts w:ascii="Century Gothic" w:hAnsi="Century Gothic"/>
                <w:sz w:val="14"/>
                <w:szCs w:val="14"/>
              </w:rPr>
            </w:pPr>
            <w:r w:rsidRPr="005360AF">
              <w:rPr>
                <w:rFonts w:ascii="Century Gothic" w:hAnsi="Century Gothic"/>
                <w:sz w:val="14"/>
                <w:szCs w:val="14"/>
              </w:rPr>
              <w:t xml:space="preserve">Para hacer frente a los desafíos, debemos participar de manera </w:t>
            </w:r>
            <w:proofErr w:type="gramStart"/>
            <w:r w:rsidRPr="005360AF">
              <w:rPr>
                <w:rFonts w:ascii="Century Gothic" w:hAnsi="Century Gothic"/>
                <w:sz w:val="14"/>
                <w:szCs w:val="14"/>
              </w:rPr>
              <w:t>activa  en</w:t>
            </w:r>
            <w:proofErr w:type="gramEnd"/>
            <w:r w:rsidRPr="005360AF">
              <w:rPr>
                <w:rFonts w:ascii="Century Gothic" w:hAnsi="Century Gothic"/>
                <w:sz w:val="14"/>
                <w:szCs w:val="14"/>
              </w:rPr>
              <w:t xml:space="preserve"> las mesas de trabajo de la Secretaría de Seguridad del Estado de México (SSEM) tienen como objetivo disminuir la incidencia delictiva en el Estado de México y Municipios. Las mesas de trabajo son espacios de colaboración entre la SSEM y otros actores involucrados en la seguridad.</w:t>
            </w:r>
          </w:p>
        </w:tc>
      </w:tr>
      <w:tr w:rsidR="005360AF" w:rsidRPr="005360AF" w14:paraId="531280D7" w14:textId="77777777" w:rsidTr="005360AF">
        <w:trPr>
          <w:trHeight w:val="1271"/>
        </w:trPr>
        <w:tc>
          <w:tcPr>
            <w:cnfStyle w:val="001000000000" w:firstRow="0" w:lastRow="0" w:firstColumn="1" w:lastColumn="0" w:oddVBand="0" w:evenVBand="0" w:oddHBand="0" w:evenHBand="0" w:firstRowFirstColumn="0" w:firstRowLastColumn="0" w:lastRowFirstColumn="0" w:lastRowLastColumn="0"/>
            <w:tcW w:w="874" w:type="pct"/>
          </w:tcPr>
          <w:p w14:paraId="62B913D0" w14:textId="77777777" w:rsidR="005360AF" w:rsidRPr="005360AF" w:rsidRDefault="005360AF" w:rsidP="00CF14B0">
            <w:pPr>
              <w:pStyle w:val="TableParagraph"/>
              <w:spacing w:before="2"/>
              <w:jc w:val="both"/>
              <w:rPr>
                <w:rFonts w:ascii="Century Gothic" w:hAnsi="Century Gothic"/>
                <w:w w:val="85"/>
                <w:sz w:val="14"/>
                <w:szCs w:val="14"/>
              </w:rPr>
            </w:pPr>
            <w:r w:rsidRPr="005360AF">
              <w:rPr>
                <w:rFonts w:ascii="Century Gothic" w:hAnsi="Century Gothic"/>
                <w:sz w:val="14"/>
                <w:szCs w:val="14"/>
              </w:rPr>
              <w:t>Reingeniería y coordinación interinstitucional</w:t>
            </w:r>
          </w:p>
        </w:tc>
        <w:tc>
          <w:tcPr>
            <w:cnfStyle w:val="000010000000" w:firstRow="0" w:lastRow="0" w:firstColumn="0" w:lastColumn="0" w:oddVBand="1" w:evenVBand="0" w:oddHBand="0" w:evenHBand="0" w:firstRowFirstColumn="0" w:firstRowLastColumn="0" w:lastRowFirstColumn="0" w:lastRowLastColumn="0"/>
            <w:tcW w:w="1908" w:type="pct"/>
          </w:tcPr>
          <w:p w14:paraId="7139EE46" w14:textId="77777777" w:rsidR="005360AF" w:rsidRPr="005360AF" w:rsidRDefault="005360AF" w:rsidP="00CF14B0">
            <w:pPr>
              <w:pStyle w:val="TableParagraph"/>
              <w:spacing w:before="146" w:line="278" w:lineRule="auto"/>
              <w:ind w:left="108" w:right="204"/>
              <w:jc w:val="both"/>
              <w:rPr>
                <w:rFonts w:ascii="Century Gothic" w:hAnsi="Century Gothic"/>
                <w:sz w:val="14"/>
                <w:szCs w:val="14"/>
              </w:rPr>
            </w:pPr>
            <w:r w:rsidRPr="005360AF">
              <w:rPr>
                <w:rFonts w:ascii="Century Gothic" w:hAnsi="Century Gothic"/>
                <w:sz w:val="14"/>
                <w:szCs w:val="14"/>
                <w:lang w:val="es-US"/>
              </w:rPr>
              <w:t>La reglamentación municipal en San Antonio la Isla ha sido una herramienta importante para garantizar la seguridad pública</w:t>
            </w:r>
          </w:p>
        </w:tc>
        <w:tc>
          <w:tcPr>
            <w:cnfStyle w:val="000100000000" w:firstRow="0" w:lastRow="0" w:firstColumn="0" w:lastColumn="1" w:oddVBand="0" w:evenVBand="0" w:oddHBand="0" w:evenHBand="0" w:firstRowFirstColumn="0" w:firstRowLastColumn="0" w:lastRowFirstColumn="0" w:lastRowLastColumn="0"/>
            <w:tcW w:w="2218" w:type="pct"/>
          </w:tcPr>
          <w:p w14:paraId="5676D9DB" w14:textId="77777777" w:rsidR="005360AF" w:rsidRPr="005360AF" w:rsidRDefault="005360AF" w:rsidP="0008767B">
            <w:pPr>
              <w:pStyle w:val="TableParagraph"/>
              <w:numPr>
                <w:ilvl w:val="0"/>
                <w:numId w:val="81"/>
              </w:numPr>
              <w:spacing w:before="4" w:line="278" w:lineRule="auto"/>
              <w:ind w:right="205"/>
              <w:jc w:val="both"/>
              <w:rPr>
                <w:rFonts w:ascii="Century Gothic" w:hAnsi="Century Gothic"/>
                <w:sz w:val="14"/>
                <w:szCs w:val="14"/>
                <w:lang w:val="es-US"/>
              </w:rPr>
            </w:pPr>
            <w:r w:rsidRPr="005360AF">
              <w:rPr>
                <w:rFonts w:ascii="Century Gothic" w:hAnsi="Century Gothic"/>
                <w:sz w:val="14"/>
                <w:szCs w:val="14"/>
                <w:lang w:val="es-US"/>
              </w:rPr>
              <w:t>Diseño de planes de seguridad pública.</w:t>
            </w:r>
          </w:p>
          <w:p w14:paraId="28908C17" w14:textId="77777777" w:rsidR="005360AF" w:rsidRPr="005360AF" w:rsidRDefault="005360AF" w:rsidP="0008767B">
            <w:pPr>
              <w:pStyle w:val="TableParagraph"/>
              <w:numPr>
                <w:ilvl w:val="0"/>
                <w:numId w:val="81"/>
              </w:numPr>
              <w:spacing w:before="4" w:line="278" w:lineRule="auto"/>
              <w:ind w:right="205"/>
              <w:jc w:val="both"/>
              <w:rPr>
                <w:rFonts w:ascii="Century Gothic" w:hAnsi="Century Gothic"/>
                <w:sz w:val="14"/>
                <w:szCs w:val="14"/>
                <w:lang w:val="es-US"/>
              </w:rPr>
            </w:pPr>
            <w:r w:rsidRPr="005360AF">
              <w:rPr>
                <w:rFonts w:ascii="Century Gothic" w:hAnsi="Century Gothic"/>
                <w:sz w:val="14"/>
                <w:szCs w:val="14"/>
                <w:lang w:val="es-US"/>
              </w:rPr>
              <w:t>Adecuación del marco normativo.</w:t>
            </w:r>
          </w:p>
          <w:p w14:paraId="4C5B068D" w14:textId="77777777" w:rsidR="005360AF" w:rsidRPr="005360AF" w:rsidRDefault="005360AF" w:rsidP="0008767B">
            <w:pPr>
              <w:pStyle w:val="TableParagraph"/>
              <w:numPr>
                <w:ilvl w:val="0"/>
                <w:numId w:val="81"/>
              </w:numPr>
              <w:spacing w:before="4" w:line="278" w:lineRule="auto"/>
              <w:ind w:right="205"/>
              <w:jc w:val="both"/>
              <w:rPr>
                <w:rFonts w:ascii="Century Gothic" w:hAnsi="Century Gothic"/>
                <w:sz w:val="14"/>
                <w:szCs w:val="14"/>
                <w:lang w:val="es-US"/>
              </w:rPr>
            </w:pPr>
            <w:r w:rsidRPr="005360AF">
              <w:rPr>
                <w:rFonts w:ascii="Century Gothic" w:hAnsi="Century Gothic"/>
                <w:sz w:val="14"/>
                <w:szCs w:val="14"/>
                <w:lang w:val="es-US"/>
              </w:rPr>
              <w:t>Formulación de estándares, protocolos y normas técnicas de actuación policial.</w:t>
            </w:r>
          </w:p>
          <w:p w14:paraId="5B1731E7" w14:textId="77777777" w:rsidR="005360AF" w:rsidRPr="005360AF" w:rsidRDefault="005360AF" w:rsidP="0008767B">
            <w:pPr>
              <w:pStyle w:val="TableParagraph"/>
              <w:numPr>
                <w:ilvl w:val="0"/>
                <w:numId w:val="81"/>
              </w:numPr>
              <w:spacing w:before="4" w:line="278" w:lineRule="auto"/>
              <w:ind w:right="205"/>
              <w:jc w:val="both"/>
              <w:rPr>
                <w:rFonts w:ascii="Century Gothic" w:hAnsi="Century Gothic"/>
                <w:sz w:val="14"/>
                <w:szCs w:val="14"/>
                <w:lang w:val="es-US"/>
              </w:rPr>
            </w:pPr>
            <w:r w:rsidRPr="005360AF">
              <w:rPr>
                <w:rFonts w:ascii="Century Gothic" w:hAnsi="Century Gothic"/>
                <w:sz w:val="14"/>
                <w:szCs w:val="14"/>
                <w:lang w:val="es-US"/>
              </w:rPr>
              <w:t>Desarrollo de sistemas de evaluación del desempeño policial.</w:t>
            </w:r>
          </w:p>
          <w:p w14:paraId="23E24D3A" w14:textId="77777777" w:rsidR="005360AF" w:rsidRPr="005360AF" w:rsidRDefault="005360AF" w:rsidP="0008767B">
            <w:pPr>
              <w:pStyle w:val="TableParagraph"/>
              <w:numPr>
                <w:ilvl w:val="0"/>
                <w:numId w:val="81"/>
              </w:numPr>
              <w:spacing w:before="4" w:line="278" w:lineRule="auto"/>
              <w:ind w:right="205"/>
              <w:jc w:val="both"/>
              <w:rPr>
                <w:rFonts w:ascii="Century Gothic" w:hAnsi="Century Gothic"/>
                <w:sz w:val="14"/>
                <w:szCs w:val="14"/>
                <w:lang w:val="es-US"/>
              </w:rPr>
            </w:pPr>
            <w:r w:rsidRPr="005360AF">
              <w:rPr>
                <w:rFonts w:ascii="Century Gothic" w:hAnsi="Century Gothic"/>
                <w:sz w:val="14"/>
                <w:szCs w:val="14"/>
                <w:lang w:val="es-US"/>
              </w:rPr>
              <w:t>Establecimiento de mecanismos de coordinación entre las instituciones de seguridad pública.</w:t>
            </w:r>
          </w:p>
          <w:p w14:paraId="3BB96989" w14:textId="77777777" w:rsidR="005360AF" w:rsidRPr="005360AF" w:rsidRDefault="005360AF" w:rsidP="0008767B">
            <w:pPr>
              <w:pStyle w:val="TableParagraph"/>
              <w:numPr>
                <w:ilvl w:val="0"/>
                <w:numId w:val="81"/>
              </w:numPr>
              <w:spacing w:before="4" w:line="278" w:lineRule="auto"/>
              <w:ind w:right="205"/>
              <w:jc w:val="both"/>
              <w:rPr>
                <w:rFonts w:ascii="Century Gothic" w:hAnsi="Century Gothic"/>
                <w:sz w:val="14"/>
                <w:szCs w:val="14"/>
              </w:rPr>
            </w:pPr>
            <w:r w:rsidRPr="005360AF">
              <w:rPr>
                <w:rFonts w:ascii="Century Gothic" w:hAnsi="Century Gothic"/>
                <w:sz w:val="14"/>
                <w:szCs w:val="14"/>
                <w:lang w:val="es-US"/>
              </w:rPr>
              <w:t>Establecimiento de compromisos y responsabilidades entre las instituciones de seguridad pública</w:t>
            </w:r>
          </w:p>
        </w:tc>
      </w:tr>
      <w:tr w:rsidR="005360AF" w:rsidRPr="005360AF" w14:paraId="33A303A2" w14:textId="77777777" w:rsidTr="005360AF">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874" w:type="pct"/>
          </w:tcPr>
          <w:p w14:paraId="07E58A4E" w14:textId="77777777" w:rsidR="005360AF" w:rsidRPr="005360AF" w:rsidRDefault="005360AF" w:rsidP="00CF14B0">
            <w:pPr>
              <w:pStyle w:val="TableParagraph"/>
              <w:spacing w:before="149" w:line="276" w:lineRule="auto"/>
              <w:ind w:right="721"/>
              <w:jc w:val="both"/>
              <w:rPr>
                <w:rFonts w:ascii="Century Gothic" w:hAnsi="Century Gothic"/>
                <w:sz w:val="14"/>
                <w:szCs w:val="14"/>
              </w:rPr>
            </w:pPr>
            <w:r w:rsidRPr="005360AF">
              <w:rPr>
                <w:rFonts w:ascii="Century Gothic" w:hAnsi="Century Gothic"/>
                <w:sz w:val="14"/>
                <w:szCs w:val="14"/>
              </w:rPr>
              <w:t>Acceso a la justicia y Sistema Penitenciario</w:t>
            </w:r>
          </w:p>
        </w:tc>
        <w:tc>
          <w:tcPr>
            <w:cnfStyle w:val="000010000000" w:firstRow="0" w:lastRow="0" w:firstColumn="0" w:lastColumn="0" w:oddVBand="1" w:evenVBand="0" w:oddHBand="0" w:evenHBand="0" w:firstRowFirstColumn="0" w:firstRowLastColumn="0" w:lastRowFirstColumn="0" w:lastRowLastColumn="0"/>
            <w:tcW w:w="1908" w:type="pct"/>
          </w:tcPr>
          <w:p w14:paraId="0BF78FC8" w14:textId="77777777" w:rsidR="005360AF" w:rsidRPr="005360AF" w:rsidRDefault="005360AF" w:rsidP="00CF14B0">
            <w:pPr>
              <w:pStyle w:val="TableParagraph"/>
              <w:spacing w:line="278" w:lineRule="auto"/>
              <w:ind w:left="108" w:right="203"/>
              <w:jc w:val="both"/>
              <w:rPr>
                <w:rFonts w:ascii="Century Gothic" w:hAnsi="Century Gothic"/>
                <w:bCs/>
                <w:sz w:val="14"/>
                <w:szCs w:val="14"/>
              </w:rPr>
            </w:pPr>
            <w:r w:rsidRPr="005360AF">
              <w:rPr>
                <w:rFonts w:ascii="Century Gothic" w:hAnsi="Century Gothic"/>
                <w:bCs/>
                <w:sz w:val="14"/>
                <w:szCs w:val="14"/>
              </w:rPr>
              <w:t xml:space="preserve">El conflicto, es parte inherente del ser humano y la consecuencia de la convivencia diaria y de la pluralidad de ideologías, de tal manera que nos hemos enfocado en apostar por mecanismos que procuren la paz y faciliten alternativas para solucionar problemas de la vida diaria. </w:t>
            </w:r>
          </w:p>
          <w:p w14:paraId="33539D09" w14:textId="77777777" w:rsidR="005360AF" w:rsidRPr="005360AF" w:rsidRDefault="005360AF" w:rsidP="00CF14B0">
            <w:pPr>
              <w:pStyle w:val="TableParagraph"/>
              <w:spacing w:line="278" w:lineRule="auto"/>
              <w:ind w:left="108" w:right="203"/>
              <w:jc w:val="both"/>
              <w:rPr>
                <w:rFonts w:ascii="Century Gothic" w:hAnsi="Century Gothic"/>
                <w:sz w:val="14"/>
                <w:szCs w:val="14"/>
              </w:rPr>
            </w:pPr>
          </w:p>
        </w:tc>
        <w:tc>
          <w:tcPr>
            <w:cnfStyle w:val="000100000000" w:firstRow="0" w:lastRow="0" w:firstColumn="0" w:lastColumn="1" w:oddVBand="0" w:evenVBand="0" w:oddHBand="0" w:evenHBand="0" w:firstRowFirstColumn="0" w:firstRowLastColumn="0" w:lastRowFirstColumn="0" w:lastRowLastColumn="0"/>
            <w:tcW w:w="2218" w:type="pct"/>
          </w:tcPr>
          <w:p w14:paraId="29BC30A5" w14:textId="77777777" w:rsidR="005360AF" w:rsidRPr="005360AF" w:rsidRDefault="005360AF" w:rsidP="00CF14B0">
            <w:pPr>
              <w:pStyle w:val="TableParagraph"/>
              <w:spacing w:before="22" w:line="278" w:lineRule="auto"/>
              <w:ind w:right="207"/>
              <w:jc w:val="both"/>
              <w:rPr>
                <w:rFonts w:ascii="Century Gothic" w:hAnsi="Century Gothic"/>
                <w:sz w:val="14"/>
                <w:szCs w:val="14"/>
              </w:rPr>
            </w:pPr>
            <w:r w:rsidRPr="005360AF">
              <w:rPr>
                <w:rFonts w:ascii="Century Gothic" w:hAnsi="Century Gothic"/>
                <w:sz w:val="14"/>
                <w:szCs w:val="14"/>
              </w:rPr>
              <w:t>Favorecer la inserción social de los sectores más desprotegidos o en condiciones</w:t>
            </w:r>
            <w:r w:rsidRPr="005360AF">
              <w:rPr>
                <w:rFonts w:ascii="Century Gothic" w:hAnsi="Century Gothic"/>
                <w:sz w:val="14"/>
                <w:szCs w:val="14"/>
              </w:rPr>
              <w:tab/>
              <w:t>de vulnerabilidad y desarrollando procesos de mediación voluntaria para la resolución de conflictos vecinales.</w:t>
            </w:r>
          </w:p>
        </w:tc>
      </w:tr>
      <w:tr w:rsidR="005360AF" w:rsidRPr="005360AF" w14:paraId="0A8F6679" w14:textId="77777777" w:rsidTr="005360AF">
        <w:trPr>
          <w:cnfStyle w:val="010000000000" w:firstRow="0" w:lastRow="1"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874" w:type="pct"/>
          </w:tcPr>
          <w:p w14:paraId="0FCF2197" w14:textId="77777777" w:rsidR="005360AF" w:rsidRPr="005360AF" w:rsidRDefault="005360AF" w:rsidP="00CF14B0">
            <w:pPr>
              <w:pStyle w:val="TableParagraph"/>
              <w:spacing w:before="2" w:line="280" w:lineRule="auto"/>
              <w:ind w:right="721"/>
              <w:jc w:val="both"/>
              <w:rPr>
                <w:rFonts w:ascii="Century Gothic" w:hAnsi="Century Gothic"/>
                <w:sz w:val="14"/>
                <w:szCs w:val="14"/>
              </w:rPr>
            </w:pPr>
            <w:r w:rsidRPr="005360AF">
              <w:rPr>
                <w:rFonts w:ascii="Century Gothic" w:hAnsi="Century Gothic"/>
                <w:sz w:val="14"/>
                <w:szCs w:val="14"/>
              </w:rPr>
              <w:t>Gestión integral de riesgos y protección civil</w:t>
            </w:r>
          </w:p>
        </w:tc>
        <w:tc>
          <w:tcPr>
            <w:cnfStyle w:val="000010000000" w:firstRow="0" w:lastRow="0" w:firstColumn="0" w:lastColumn="0" w:oddVBand="1" w:evenVBand="0" w:oddHBand="0" w:evenHBand="0" w:firstRowFirstColumn="0" w:firstRowLastColumn="0" w:lastRowFirstColumn="0" w:lastRowLastColumn="0"/>
            <w:tcW w:w="1908" w:type="pct"/>
          </w:tcPr>
          <w:p w14:paraId="18485920" w14:textId="77777777" w:rsidR="005360AF" w:rsidRPr="005360AF" w:rsidRDefault="005360AF" w:rsidP="00CF14B0">
            <w:pPr>
              <w:pStyle w:val="TableParagraph"/>
              <w:spacing w:before="2" w:line="278" w:lineRule="auto"/>
              <w:ind w:left="108" w:right="208"/>
              <w:jc w:val="both"/>
              <w:rPr>
                <w:rFonts w:ascii="Century Gothic" w:hAnsi="Century Gothic"/>
                <w:sz w:val="14"/>
                <w:szCs w:val="14"/>
                <w:lang w:val="es-MX"/>
              </w:rPr>
            </w:pPr>
            <w:r w:rsidRPr="005360AF">
              <w:rPr>
                <w:rFonts w:ascii="Century Gothic" w:hAnsi="Century Gothic"/>
                <w:sz w:val="14"/>
                <w:szCs w:val="14"/>
                <w:lang w:val="es-MX"/>
              </w:rPr>
              <w:t>Contamos con un Atlas de Riego actualizado, que nos permite anticiparnos a eventos adversos, optimizar recursos y fomentar la resiliencia de la comunidad, mejorando la capacidad de respuesta ante emergencias y reduciendo los impactos negativos en la calidad de vida de los habitantes del municipio.</w:t>
            </w:r>
          </w:p>
          <w:p w14:paraId="2A8FEE1A" w14:textId="77777777" w:rsidR="005360AF" w:rsidRPr="005360AF" w:rsidRDefault="005360AF" w:rsidP="00CF14B0">
            <w:pPr>
              <w:pStyle w:val="TableParagraph"/>
              <w:spacing w:before="2" w:line="278" w:lineRule="auto"/>
              <w:ind w:left="108" w:right="208"/>
              <w:jc w:val="both"/>
              <w:rPr>
                <w:rFonts w:ascii="Century Gothic" w:hAnsi="Century Gothic"/>
                <w:sz w:val="14"/>
                <w:szCs w:val="14"/>
              </w:rPr>
            </w:pPr>
          </w:p>
        </w:tc>
        <w:tc>
          <w:tcPr>
            <w:cnfStyle w:val="000100000000" w:firstRow="0" w:lastRow="0" w:firstColumn="0" w:lastColumn="1" w:oddVBand="0" w:evenVBand="0" w:oddHBand="0" w:evenHBand="0" w:firstRowFirstColumn="0" w:firstRowLastColumn="0" w:lastRowFirstColumn="0" w:lastRowLastColumn="0"/>
            <w:tcW w:w="2218" w:type="pct"/>
          </w:tcPr>
          <w:p w14:paraId="6EAE2E3D" w14:textId="77777777" w:rsidR="005360AF" w:rsidRPr="005360AF" w:rsidRDefault="005360AF" w:rsidP="00CF14B0">
            <w:pPr>
              <w:pStyle w:val="TableParagraph"/>
              <w:spacing w:before="1"/>
              <w:jc w:val="both"/>
              <w:rPr>
                <w:rFonts w:ascii="Century Gothic" w:hAnsi="Century Gothic"/>
                <w:bCs w:val="0"/>
                <w:w w:val="95"/>
                <w:sz w:val="14"/>
                <w:szCs w:val="14"/>
                <w:lang w:val="es-MX"/>
              </w:rPr>
            </w:pPr>
            <w:r w:rsidRPr="005360AF">
              <w:rPr>
                <w:rFonts w:ascii="Century Gothic" w:hAnsi="Century Gothic"/>
                <w:w w:val="95"/>
                <w:sz w:val="14"/>
                <w:szCs w:val="14"/>
                <w:lang w:val="es-MX"/>
              </w:rPr>
              <w:t>Promover la seguridad, el bienestar y el desarrollo sostenible de San Antonio la Isla, garantizando que la comunidad pueda enfrentar con eficacia los retos asociados a los riesgos y, de ser posible, reducir la probabilidad de su ocurrencia o minimizar sus consecuencias.</w:t>
            </w:r>
          </w:p>
          <w:p w14:paraId="2B30CF59" w14:textId="77777777" w:rsidR="005360AF" w:rsidRPr="005360AF" w:rsidRDefault="005360AF" w:rsidP="00CF14B0">
            <w:pPr>
              <w:pStyle w:val="TableParagraph"/>
              <w:spacing w:before="1"/>
              <w:ind w:left="107"/>
              <w:jc w:val="both"/>
              <w:rPr>
                <w:rFonts w:ascii="Century Gothic" w:hAnsi="Century Gothic"/>
                <w:sz w:val="14"/>
                <w:szCs w:val="14"/>
              </w:rPr>
            </w:pPr>
          </w:p>
        </w:tc>
      </w:tr>
    </w:tbl>
    <w:p w14:paraId="22A3B7D2" w14:textId="7FE8AB18" w:rsidR="005360AF" w:rsidRDefault="005360AF" w:rsidP="004A7C99">
      <w:pPr>
        <w:spacing w:after="160" w:line="360" w:lineRule="auto"/>
        <w:rPr>
          <w:rFonts w:ascii="Century Gothic" w:eastAsiaTheme="minorHAnsi" w:hAnsi="Century Gothic"/>
          <w:sz w:val="22"/>
          <w:szCs w:val="22"/>
        </w:rPr>
      </w:pPr>
    </w:p>
    <w:p w14:paraId="1BF8AC9C" w14:textId="77777777" w:rsidR="005360AF" w:rsidRDefault="005360AF">
      <w:pPr>
        <w:rPr>
          <w:rFonts w:ascii="Century Gothic" w:eastAsiaTheme="minorHAnsi" w:hAnsi="Century Gothic"/>
          <w:sz w:val="22"/>
          <w:szCs w:val="22"/>
        </w:rPr>
      </w:pPr>
      <w:r>
        <w:rPr>
          <w:rFonts w:ascii="Century Gothic" w:eastAsiaTheme="minorHAnsi" w:hAnsi="Century Gothic"/>
          <w:sz w:val="22"/>
          <w:szCs w:val="22"/>
        </w:rPr>
        <w:br w:type="page"/>
      </w:r>
    </w:p>
    <w:p w14:paraId="00EB66F9" w14:textId="77777777" w:rsidR="00393302" w:rsidRDefault="00393302" w:rsidP="004A7C99">
      <w:pPr>
        <w:spacing w:after="160" w:line="360" w:lineRule="auto"/>
        <w:rPr>
          <w:rFonts w:ascii="Century Gothic" w:eastAsiaTheme="minorHAnsi" w:hAnsi="Century Gothic"/>
          <w:sz w:val="22"/>
          <w:szCs w:val="22"/>
        </w:rPr>
        <w:sectPr w:rsidR="00393302" w:rsidSect="00555985">
          <w:pgSz w:w="15840" w:h="12240" w:orient="landscape"/>
          <w:pgMar w:top="1440" w:right="1440" w:bottom="1440" w:left="1440" w:header="709" w:footer="709" w:gutter="0"/>
          <w:cols w:space="708"/>
          <w:docGrid w:linePitch="360"/>
        </w:sectPr>
      </w:pPr>
    </w:p>
    <w:p w14:paraId="1E649305" w14:textId="19AA9D39" w:rsidR="00393302" w:rsidRPr="00393302" w:rsidRDefault="00393302" w:rsidP="00393302">
      <w:pPr>
        <w:spacing w:after="160" w:line="259" w:lineRule="auto"/>
        <w:jc w:val="both"/>
        <w:rPr>
          <w:rFonts w:ascii="Corbel" w:hAnsi="Corbel"/>
          <w:b/>
          <w:color w:val="025850"/>
          <w:sz w:val="22"/>
          <w:szCs w:val="22"/>
        </w:rPr>
      </w:pPr>
      <w:r w:rsidRPr="00393302">
        <w:rPr>
          <w:rFonts w:ascii="Corbel" w:hAnsi="Corbel"/>
          <w:b/>
          <w:color w:val="025850"/>
          <w:sz w:val="22"/>
          <w:szCs w:val="22"/>
        </w:rPr>
        <w:lastRenderedPageBreak/>
        <w:t>Instrumentación Estratégica</w:t>
      </w:r>
    </w:p>
    <w:p w14:paraId="1368EA7B"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b/>
          <w:color w:val="025850"/>
          <w:sz w:val="22"/>
          <w:szCs w:val="22"/>
        </w:rPr>
        <w:t>Objetivo:</w:t>
      </w:r>
      <w:r w:rsidRPr="00393302">
        <w:rPr>
          <w:rFonts w:ascii="Century Gothic" w:hAnsi="Century Gothic"/>
          <w:color w:val="025850"/>
          <w:sz w:val="22"/>
          <w:szCs w:val="22"/>
        </w:rPr>
        <w:t xml:space="preserve"> </w:t>
      </w:r>
    </w:p>
    <w:p w14:paraId="3AF824FC"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 xml:space="preserve">T2.1 Identificar los factores generadores de la violencia y reparar el tejido social de forma transversal y coordinada. </w:t>
      </w:r>
    </w:p>
    <w:p w14:paraId="5CAFA924"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b/>
          <w:color w:val="025850"/>
          <w:sz w:val="22"/>
          <w:szCs w:val="22"/>
        </w:rPr>
        <w:t>Estrategia:</w:t>
      </w:r>
      <w:r w:rsidRPr="00393302">
        <w:rPr>
          <w:rFonts w:ascii="Century Gothic" w:hAnsi="Century Gothic"/>
          <w:color w:val="025850"/>
          <w:sz w:val="22"/>
          <w:szCs w:val="22"/>
        </w:rPr>
        <w:t xml:space="preserve"> </w:t>
      </w:r>
    </w:p>
    <w:p w14:paraId="59F8C2DC"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T2.1.1Promover una cultura de paz, respeto y convivencia pacífica, así como crear condiciones para prevenir y abordar la violencia en todas sus formas.</w:t>
      </w:r>
    </w:p>
    <w:p w14:paraId="55FF943A" w14:textId="7901FD95" w:rsidR="00393302" w:rsidRPr="00393302" w:rsidRDefault="00393302" w:rsidP="00393302">
      <w:pPr>
        <w:spacing w:line="360" w:lineRule="auto"/>
        <w:jc w:val="both"/>
        <w:rPr>
          <w:rFonts w:ascii="Century Gothic" w:hAnsi="Century Gothic"/>
          <w:b/>
          <w:bCs/>
          <w:color w:val="025850"/>
          <w:sz w:val="22"/>
          <w:szCs w:val="22"/>
        </w:rPr>
      </w:pPr>
      <w:r w:rsidRPr="00393302">
        <w:rPr>
          <w:rFonts w:ascii="Century Gothic" w:hAnsi="Century Gothic"/>
          <w:b/>
          <w:bCs/>
          <w:color w:val="025850"/>
          <w:sz w:val="22"/>
          <w:szCs w:val="22"/>
        </w:rPr>
        <w:t>Líneas de acción:</w:t>
      </w:r>
    </w:p>
    <w:p w14:paraId="48E66AEF"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T2.1.1.1 Efectuar sesiones del Consejo Municipal </w:t>
      </w:r>
    </w:p>
    <w:p w14:paraId="4AA121F3"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T2.1.1.2 Presentar a infractores por faltas administrativas y delitos </w:t>
      </w:r>
    </w:p>
    <w:p w14:paraId="22A039ED"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T2.1.1.3 Realizar operativos de seguridad pública</w:t>
      </w:r>
    </w:p>
    <w:p w14:paraId="77DAF9FC"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T2.1.1.4 Dar seguimiento a las actividades de la Cédula de Género y Atención a Victimas</w:t>
      </w:r>
    </w:p>
    <w:p w14:paraId="26B51DED"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b/>
          <w:color w:val="025850"/>
          <w:sz w:val="22"/>
          <w:szCs w:val="22"/>
        </w:rPr>
        <w:t>Estrategia:</w:t>
      </w:r>
      <w:r w:rsidRPr="00393302">
        <w:rPr>
          <w:rFonts w:ascii="Century Gothic" w:hAnsi="Century Gothic"/>
          <w:color w:val="025850"/>
          <w:sz w:val="22"/>
          <w:szCs w:val="22"/>
        </w:rPr>
        <w:t xml:space="preserve"> </w:t>
      </w:r>
    </w:p>
    <w:p w14:paraId="0D49DDCD"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T2.1.2Resolver problemas de la comunidad por medio de la justicia cívica, así como coadyuvar en el acceso a la justicia de las víctimas del delito y violencia de género.</w:t>
      </w:r>
    </w:p>
    <w:p w14:paraId="65CEA6A3" w14:textId="77777777" w:rsidR="00393302" w:rsidRPr="00393302" w:rsidRDefault="00393302" w:rsidP="00393302">
      <w:pPr>
        <w:spacing w:line="360" w:lineRule="auto"/>
        <w:jc w:val="both"/>
        <w:rPr>
          <w:rFonts w:ascii="Century Gothic" w:hAnsi="Century Gothic"/>
          <w:b/>
          <w:bCs/>
          <w:color w:val="025850"/>
          <w:sz w:val="22"/>
          <w:szCs w:val="22"/>
        </w:rPr>
      </w:pPr>
      <w:r w:rsidRPr="00393302">
        <w:rPr>
          <w:rFonts w:ascii="Century Gothic" w:hAnsi="Century Gothic"/>
          <w:b/>
          <w:bCs/>
          <w:color w:val="025850"/>
          <w:sz w:val="22"/>
          <w:szCs w:val="22"/>
        </w:rPr>
        <w:t>Líneas de acciones:</w:t>
      </w:r>
    </w:p>
    <w:p w14:paraId="43DB98A7"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T2.1.2.1 Atención y asesoría a la ciudadanía para redimir los conflictos de orden vecinal</w:t>
      </w:r>
    </w:p>
    <w:p w14:paraId="5A7C058D"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T2.1.2.2 Canalizaciones a instancias jurisdiccionales en los casos que se requieran  </w:t>
      </w:r>
    </w:p>
    <w:p w14:paraId="62EDC59E"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T2.1.2.3 Expedición de actas informativas</w:t>
      </w:r>
    </w:p>
    <w:p w14:paraId="56C31E9B"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T2.1.2.4 Realización de convenios y actas de mutuo respeto escritas</w:t>
      </w:r>
    </w:p>
    <w:p w14:paraId="167A02D8"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T2.1.2.5 Emisión de diferentes constancias</w:t>
      </w:r>
    </w:p>
    <w:p w14:paraId="61CBC679"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T2.1.2.6 Citación a las partes en conflicto</w:t>
      </w:r>
    </w:p>
    <w:p w14:paraId="05E325DE" w14:textId="7BDBD39C"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T2.1.2.7 Expedición de recibos por los trámites realizados</w:t>
      </w:r>
    </w:p>
    <w:p w14:paraId="76306886" w14:textId="77777777" w:rsidR="00393302" w:rsidRPr="00393302" w:rsidRDefault="00393302" w:rsidP="00393302">
      <w:pPr>
        <w:spacing w:line="360" w:lineRule="auto"/>
        <w:jc w:val="both"/>
        <w:rPr>
          <w:rFonts w:ascii="Century Gothic" w:hAnsi="Century Gothic"/>
          <w:color w:val="025850"/>
          <w:sz w:val="22"/>
          <w:szCs w:val="22"/>
        </w:rPr>
      </w:pPr>
      <w:bookmarkStart w:id="16" w:name="_Hlk188348045"/>
      <w:r w:rsidRPr="00393302">
        <w:rPr>
          <w:rFonts w:ascii="Century Gothic" w:hAnsi="Century Gothic"/>
          <w:b/>
          <w:color w:val="025850"/>
          <w:sz w:val="22"/>
          <w:szCs w:val="22"/>
        </w:rPr>
        <w:t>Objetivo:</w:t>
      </w:r>
      <w:r w:rsidRPr="00393302">
        <w:rPr>
          <w:rFonts w:ascii="Century Gothic" w:hAnsi="Century Gothic"/>
          <w:color w:val="025850"/>
          <w:sz w:val="22"/>
          <w:szCs w:val="22"/>
        </w:rPr>
        <w:t xml:space="preserve"> </w:t>
      </w:r>
    </w:p>
    <w:p w14:paraId="3A26C355"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T2.2 Fortalecer las capacidades de los elementos de seguridad del municipio.</w:t>
      </w:r>
    </w:p>
    <w:p w14:paraId="7C206805"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color w:val="025850"/>
          <w:sz w:val="22"/>
          <w:szCs w:val="22"/>
        </w:rPr>
        <w:t xml:space="preserve"> </w:t>
      </w:r>
      <w:r w:rsidRPr="00393302">
        <w:rPr>
          <w:rFonts w:ascii="Century Gothic" w:hAnsi="Century Gothic"/>
          <w:b/>
          <w:color w:val="025850"/>
          <w:sz w:val="22"/>
          <w:szCs w:val="22"/>
        </w:rPr>
        <w:t>Estrategia:</w:t>
      </w:r>
      <w:r w:rsidRPr="00393302">
        <w:rPr>
          <w:rFonts w:ascii="Century Gothic" w:hAnsi="Century Gothic"/>
          <w:color w:val="025850"/>
          <w:sz w:val="22"/>
          <w:szCs w:val="22"/>
        </w:rPr>
        <w:t xml:space="preserve"> </w:t>
      </w:r>
    </w:p>
    <w:p w14:paraId="02438759"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T2.2.1 Incrementar el número de policías, mejor capacitados y equipados, bien remunerados, disuadiendo y erradicando la corrupción.</w:t>
      </w:r>
    </w:p>
    <w:p w14:paraId="54CE5081" w14:textId="77777777" w:rsidR="00393302" w:rsidRDefault="00393302" w:rsidP="00393302">
      <w:pPr>
        <w:spacing w:line="360" w:lineRule="auto"/>
        <w:jc w:val="both"/>
        <w:rPr>
          <w:rFonts w:ascii="Century Gothic" w:hAnsi="Century Gothic"/>
          <w:b/>
          <w:bCs/>
          <w:color w:val="025850"/>
          <w:sz w:val="22"/>
          <w:szCs w:val="22"/>
        </w:rPr>
      </w:pPr>
    </w:p>
    <w:p w14:paraId="73AC1ACD" w14:textId="3B520673" w:rsidR="00393302" w:rsidRPr="00393302" w:rsidRDefault="00393302" w:rsidP="00393302">
      <w:pPr>
        <w:spacing w:line="360" w:lineRule="auto"/>
        <w:jc w:val="both"/>
        <w:rPr>
          <w:rFonts w:ascii="Century Gothic" w:hAnsi="Century Gothic"/>
          <w:b/>
          <w:bCs/>
          <w:color w:val="025850"/>
          <w:sz w:val="22"/>
          <w:szCs w:val="22"/>
        </w:rPr>
      </w:pPr>
      <w:r w:rsidRPr="00393302">
        <w:rPr>
          <w:rFonts w:ascii="Century Gothic" w:hAnsi="Century Gothic"/>
          <w:b/>
          <w:bCs/>
          <w:color w:val="025850"/>
          <w:sz w:val="22"/>
          <w:szCs w:val="22"/>
        </w:rPr>
        <w:lastRenderedPageBreak/>
        <w:t>Líneas de acción:</w:t>
      </w:r>
    </w:p>
    <w:p w14:paraId="2C8D1087"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T2.2.1.1 Dotar de uniformes a la policía activa </w:t>
      </w:r>
    </w:p>
    <w:p w14:paraId="3ABFE4BC"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T2.2.1.2 Efectuar el mantenimiento preventivo correctivo de las patrullas </w:t>
      </w:r>
    </w:p>
    <w:p w14:paraId="6EB6C408"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T2.2.1.3 Mantener actualizado el sistema estratégico de video vigilancia </w:t>
      </w:r>
    </w:p>
    <w:p w14:paraId="748B4889"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T2.2.1.4 Aplicar examen de control y confianza </w:t>
      </w:r>
    </w:p>
    <w:p w14:paraId="1E6AA3B0"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T2.2.1.5 Efectuar la certificación única policial de elementos de seguridad pública </w:t>
      </w:r>
    </w:p>
    <w:p w14:paraId="7C164A69" w14:textId="77777777" w:rsidR="00393302" w:rsidRPr="00393302" w:rsidRDefault="00393302" w:rsidP="00393302">
      <w:pPr>
        <w:pStyle w:val="Prrafodelista"/>
        <w:spacing w:after="160" w:line="360" w:lineRule="auto"/>
        <w:jc w:val="both"/>
        <w:rPr>
          <w:rFonts w:ascii="Century Gothic" w:hAnsi="Century Gothic"/>
          <w:sz w:val="22"/>
          <w:szCs w:val="22"/>
        </w:rPr>
      </w:pPr>
      <w:r w:rsidRPr="00393302">
        <w:rPr>
          <w:rFonts w:ascii="Century Gothic" w:hAnsi="Century Gothic"/>
          <w:sz w:val="22"/>
          <w:szCs w:val="22"/>
        </w:rPr>
        <w:t xml:space="preserve">T2.2.1.6 Actualizar y capacitar a policías en materia de justicia penal </w:t>
      </w:r>
    </w:p>
    <w:bookmarkEnd w:id="16"/>
    <w:p w14:paraId="7E31962D"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b/>
          <w:color w:val="025850"/>
          <w:sz w:val="22"/>
          <w:szCs w:val="22"/>
        </w:rPr>
        <w:t>Objetivo:</w:t>
      </w:r>
      <w:r w:rsidRPr="00393302">
        <w:rPr>
          <w:rFonts w:ascii="Century Gothic" w:hAnsi="Century Gothic"/>
          <w:color w:val="025850"/>
          <w:sz w:val="22"/>
          <w:szCs w:val="22"/>
        </w:rPr>
        <w:t xml:space="preserve"> </w:t>
      </w:r>
    </w:p>
    <w:p w14:paraId="4F5B3C40"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T2.3 Contar con un Sistema de Protección Civil resiliente y adaptado a las necesidades de la comunidad, capaz de enfrentar los riesgos derivados de la ocurrencia de fenómenos perturbadores, minimizar sus efectos y acelerar la recuperación de la normalidad.</w:t>
      </w:r>
    </w:p>
    <w:p w14:paraId="7A233F7C"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b/>
          <w:color w:val="025850"/>
          <w:sz w:val="22"/>
          <w:szCs w:val="22"/>
        </w:rPr>
        <w:t>Estrategia:</w:t>
      </w:r>
      <w:r w:rsidRPr="00393302">
        <w:rPr>
          <w:rFonts w:ascii="Century Gothic" w:hAnsi="Century Gothic"/>
          <w:color w:val="025850"/>
          <w:sz w:val="22"/>
          <w:szCs w:val="22"/>
        </w:rPr>
        <w:t xml:space="preserve"> </w:t>
      </w:r>
    </w:p>
    <w:p w14:paraId="354768E4"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T2.3.1 Mitigar el impacto de fenómenos perturbadores protegiendo a la población a través de acciones coordinadas de prevención.</w:t>
      </w:r>
    </w:p>
    <w:p w14:paraId="0F8FBB96" w14:textId="77777777" w:rsidR="00393302" w:rsidRPr="00393302" w:rsidRDefault="00393302" w:rsidP="00393302">
      <w:pPr>
        <w:spacing w:line="360" w:lineRule="auto"/>
        <w:jc w:val="both"/>
        <w:rPr>
          <w:rFonts w:ascii="Century Gothic" w:hAnsi="Century Gothic"/>
          <w:color w:val="025850"/>
          <w:sz w:val="22"/>
          <w:szCs w:val="22"/>
        </w:rPr>
      </w:pPr>
      <w:r w:rsidRPr="00393302">
        <w:rPr>
          <w:rFonts w:ascii="Century Gothic" w:hAnsi="Century Gothic"/>
          <w:b/>
          <w:color w:val="025850"/>
          <w:sz w:val="22"/>
          <w:szCs w:val="22"/>
        </w:rPr>
        <w:t>Estrategia:</w:t>
      </w:r>
      <w:r w:rsidRPr="00393302">
        <w:rPr>
          <w:rFonts w:ascii="Century Gothic" w:hAnsi="Century Gothic"/>
          <w:color w:val="025850"/>
          <w:sz w:val="22"/>
          <w:szCs w:val="22"/>
        </w:rPr>
        <w:t xml:space="preserve"> </w:t>
      </w:r>
    </w:p>
    <w:p w14:paraId="181C2B48" w14:textId="77777777" w:rsidR="00393302" w:rsidRPr="00393302" w:rsidRDefault="00393302" w:rsidP="00393302">
      <w:pPr>
        <w:spacing w:line="360" w:lineRule="auto"/>
        <w:jc w:val="both"/>
        <w:rPr>
          <w:rFonts w:ascii="Century Gothic" w:hAnsi="Century Gothic"/>
          <w:sz w:val="22"/>
          <w:szCs w:val="22"/>
        </w:rPr>
      </w:pPr>
      <w:r w:rsidRPr="00393302">
        <w:rPr>
          <w:rFonts w:ascii="Century Gothic" w:hAnsi="Century Gothic"/>
          <w:sz w:val="22"/>
          <w:szCs w:val="22"/>
        </w:rPr>
        <w:t>T2.3.2 Dar atención oportuna a emergencias ocurridas en desastres naturales y antropogénicos.</w:t>
      </w:r>
    </w:p>
    <w:p w14:paraId="0BB52F11" w14:textId="77777777" w:rsidR="00393302" w:rsidRPr="00393302" w:rsidRDefault="00393302" w:rsidP="00393302">
      <w:pPr>
        <w:spacing w:line="360" w:lineRule="auto"/>
        <w:jc w:val="both"/>
        <w:rPr>
          <w:rFonts w:ascii="Century Gothic" w:hAnsi="Century Gothic"/>
          <w:b/>
          <w:bCs/>
          <w:color w:val="025850"/>
          <w:sz w:val="22"/>
          <w:szCs w:val="22"/>
        </w:rPr>
      </w:pPr>
      <w:r w:rsidRPr="00393302">
        <w:rPr>
          <w:rFonts w:ascii="Century Gothic" w:hAnsi="Century Gothic"/>
          <w:b/>
          <w:bCs/>
          <w:color w:val="025850"/>
          <w:sz w:val="22"/>
          <w:szCs w:val="22"/>
        </w:rPr>
        <w:t>Líneas de acción:</w:t>
      </w:r>
    </w:p>
    <w:p w14:paraId="40DB64B6"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 Atender emergencias prehospitalarias</w:t>
      </w:r>
    </w:p>
    <w:p w14:paraId="3BB3632C"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T2.3.2.2Atender emergencias de alto impacto del territorio</w:t>
      </w:r>
    </w:p>
    <w:p w14:paraId="6BF06CA4"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T2.3.2.3 Programar traslados a diferentes hospitales</w:t>
      </w:r>
    </w:p>
    <w:p w14:paraId="0184D1BC"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T2.3.2.4 Realizar la valoración a personas detenidas por elemento de seguridad pública</w:t>
      </w:r>
    </w:p>
    <w:p w14:paraId="5F6EBA0A"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T.2.3.2.5 Gestionar la adquisición de uniformes</w:t>
      </w:r>
    </w:p>
    <w:p w14:paraId="35E3F9EF"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T2.3.2.6 Realizar curso de prevención y combate de incendios</w:t>
      </w:r>
    </w:p>
    <w:p w14:paraId="05F82523"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T2.3.2.7 Efectuar curso de primeros auxilios</w:t>
      </w:r>
    </w:p>
    <w:p w14:paraId="1BB564FE"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 xml:space="preserve">T2.3.2.8 Efectuar curso taller “Prevención de accidentes en la escuela y el   hogar”, dirigido   a   la población infantil  </w:t>
      </w:r>
    </w:p>
    <w:p w14:paraId="18F01D5F"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T2.3.2.9 Actualizar Atlas de Riesgo Municipal</w:t>
      </w:r>
    </w:p>
    <w:p w14:paraId="4EA388B9"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T2.3.2.10 Realizar simulacros para salvaguardar la integridad de servidores públicos</w:t>
      </w:r>
    </w:p>
    <w:p w14:paraId="72C0F86C"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T2.3.2.11 Conformar brigadas de protección civil</w:t>
      </w:r>
    </w:p>
    <w:p w14:paraId="7007318E"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lastRenderedPageBreak/>
        <w:t xml:space="preserve">T2.3.2.12 Efectuar capacitación para la elaboración del Plan de Emergencia Escolar  </w:t>
      </w:r>
    </w:p>
    <w:p w14:paraId="5F050B32"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T2.3.2.13 Actualización de las brigadas de Protección Civil</w:t>
      </w:r>
    </w:p>
    <w:p w14:paraId="5F8B6BAF"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T2.3.2.14 Efectuar curso de "Prevención en Materia de Protección Civil"</w:t>
      </w:r>
    </w:p>
    <w:p w14:paraId="02AEEF58" w14:textId="77777777" w:rsidR="00393302" w:rsidRP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T2.3.2.15 Dar Seguimiento a la actualización del Atlas de Riesgos por parte del Consejo.</w:t>
      </w:r>
    </w:p>
    <w:p w14:paraId="0C20C37C" w14:textId="4B05F7D7" w:rsidR="00393302" w:rsidRDefault="00393302" w:rsidP="00393302">
      <w:pPr>
        <w:pStyle w:val="Prrafodelista"/>
        <w:spacing w:after="160" w:line="360" w:lineRule="auto"/>
        <w:rPr>
          <w:rFonts w:ascii="Century Gothic" w:hAnsi="Century Gothic"/>
          <w:sz w:val="22"/>
          <w:szCs w:val="22"/>
        </w:rPr>
      </w:pPr>
      <w:r w:rsidRPr="00393302">
        <w:rPr>
          <w:rFonts w:ascii="Century Gothic" w:hAnsi="Century Gothic"/>
          <w:sz w:val="22"/>
          <w:szCs w:val="22"/>
        </w:rPr>
        <w:t>T2.3.2.16 Efectuar la Sesión del Consejos Municipal de Protección Civil</w:t>
      </w:r>
    </w:p>
    <w:p w14:paraId="3F01C4B4" w14:textId="77777777" w:rsidR="00393302" w:rsidRDefault="00393302">
      <w:pPr>
        <w:rPr>
          <w:rFonts w:ascii="Century Gothic" w:hAnsi="Century Gothic"/>
          <w:sz w:val="22"/>
          <w:szCs w:val="22"/>
        </w:rPr>
      </w:pPr>
      <w:r>
        <w:rPr>
          <w:rFonts w:ascii="Century Gothic" w:hAnsi="Century Gothic"/>
          <w:sz w:val="22"/>
          <w:szCs w:val="22"/>
        </w:rPr>
        <w:br w:type="page"/>
      </w:r>
    </w:p>
    <w:p w14:paraId="62D9A0E8" w14:textId="77777777" w:rsidR="00393302" w:rsidRDefault="00393302" w:rsidP="00393302">
      <w:pPr>
        <w:pStyle w:val="Prrafodelista"/>
        <w:spacing w:after="160" w:line="360" w:lineRule="auto"/>
        <w:rPr>
          <w:rFonts w:ascii="Century Gothic" w:hAnsi="Century Gothic"/>
          <w:sz w:val="22"/>
          <w:szCs w:val="22"/>
        </w:rPr>
        <w:sectPr w:rsidR="00393302" w:rsidSect="00393302">
          <w:pgSz w:w="15840" w:h="12240" w:orient="landscape"/>
          <w:pgMar w:top="1440" w:right="1440" w:bottom="1440" w:left="1440" w:header="709" w:footer="709" w:gutter="0"/>
          <w:cols w:num="2" w:space="708"/>
          <w:docGrid w:linePitch="360"/>
        </w:sectPr>
      </w:pPr>
    </w:p>
    <w:p w14:paraId="386573AE" w14:textId="77777777" w:rsidR="00393302" w:rsidRPr="00393302" w:rsidRDefault="00393302" w:rsidP="00393302">
      <w:pPr>
        <w:spacing w:line="259" w:lineRule="auto"/>
        <w:rPr>
          <w:rFonts w:ascii="Corbel" w:hAnsi="Corbel"/>
          <w:b/>
          <w:color w:val="025850"/>
          <w:sz w:val="28"/>
          <w:szCs w:val="28"/>
        </w:rPr>
      </w:pPr>
      <w:bookmarkStart w:id="17" w:name="_Hlk193203965"/>
      <w:r w:rsidRPr="00393302">
        <w:rPr>
          <w:rFonts w:ascii="Corbel" w:hAnsi="Corbel"/>
          <w:b/>
          <w:color w:val="025850"/>
          <w:sz w:val="28"/>
          <w:szCs w:val="28"/>
        </w:rPr>
        <w:lastRenderedPageBreak/>
        <w:t>Metas terminales e intermedias</w:t>
      </w:r>
    </w:p>
    <w:tbl>
      <w:tblPr>
        <w:tblStyle w:val="Tablaconcuadrcula4-nfasis2"/>
        <w:tblW w:w="8828" w:type="dxa"/>
        <w:tblLook w:val="04A0" w:firstRow="1" w:lastRow="0" w:firstColumn="1" w:lastColumn="0" w:noHBand="0" w:noVBand="1"/>
      </w:tblPr>
      <w:tblGrid>
        <w:gridCol w:w="5437"/>
        <w:gridCol w:w="1552"/>
        <w:gridCol w:w="1519"/>
        <w:gridCol w:w="1294"/>
        <w:gridCol w:w="1294"/>
        <w:gridCol w:w="1294"/>
      </w:tblGrid>
      <w:tr w:rsidR="00393302" w:rsidRPr="00740752" w14:paraId="672E8EE9" w14:textId="77777777" w:rsidTr="00CF14B0">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437" w:type="dxa"/>
            <w:hideMark/>
          </w:tcPr>
          <w:bookmarkEnd w:id="17"/>
          <w:p w14:paraId="3284001B" w14:textId="77777777" w:rsidR="00393302" w:rsidRPr="00740752" w:rsidRDefault="00393302" w:rsidP="00CF14B0">
            <w:pPr>
              <w:jc w:val="center"/>
              <w:rPr>
                <w:rFonts w:ascii="Calibri" w:eastAsia="Times New Roman" w:hAnsi="Calibri" w:cs="Calibri"/>
                <w:lang w:eastAsia="es-MX"/>
              </w:rPr>
            </w:pPr>
            <w:r w:rsidRPr="00740752">
              <w:rPr>
                <w:rFonts w:ascii="Calibri" w:eastAsia="Times New Roman" w:hAnsi="Calibri" w:cs="Calibri"/>
                <w:lang w:eastAsia="es-MX"/>
              </w:rPr>
              <w:t>Meta por Actividad</w:t>
            </w:r>
          </w:p>
        </w:tc>
        <w:tc>
          <w:tcPr>
            <w:tcW w:w="781" w:type="dxa"/>
            <w:hideMark/>
          </w:tcPr>
          <w:p w14:paraId="0D04E56D" w14:textId="77777777" w:rsidR="00393302" w:rsidRPr="00740752" w:rsidRDefault="00393302" w:rsidP="00CF14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Unidad de Medida</w:t>
            </w:r>
          </w:p>
        </w:tc>
        <w:tc>
          <w:tcPr>
            <w:tcW w:w="744" w:type="dxa"/>
            <w:hideMark/>
          </w:tcPr>
          <w:p w14:paraId="0FE2435E" w14:textId="77777777" w:rsidR="00393302" w:rsidRPr="00740752" w:rsidRDefault="00393302" w:rsidP="00CF14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Total, de Metas Programadas durante la administración</w:t>
            </w:r>
          </w:p>
        </w:tc>
        <w:tc>
          <w:tcPr>
            <w:tcW w:w="622" w:type="dxa"/>
            <w:hideMark/>
          </w:tcPr>
          <w:p w14:paraId="763F2C89" w14:textId="77777777" w:rsidR="00393302" w:rsidRPr="00740752" w:rsidRDefault="00393302" w:rsidP="00CF14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Programado 2025</w:t>
            </w:r>
          </w:p>
        </w:tc>
        <w:tc>
          <w:tcPr>
            <w:tcW w:w="622" w:type="dxa"/>
            <w:hideMark/>
          </w:tcPr>
          <w:p w14:paraId="709C773B" w14:textId="77777777" w:rsidR="00393302" w:rsidRPr="00740752" w:rsidRDefault="00393302" w:rsidP="00CF14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Programado 2026</w:t>
            </w:r>
          </w:p>
        </w:tc>
        <w:tc>
          <w:tcPr>
            <w:tcW w:w="622" w:type="dxa"/>
            <w:hideMark/>
          </w:tcPr>
          <w:p w14:paraId="3D970F31" w14:textId="77777777" w:rsidR="00393302" w:rsidRPr="00740752" w:rsidRDefault="00393302" w:rsidP="00CF14B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Programado 2027</w:t>
            </w:r>
          </w:p>
        </w:tc>
      </w:tr>
      <w:tr w:rsidR="00393302" w:rsidRPr="00740752" w14:paraId="2B52F7FB"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002D5EC2"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Atención y asesoría a la ciudadanía para redimir los conflictos de orden vecinal MEDIACIONES Y CONCILIACIONES</w:t>
            </w:r>
          </w:p>
        </w:tc>
        <w:tc>
          <w:tcPr>
            <w:tcW w:w="781" w:type="dxa"/>
            <w:noWrap/>
            <w:hideMark/>
          </w:tcPr>
          <w:p w14:paraId="6798F158"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Asesoría</w:t>
            </w:r>
          </w:p>
        </w:tc>
        <w:tc>
          <w:tcPr>
            <w:tcW w:w="744" w:type="dxa"/>
            <w:noWrap/>
            <w:hideMark/>
          </w:tcPr>
          <w:p w14:paraId="716FB800"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4290</w:t>
            </w:r>
          </w:p>
        </w:tc>
        <w:tc>
          <w:tcPr>
            <w:tcW w:w="622" w:type="dxa"/>
            <w:noWrap/>
            <w:hideMark/>
          </w:tcPr>
          <w:p w14:paraId="65F2C9F7"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1430</w:t>
            </w:r>
          </w:p>
        </w:tc>
        <w:tc>
          <w:tcPr>
            <w:tcW w:w="622" w:type="dxa"/>
            <w:noWrap/>
            <w:hideMark/>
          </w:tcPr>
          <w:p w14:paraId="2E3AED36"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1430</w:t>
            </w:r>
          </w:p>
        </w:tc>
        <w:tc>
          <w:tcPr>
            <w:tcW w:w="622" w:type="dxa"/>
            <w:noWrap/>
            <w:hideMark/>
          </w:tcPr>
          <w:p w14:paraId="25AAFA5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1430</w:t>
            </w:r>
          </w:p>
        </w:tc>
      </w:tr>
      <w:tr w:rsidR="00393302" w:rsidRPr="00740752" w14:paraId="47171179"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2900353F"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Canalizaciones a instancias jurisdiccionales en los casos que se requieran  </w:t>
            </w:r>
          </w:p>
        </w:tc>
        <w:tc>
          <w:tcPr>
            <w:tcW w:w="781" w:type="dxa"/>
            <w:noWrap/>
            <w:hideMark/>
          </w:tcPr>
          <w:p w14:paraId="08077C4B"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Canalización</w:t>
            </w:r>
          </w:p>
        </w:tc>
        <w:tc>
          <w:tcPr>
            <w:tcW w:w="744" w:type="dxa"/>
            <w:noWrap/>
            <w:hideMark/>
          </w:tcPr>
          <w:p w14:paraId="22380AE3"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1320</w:t>
            </w:r>
          </w:p>
        </w:tc>
        <w:tc>
          <w:tcPr>
            <w:tcW w:w="622" w:type="dxa"/>
            <w:noWrap/>
            <w:hideMark/>
          </w:tcPr>
          <w:p w14:paraId="5B065E6F"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440</w:t>
            </w:r>
          </w:p>
        </w:tc>
        <w:tc>
          <w:tcPr>
            <w:tcW w:w="622" w:type="dxa"/>
            <w:noWrap/>
            <w:hideMark/>
          </w:tcPr>
          <w:p w14:paraId="1E61BC77"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440</w:t>
            </w:r>
          </w:p>
        </w:tc>
        <w:tc>
          <w:tcPr>
            <w:tcW w:w="622" w:type="dxa"/>
            <w:noWrap/>
            <w:hideMark/>
          </w:tcPr>
          <w:p w14:paraId="2687E98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440</w:t>
            </w:r>
          </w:p>
        </w:tc>
      </w:tr>
      <w:tr w:rsidR="00393302" w:rsidRPr="00740752" w14:paraId="17C1ADED"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5B062D97"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Expedición de actas informativas</w:t>
            </w:r>
          </w:p>
        </w:tc>
        <w:tc>
          <w:tcPr>
            <w:tcW w:w="781" w:type="dxa"/>
            <w:noWrap/>
            <w:hideMark/>
          </w:tcPr>
          <w:p w14:paraId="170FE382"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Actas</w:t>
            </w:r>
          </w:p>
        </w:tc>
        <w:tc>
          <w:tcPr>
            <w:tcW w:w="744" w:type="dxa"/>
            <w:noWrap/>
            <w:hideMark/>
          </w:tcPr>
          <w:p w14:paraId="5797AA0C"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666</w:t>
            </w:r>
          </w:p>
        </w:tc>
        <w:tc>
          <w:tcPr>
            <w:tcW w:w="622" w:type="dxa"/>
            <w:noWrap/>
            <w:hideMark/>
          </w:tcPr>
          <w:p w14:paraId="7063748F"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222</w:t>
            </w:r>
          </w:p>
        </w:tc>
        <w:tc>
          <w:tcPr>
            <w:tcW w:w="622" w:type="dxa"/>
            <w:noWrap/>
            <w:hideMark/>
          </w:tcPr>
          <w:p w14:paraId="327B88DD"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222</w:t>
            </w:r>
          </w:p>
        </w:tc>
        <w:tc>
          <w:tcPr>
            <w:tcW w:w="622" w:type="dxa"/>
            <w:noWrap/>
            <w:hideMark/>
          </w:tcPr>
          <w:p w14:paraId="483E43F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222</w:t>
            </w:r>
          </w:p>
        </w:tc>
      </w:tr>
      <w:tr w:rsidR="00393302" w:rsidRPr="00740752" w14:paraId="010EB492"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7C3A1F1B"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Realización de convenios y actas de mutuo respeto escritas</w:t>
            </w:r>
          </w:p>
        </w:tc>
        <w:tc>
          <w:tcPr>
            <w:tcW w:w="781" w:type="dxa"/>
            <w:noWrap/>
            <w:hideMark/>
          </w:tcPr>
          <w:p w14:paraId="5CC84FFC"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Convenios</w:t>
            </w:r>
          </w:p>
        </w:tc>
        <w:tc>
          <w:tcPr>
            <w:tcW w:w="744" w:type="dxa"/>
            <w:noWrap/>
            <w:hideMark/>
          </w:tcPr>
          <w:p w14:paraId="0BB15615"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180</w:t>
            </w:r>
          </w:p>
        </w:tc>
        <w:tc>
          <w:tcPr>
            <w:tcW w:w="622" w:type="dxa"/>
            <w:noWrap/>
            <w:hideMark/>
          </w:tcPr>
          <w:p w14:paraId="2D402DCF"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60</w:t>
            </w:r>
          </w:p>
        </w:tc>
        <w:tc>
          <w:tcPr>
            <w:tcW w:w="622" w:type="dxa"/>
            <w:noWrap/>
            <w:hideMark/>
          </w:tcPr>
          <w:p w14:paraId="122A314C"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60</w:t>
            </w:r>
          </w:p>
        </w:tc>
        <w:tc>
          <w:tcPr>
            <w:tcW w:w="622" w:type="dxa"/>
            <w:noWrap/>
            <w:hideMark/>
          </w:tcPr>
          <w:p w14:paraId="77B1F4F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60</w:t>
            </w:r>
          </w:p>
        </w:tc>
      </w:tr>
      <w:tr w:rsidR="00393302" w:rsidRPr="00740752" w14:paraId="6A0C6D1F"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2C31F19F"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Emisión de diferentes constancias</w:t>
            </w:r>
          </w:p>
        </w:tc>
        <w:tc>
          <w:tcPr>
            <w:tcW w:w="781" w:type="dxa"/>
            <w:noWrap/>
            <w:hideMark/>
          </w:tcPr>
          <w:p w14:paraId="130F3D87"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Constancias</w:t>
            </w:r>
          </w:p>
        </w:tc>
        <w:tc>
          <w:tcPr>
            <w:tcW w:w="744" w:type="dxa"/>
            <w:noWrap/>
            <w:hideMark/>
          </w:tcPr>
          <w:p w14:paraId="4AB81E1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102</w:t>
            </w:r>
          </w:p>
        </w:tc>
        <w:tc>
          <w:tcPr>
            <w:tcW w:w="622" w:type="dxa"/>
            <w:noWrap/>
            <w:hideMark/>
          </w:tcPr>
          <w:p w14:paraId="14669FAD"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34</w:t>
            </w:r>
          </w:p>
        </w:tc>
        <w:tc>
          <w:tcPr>
            <w:tcW w:w="622" w:type="dxa"/>
            <w:noWrap/>
            <w:hideMark/>
          </w:tcPr>
          <w:p w14:paraId="400866B2"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34</w:t>
            </w:r>
          </w:p>
        </w:tc>
        <w:tc>
          <w:tcPr>
            <w:tcW w:w="622" w:type="dxa"/>
            <w:noWrap/>
            <w:hideMark/>
          </w:tcPr>
          <w:p w14:paraId="1D589302"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34</w:t>
            </w:r>
          </w:p>
        </w:tc>
      </w:tr>
      <w:tr w:rsidR="00393302" w:rsidRPr="00740752" w14:paraId="78A40D98"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79C31D5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Citación a las partes en conflicto</w:t>
            </w:r>
          </w:p>
        </w:tc>
        <w:tc>
          <w:tcPr>
            <w:tcW w:w="781" w:type="dxa"/>
            <w:noWrap/>
            <w:hideMark/>
          </w:tcPr>
          <w:p w14:paraId="4D49A610"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Citas</w:t>
            </w:r>
          </w:p>
        </w:tc>
        <w:tc>
          <w:tcPr>
            <w:tcW w:w="744" w:type="dxa"/>
            <w:noWrap/>
            <w:hideMark/>
          </w:tcPr>
          <w:p w14:paraId="1D749FA3"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990</w:t>
            </w:r>
          </w:p>
        </w:tc>
        <w:tc>
          <w:tcPr>
            <w:tcW w:w="622" w:type="dxa"/>
            <w:noWrap/>
            <w:hideMark/>
          </w:tcPr>
          <w:p w14:paraId="1E1CF24E"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330</w:t>
            </w:r>
          </w:p>
        </w:tc>
        <w:tc>
          <w:tcPr>
            <w:tcW w:w="622" w:type="dxa"/>
            <w:noWrap/>
            <w:hideMark/>
          </w:tcPr>
          <w:p w14:paraId="578855C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330</w:t>
            </w:r>
          </w:p>
        </w:tc>
        <w:tc>
          <w:tcPr>
            <w:tcW w:w="622" w:type="dxa"/>
            <w:noWrap/>
            <w:hideMark/>
          </w:tcPr>
          <w:p w14:paraId="244EA887"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330</w:t>
            </w:r>
          </w:p>
        </w:tc>
      </w:tr>
      <w:tr w:rsidR="00393302" w:rsidRPr="00740752" w14:paraId="479F0385"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48AA762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Expedición de recibos por los trámites realizados</w:t>
            </w:r>
          </w:p>
        </w:tc>
        <w:tc>
          <w:tcPr>
            <w:tcW w:w="781" w:type="dxa"/>
            <w:noWrap/>
            <w:hideMark/>
          </w:tcPr>
          <w:p w14:paraId="4E83B2C6"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Recibos</w:t>
            </w:r>
          </w:p>
        </w:tc>
        <w:tc>
          <w:tcPr>
            <w:tcW w:w="744" w:type="dxa"/>
            <w:noWrap/>
            <w:hideMark/>
          </w:tcPr>
          <w:p w14:paraId="2D6E3265"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720</w:t>
            </w:r>
          </w:p>
        </w:tc>
        <w:tc>
          <w:tcPr>
            <w:tcW w:w="622" w:type="dxa"/>
            <w:noWrap/>
            <w:hideMark/>
          </w:tcPr>
          <w:p w14:paraId="779005B5"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240</w:t>
            </w:r>
          </w:p>
        </w:tc>
        <w:tc>
          <w:tcPr>
            <w:tcW w:w="622" w:type="dxa"/>
            <w:noWrap/>
            <w:hideMark/>
          </w:tcPr>
          <w:p w14:paraId="6B37F9B8"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240</w:t>
            </w:r>
          </w:p>
        </w:tc>
        <w:tc>
          <w:tcPr>
            <w:tcW w:w="622" w:type="dxa"/>
            <w:noWrap/>
            <w:hideMark/>
          </w:tcPr>
          <w:p w14:paraId="5D74098B"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240</w:t>
            </w:r>
          </w:p>
        </w:tc>
      </w:tr>
      <w:tr w:rsidR="00393302" w:rsidRPr="00740752" w14:paraId="0D4B94DB" w14:textId="77777777" w:rsidTr="00CF14B0">
        <w:trPr>
          <w:trHeight w:val="1200"/>
        </w:trPr>
        <w:tc>
          <w:tcPr>
            <w:cnfStyle w:val="001000000000" w:firstRow="0" w:lastRow="0" w:firstColumn="1" w:lastColumn="0" w:oddVBand="0" w:evenVBand="0" w:oddHBand="0" w:evenHBand="0" w:firstRowFirstColumn="0" w:firstRowLastColumn="0" w:lastRowFirstColumn="0" w:lastRowLastColumn="0"/>
            <w:tcW w:w="5437" w:type="dxa"/>
            <w:hideMark/>
          </w:tcPr>
          <w:p w14:paraId="3A56DFFB"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Efectuar sesiones del Consejo Municipal </w:t>
            </w:r>
          </w:p>
        </w:tc>
        <w:tc>
          <w:tcPr>
            <w:tcW w:w="781" w:type="dxa"/>
            <w:hideMark/>
          </w:tcPr>
          <w:p w14:paraId="31DB71C8"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Sesión</w:t>
            </w:r>
          </w:p>
        </w:tc>
        <w:tc>
          <w:tcPr>
            <w:tcW w:w="744" w:type="dxa"/>
            <w:noWrap/>
            <w:hideMark/>
          </w:tcPr>
          <w:p w14:paraId="4AA8D814"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18</w:t>
            </w:r>
          </w:p>
        </w:tc>
        <w:tc>
          <w:tcPr>
            <w:tcW w:w="622" w:type="dxa"/>
            <w:noWrap/>
            <w:hideMark/>
          </w:tcPr>
          <w:p w14:paraId="4A76499D"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c>
          <w:tcPr>
            <w:tcW w:w="622" w:type="dxa"/>
            <w:noWrap/>
            <w:hideMark/>
          </w:tcPr>
          <w:p w14:paraId="36F2D76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c>
          <w:tcPr>
            <w:tcW w:w="622" w:type="dxa"/>
            <w:noWrap/>
            <w:hideMark/>
          </w:tcPr>
          <w:p w14:paraId="1D3ECD02"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r>
      <w:tr w:rsidR="00393302" w:rsidRPr="00740752" w14:paraId="5B206B4C" w14:textId="77777777" w:rsidTr="00CF14B0">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5437" w:type="dxa"/>
            <w:hideMark/>
          </w:tcPr>
          <w:p w14:paraId="279A41D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Presentar a infractores por faltas administrativas y delitos </w:t>
            </w:r>
          </w:p>
        </w:tc>
        <w:tc>
          <w:tcPr>
            <w:tcW w:w="781" w:type="dxa"/>
            <w:hideMark/>
          </w:tcPr>
          <w:p w14:paraId="63DCBC5B"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 xml:space="preserve">Personas </w:t>
            </w:r>
          </w:p>
        </w:tc>
        <w:tc>
          <w:tcPr>
            <w:tcW w:w="744" w:type="dxa"/>
            <w:noWrap/>
            <w:hideMark/>
          </w:tcPr>
          <w:p w14:paraId="2632D470"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300</w:t>
            </w:r>
          </w:p>
        </w:tc>
        <w:tc>
          <w:tcPr>
            <w:tcW w:w="622" w:type="dxa"/>
            <w:noWrap/>
            <w:hideMark/>
          </w:tcPr>
          <w:p w14:paraId="070C9D50"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100</w:t>
            </w:r>
          </w:p>
        </w:tc>
        <w:tc>
          <w:tcPr>
            <w:tcW w:w="622" w:type="dxa"/>
            <w:noWrap/>
            <w:hideMark/>
          </w:tcPr>
          <w:p w14:paraId="09FBCAA0"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100</w:t>
            </w:r>
          </w:p>
        </w:tc>
        <w:tc>
          <w:tcPr>
            <w:tcW w:w="622" w:type="dxa"/>
            <w:noWrap/>
            <w:hideMark/>
          </w:tcPr>
          <w:p w14:paraId="1B991752"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100</w:t>
            </w:r>
          </w:p>
        </w:tc>
      </w:tr>
      <w:tr w:rsidR="00393302" w:rsidRPr="00740752" w14:paraId="4E61F974" w14:textId="77777777" w:rsidTr="00CF14B0">
        <w:trPr>
          <w:trHeight w:val="711"/>
        </w:trPr>
        <w:tc>
          <w:tcPr>
            <w:cnfStyle w:val="001000000000" w:firstRow="0" w:lastRow="0" w:firstColumn="1" w:lastColumn="0" w:oddVBand="0" w:evenVBand="0" w:oddHBand="0" w:evenHBand="0" w:firstRowFirstColumn="0" w:firstRowLastColumn="0" w:lastRowFirstColumn="0" w:lastRowLastColumn="0"/>
            <w:tcW w:w="5437" w:type="dxa"/>
            <w:hideMark/>
          </w:tcPr>
          <w:p w14:paraId="05C1198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Realizar operativos de seguridad pública</w:t>
            </w:r>
          </w:p>
        </w:tc>
        <w:tc>
          <w:tcPr>
            <w:tcW w:w="781" w:type="dxa"/>
            <w:hideMark/>
          </w:tcPr>
          <w:p w14:paraId="5BFD1E7E"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 xml:space="preserve">Operativos </w:t>
            </w:r>
          </w:p>
        </w:tc>
        <w:tc>
          <w:tcPr>
            <w:tcW w:w="744" w:type="dxa"/>
            <w:noWrap/>
            <w:hideMark/>
          </w:tcPr>
          <w:p w14:paraId="1887A86F"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24000</w:t>
            </w:r>
          </w:p>
        </w:tc>
        <w:tc>
          <w:tcPr>
            <w:tcW w:w="622" w:type="dxa"/>
            <w:noWrap/>
            <w:hideMark/>
          </w:tcPr>
          <w:p w14:paraId="275569F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8000</w:t>
            </w:r>
          </w:p>
        </w:tc>
        <w:tc>
          <w:tcPr>
            <w:tcW w:w="622" w:type="dxa"/>
            <w:noWrap/>
            <w:hideMark/>
          </w:tcPr>
          <w:p w14:paraId="12CDFE32"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8000</w:t>
            </w:r>
          </w:p>
        </w:tc>
        <w:tc>
          <w:tcPr>
            <w:tcW w:w="622" w:type="dxa"/>
            <w:noWrap/>
            <w:hideMark/>
          </w:tcPr>
          <w:p w14:paraId="039D8E1F"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8000</w:t>
            </w:r>
          </w:p>
        </w:tc>
      </w:tr>
      <w:tr w:rsidR="00393302" w:rsidRPr="00740752" w14:paraId="11E6ADEB" w14:textId="77777777" w:rsidTr="00CF14B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5437" w:type="dxa"/>
            <w:hideMark/>
          </w:tcPr>
          <w:p w14:paraId="1FABA7D7"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Dotar de uniformes a la policía activa </w:t>
            </w:r>
          </w:p>
        </w:tc>
        <w:tc>
          <w:tcPr>
            <w:tcW w:w="781" w:type="dxa"/>
            <w:hideMark/>
          </w:tcPr>
          <w:p w14:paraId="1752AEA3"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policías</w:t>
            </w:r>
          </w:p>
        </w:tc>
        <w:tc>
          <w:tcPr>
            <w:tcW w:w="744" w:type="dxa"/>
            <w:noWrap/>
            <w:hideMark/>
          </w:tcPr>
          <w:p w14:paraId="5A025A4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120</w:t>
            </w:r>
          </w:p>
        </w:tc>
        <w:tc>
          <w:tcPr>
            <w:tcW w:w="622" w:type="dxa"/>
            <w:noWrap/>
            <w:hideMark/>
          </w:tcPr>
          <w:p w14:paraId="274E8FC4"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40</w:t>
            </w:r>
          </w:p>
        </w:tc>
        <w:tc>
          <w:tcPr>
            <w:tcW w:w="622" w:type="dxa"/>
            <w:noWrap/>
            <w:hideMark/>
          </w:tcPr>
          <w:p w14:paraId="0BEE259A"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40</w:t>
            </w:r>
          </w:p>
        </w:tc>
        <w:tc>
          <w:tcPr>
            <w:tcW w:w="622" w:type="dxa"/>
            <w:noWrap/>
            <w:hideMark/>
          </w:tcPr>
          <w:p w14:paraId="4A253ECA"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40</w:t>
            </w:r>
          </w:p>
        </w:tc>
      </w:tr>
      <w:tr w:rsidR="00393302" w:rsidRPr="00740752" w14:paraId="3F72AD29"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59AABE60"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 Efectuar el mantenimiento preventivo correctivo de las patrullas </w:t>
            </w:r>
          </w:p>
        </w:tc>
        <w:tc>
          <w:tcPr>
            <w:tcW w:w="781" w:type="dxa"/>
            <w:noWrap/>
            <w:hideMark/>
          </w:tcPr>
          <w:p w14:paraId="065656F3"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Patrullas</w:t>
            </w:r>
          </w:p>
        </w:tc>
        <w:tc>
          <w:tcPr>
            <w:tcW w:w="744" w:type="dxa"/>
            <w:noWrap/>
            <w:hideMark/>
          </w:tcPr>
          <w:p w14:paraId="3952553C"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48</w:t>
            </w:r>
          </w:p>
        </w:tc>
        <w:tc>
          <w:tcPr>
            <w:tcW w:w="622" w:type="dxa"/>
            <w:noWrap/>
            <w:hideMark/>
          </w:tcPr>
          <w:p w14:paraId="269CB80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16</w:t>
            </w:r>
          </w:p>
        </w:tc>
        <w:tc>
          <w:tcPr>
            <w:tcW w:w="622" w:type="dxa"/>
            <w:noWrap/>
            <w:hideMark/>
          </w:tcPr>
          <w:p w14:paraId="654D17EB"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16</w:t>
            </w:r>
          </w:p>
        </w:tc>
        <w:tc>
          <w:tcPr>
            <w:tcW w:w="622" w:type="dxa"/>
            <w:noWrap/>
            <w:hideMark/>
          </w:tcPr>
          <w:p w14:paraId="599B8CB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16</w:t>
            </w:r>
          </w:p>
        </w:tc>
      </w:tr>
      <w:tr w:rsidR="00393302" w:rsidRPr="00740752" w14:paraId="625DD683"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2D69E5D2"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Dotar cartuchos útiles</w:t>
            </w:r>
          </w:p>
        </w:tc>
        <w:tc>
          <w:tcPr>
            <w:tcW w:w="781" w:type="dxa"/>
            <w:noWrap/>
            <w:hideMark/>
          </w:tcPr>
          <w:p w14:paraId="52A280A8"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 xml:space="preserve">Armamento </w:t>
            </w:r>
          </w:p>
        </w:tc>
        <w:tc>
          <w:tcPr>
            <w:tcW w:w="744" w:type="dxa"/>
            <w:noWrap/>
            <w:hideMark/>
          </w:tcPr>
          <w:p w14:paraId="3F2E7EEE"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3000</w:t>
            </w:r>
          </w:p>
        </w:tc>
        <w:tc>
          <w:tcPr>
            <w:tcW w:w="622" w:type="dxa"/>
            <w:noWrap/>
            <w:hideMark/>
          </w:tcPr>
          <w:p w14:paraId="75C83864"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1000</w:t>
            </w:r>
          </w:p>
        </w:tc>
        <w:tc>
          <w:tcPr>
            <w:tcW w:w="622" w:type="dxa"/>
            <w:noWrap/>
            <w:hideMark/>
          </w:tcPr>
          <w:p w14:paraId="1D283C8E"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1000</w:t>
            </w:r>
          </w:p>
        </w:tc>
        <w:tc>
          <w:tcPr>
            <w:tcW w:w="622" w:type="dxa"/>
            <w:noWrap/>
            <w:hideMark/>
          </w:tcPr>
          <w:p w14:paraId="2BA7E08A"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1000</w:t>
            </w:r>
          </w:p>
        </w:tc>
      </w:tr>
      <w:tr w:rsidR="00393302" w:rsidRPr="00740752" w14:paraId="640879D8"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44FB4B43"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Reactivar C2 y efectuar su mantenimiento </w:t>
            </w:r>
          </w:p>
        </w:tc>
        <w:tc>
          <w:tcPr>
            <w:tcW w:w="781" w:type="dxa"/>
            <w:noWrap/>
            <w:hideMark/>
          </w:tcPr>
          <w:p w14:paraId="778323DA"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Mantenimiento</w:t>
            </w:r>
          </w:p>
        </w:tc>
        <w:tc>
          <w:tcPr>
            <w:tcW w:w="744" w:type="dxa"/>
            <w:noWrap/>
            <w:hideMark/>
          </w:tcPr>
          <w:p w14:paraId="7D034C37"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028FDB16"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63D48D44"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6C3C6556"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18B6BD0F"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343738FF"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lastRenderedPageBreak/>
              <w:t xml:space="preserve">Brindar mantenimiento de la antena de radio comunicación </w:t>
            </w:r>
          </w:p>
        </w:tc>
        <w:tc>
          <w:tcPr>
            <w:tcW w:w="781" w:type="dxa"/>
            <w:noWrap/>
            <w:hideMark/>
          </w:tcPr>
          <w:p w14:paraId="45926D32"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Radio</w:t>
            </w:r>
          </w:p>
        </w:tc>
        <w:tc>
          <w:tcPr>
            <w:tcW w:w="744" w:type="dxa"/>
            <w:noWrap/>
            <w:hideMark/>
          </w:tcPr>
          <w:p w14:paraId="1D73F9D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0544B5C7"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37FE52C2"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32B9B08C"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6A7B4756"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357FA5E4"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Mantener actualizado el sistema estratégico de video vigilancia </w:t>
            </w:r>
          </w:p>
        </w:tc>
        <w:tc>
          <w:tcPr>
            <w:tcW w:w="781" w:type="dxa"/>
            <w:noWrap/>
            <w:hideMark/>
          </w:tcPr>
          <w:p w14:paraId="7D0BF391"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Servicio</w:t>
            </w:r>
          </w:p>
        </w:tc>
        <w:tc>
          <w:tcPr>
            <w:tcW w:w="744" w:type="dxa"/>
            <w:noWrap/>
            <w:hideMark/>
          </w:tcPr>
          <w:p w14:paraId="4E8BF66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6A791A58"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42F49A0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3CC4F1C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40299458"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166CA05C"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Aplicar examen de control y confianza </w:t>
            </w:r>
          </w:p>
        </w:tc>
        <w:tc>
          <w:tcPr>
            <w:tcW w:w="781" w:type="dxa"/>
            <w:noWrap/>
            <w:hideMark/>
          </w:tcPr>
          <w:p w14:paraId="6050B566"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policías</w:t>
            </w:r>
          </w:p>
        </w:tc>
        <w:tc>
          <w:tcPr>
            <w:tcW w:w="744" w:type="dxa"/>
            <w:noWrap/>
            <w:hideMark/>
          </w:tcPr>
          <w:p w14:paraId="134BEAF1"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45</w:t>
            </w:r>
          </w:p>
        </w:tc>
        <w:tc>
          <w:tcPr>
            <w:tcW w:w="622" w:type="dxa"/>
            <w:noWrap/>
            <w:hideMark/>
          </w:tcPr>
          <w:p w14:paraId="6280CDB4"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15</w:t>
            </w:r>
          </w:p>
        </w:tc>
        <w:tc>
          <w:tcPr>
            <w:tcW w:w="622" w:type="dxa"/>
            <w:noWrap/>
            <w:hideMark/>
          </w:tcPr>
          <w:p w14:paraId="02606E67"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15</w:t>
            </w:r>
          </w:p>
        </w:tc>
        <w:tc>
          <w:tcPr>
            <w:tcW w:w="622" w:type="dxa"/>
            <w:noWrap/>
            <w:hideMark/>
          </w:tcPr>
          <w:p w14:paraId="48780A22"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15</w:t>
            </w:r>
          </w:p>
        </w:tc>
      </w:tr>
      <w:tr w:rsidR="00393302" w:rsidRPr="00740752" w14:paraId="13991DA3"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162CC43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Efectuar la certificación única policial de elementos de seguridad pública </w:t>
            </w:r>
          </w:p>
        </w:tc>
        <w:tc>
          <w:tcPr>
            <w:tcW w:w="781" w:type="dxa"/>
            <w:noWrap/>
            <w:hideMark/>
          </w:tcPr>
          <w:p w14:paraId="4E70606D"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policías</w:t>
            </w:r>
          </w:p>
        </w:tc>
        <w:tc>
          <w:tcPr>
            <w:tcW w:w="744" w:type="dxa"/>
            <w:noWrap/>
            <w:hideMark/>
          </w:tcPr>
          <w:p w14:paraId="48300565"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18</w:t>
            </w:r>
          </w:p>
        </w:tc>
        <w:tc>
          <w:tcPr>
            <w:tcW w:w="622" w:type="dxa"/>
            <w:noWrap/>
            <w:hideMark/>
          </w:tcPr>
          <w:p w14:paraId="754BDEB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c>
          <w:tcPr>
            <w:tcW w:w="622" w:type="dxa"/>
            <w:noWrap/>
            <w:hideMark/>
          </w:tcPr>
          <w:p w14:paraId="7AAAEE76"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c>
          <w:tcPr>
            <w:tcW w:w="622" w:type="dxa"/>
            <w:noWrap/>
            <w:hideMark/>
          </w:tcPr>
          <w:p w14:paraId="0A8B0DB2"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r>
      <w:tr w:rsidR="00393302" w:rsidRPr="00740752" w14:paraId="2C01306A"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7412C3FD"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Actualizar y capacitar a policías en materia de justicia penal </w:t>
            </w:r>
          </w:p>
        </w:tc>
        <w:tc>
          <w:tcPr>
            <w:tcW w:w="781" w:type="dxa"/>
            <w:noWrap/>
            <w:hideMark/>
          </w:tcPr>
          <w:p w14:paraId="0EF5AF95"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policías</w:t>
            </w:r>
          </w:p>
        </w:tc>
        <w:tc>
          <w:tcPr>
            <w:tcW w:w="744" w:type="dxa"/>
            <w:noWrap/>
            <w:hideMark/>
          </w:tcPr>
          <w:p w14:paraId="025DA58C"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120</w:t>
            </w:r>
          </w:p>
        </w:tc>
        <w:tc>
          <w:tcPr>
            <w:tcW w:w="622" w:type="dxa"/>
            <w:noWrap/>
            <w:hideMark/>
          </w:tcPr>
          <w:p w14:paraId="5DA4AB1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40</w:t>
            </w:r>
          </w:p>
        </w:tc>
        <w:tc>
          <w:tcPr>
            <w:tcW w:w="622" w:type="dxa"/>
            <w:noWrap/>
            <w:hideMark/>
          </w:tcPr>
          <w:p w14:paraId="1144C39E"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40</w:t>
            </w:r>
          </w:p>
        </w:tc>
        <w:tc>
          <w:tcPr>
            <w:tcW w:w="622" w:type="dxa"/>
            <w:noWrap/>
            <w:hideMark/>
          </w:tcPr>
          <w:p w14:paraId="16112D3D"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40</w:t>
            </w:r>
          </w:p>
        </w:tc>
      </w:tr>
      <w:tr w:rsidR="00393302" w:rsidRPr="00740752" w14:paraId="62A8C135"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44AB0F46"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Dar seguimiento a las actividades de la Cédula de Género y Atención a Victimas</w:t>
            </w:r>
          </w:p>
        </w:tc>
        <w:tc>
          <w:tcPr>
            <w:tcW w:w="781" w:type="dxa"/>
            <w:noWrap/>
            <w:hideMark/>
          </w:tcPr>
          <w:p w14:paraId="7175D62E"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Documento</w:t>
            </w:r>
          </w:p>
        </w:tc>
        <w:tc>
          <w:tcPr>
            <w:tcW w:w="744" w:type="dxa"/>
            <w:noWrap/>
            <w:hideMark/>
          </w:tcPr>
          <w:p w14:paraId="50A6962D"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36</w:t>
            </w:r>
          </w:p>
        </w:tc>
        <w:tc>
          <w:tcPr>
            <w:tcW w:w="622" w:type="dxa"/>
            <w:noWrap/>
            <w:hideMark/>
          </w:tcPr>
          <w:p w14:paraId="21DC12BE"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w:t>
            </w:r>
          </w:p>
        </w:tc>
        <w:tc>
          <w:tcPr>
            <w:tcW w:w="622" w:type="dxa"/>
            <w:noWrap/>
            <w:hideMark/>
          </w:tcPr>
          <w:p w14:paraId="12C7C71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w:t>
            </w:r>
          </w:p>
        </w:tc>
        <w:tc>
          <w:tcPr>
            <w:tcW w:w="622" w:type="dxa"/>
            <w:noWrap/>
            <w:hideMark/>
          </w:tcPr>
          <w:p w14:paraId="152C6198"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w:t>
            </w:r>
          </w:p>
        </w:tc>
      </w:tr>
      <w:tr w:rsidR="00393302" w:rsidRPr="00740752" w14:paraId="76CACA05"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7F0908E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Atender emergencias prehospitalarias</w:t>
            </w:r>
          </w:p>
        </w:tc>
        <w:tc>
          <w:tcPr>
            <w:tcW w:w="781" w:type="dxa"/>
            <w:hideMark/>
          </w:tcPr>
          <w:p w14:paraId="18A7B9C0"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Servicios</w:t>
            </w:r>
          </w:p>
        </w:tc>
        <w:tc>
          <w:tcPr>
            <w:tcW w:w="744" w:type="dxa"/>
            <w:noWrap/>
            <w:hideMark/>
          </w:tcPr>
          <w:p w14:paraId="758DABD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819</w:t>
            </w:r>
          </w:p>
        </w:tc>
        <w:tc>
          <w:tcPr>
            <w:tcW w:w="622" w:type="dxa"/>
            <w:noWrap/>
            <w:hideMark/>
          </w:tcPr>
          <w:p w14:paraId="5705BCE1"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273</w:t>
            </w:r>
          </w:p>
        </w:tc>
        <w:tc>
          <w:tcPr>
            <w:tcW w:w="622" w:type="dxa"/>
            <w:noWrap/>
            <w:hideMark/>
          </w:tcPr>
          <w:p w14:paraId="122BEE11"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273</w:t>
            </w:r>
          </w:p>
        </w:tc>
        <w:tc>
          <w:tcPr>
            <w:tcW w:w="622" w:type="dxa"/>
            <w:noWrap/>
            <w:hideMark/>
          </w:tcPr>
          <w:p w14:paraId="3A58ABFD"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273</w:t>
            </w:r>
          </w:p>
        </w:tc>
      </w:tr>
      <w:tr w:rsidR="00393302" w:rsidRPr="00740752" w14:paraId="12591E89"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5CB51C19"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Atender emergencias de alto impacto del territorio</w:t>
            </w:r>
          </w:p>
        </w:tc>
        <w:tc>
          <w:tcPr>
            <w:tcW w:w="781" w:type="dxa"/>
            <w:hideMark/>
          </w:tcPr>
          <w:p w14:paraId="2B03D5B5"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Servicios</w:t>
            </w:r>
          </w:p>
        </w:tc>
        <w:tc>
          <w:tcPr>
            <w:tcW w:w="744" w:type="dxa"/>
            <w:noWrap/>
            <w:hideMark/>
          </w:tcPr>
          <w:p w14:paraId="4D2A467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21</w:t>
            </w:r>
          </w:p>
        </w:tc>
        <w:tc>
          <w:tcPr>
            <w:tcW w:w="622" w:type="dxa"/>
            <w:noWrap/>
            <w:hideMark/>
          </w:tcPr>
          <w:p w14:paraId="69DD0DAD"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w:t>
            </w:r>
          </w:p>
        </w:tc>
        <w:tc>
          <w:tcPr>
            <w:tcW w:w="622" w:type="dxa"/>
            <w:noWrap/>
            <w:hideMark/>
          </w:tcPr>
          <w:p w14:paraId="6062A1A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w:t>
            </w:r>
          </w:p>
        </w:tc>
        <w:tc>
          <w:tcPr>
            <w:tcW w:w="622" w:type="dxa"/>
            <w:noWrap/>
            <w:hideMark/>
          </w:tcPr>
          <w:p w14:paraId="42DF7A06"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w:t>
            </w:r>
          </w:p>
        </w:tc>
      </w:tr>
      <w:tr w:rsidR="00393302" w:rsidRPr="00740752" w14:paraId="21DA10EC"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7FF525E3"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Programar traslados a diferentes hospitales</w:t>
            </w:r>
          </w:p>
        </w:tc>
        <w:tc>
          <w:tcPr>
            <w:tcW w:w="781" w:type="dxa"/>
            <w:hideMark/>
          </w:tcPr>
          <w:p w14:paraId="7ABB7789"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Servicios</w:t>
            </w:r>
          </w:p>
        </w:tc>
        <w:tc>
          <w:tcPr>
            <w:tcW w:w="744" w:type="dxa"/>
            <w:noWrap/>
            <w:hideMark/>
          </w:tcPr>
          <w:p w14:paraId="04E5CF90"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756</w:t>
            </w:r>
          </w:p>
        </w:tc>
        <w:tc>
          <w:tcPr>
            <w:tcW w:w="622" w:type="dxa"/>
            <w:noWrap/>
            <w:hideMark/>
          </w:tcPr>
          <w:p w14:paraId="7F58867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252</w:t>
            </w:r>
          </w:p>
        </w:tc>
        <w:tc>
          <w:tcPr>
            <w:tcW w:w="622" w:type="dxa"/>
            <w:noWrap/>
            <w:hideMark/>
          </w:tcPr>
          <w:p w14:paraId="022BD4E2"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252</w:t>
            </w:r>
          </w:p>
        </w:tc>
        <w:tc>
          <w:tcPr>
            <w:tcW w:w="622" w:type="dxa"/>
            <w:noWrap/>
            <w:hideMark/>
          </w:tcPr>
          <w:p w14:paraId="66929E91"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252</w:t>
            </w:r>
          </w:p>
        </w:tc>
      </w:tr>
      <w:tr w:rsidR="00393302" w:rsidRPr="00740752" w14:paraId="1051DDAA"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45C7FBF6"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Realizar la valoración a personas detenidas por elemento de seguridad pública</w:t>
            </w:r>
          </w:p>
        </w:tc>
        <w:tc>
          <w:tcPr>
            <w:tcW w:w="781" w:type="dxa"/>
            <w:hideMark/>
          </w:tcPr>
          <w:p w14:paraId="2419D81F"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Personas</w:t>
            </w:r>
          </w:p>
        </w:tc>
        <w:tc>
          <w:tcPr>
            <w:tcW w:w="744" w:type="dxa"/>
            <w:noWrap/>
            <w:hideMark/>
          </w:tcPr>
          <w:p w14:paraId="0E84E93E"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285</w:t>
            </w:r>
          </w:p>
        </w:tc>
        <w:tc>
          <w:tcPr>
            <w:tcW w:w="622" w:type="dxa"/>
            <w:noWrap/>
            <w:hideMark/>
          </w:tcPr>
          <w:p w14:paraId="1BF4AA0C"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95</w:t>
            </w:r>
          </w:p>
        </w:tc>
        <w:tc>
          <w:tcPr>
            <w:tcW w:w="622" w:type="dxa"/>
            <w:noWrap/>
            <w:hideMark/>
          </w:tcPr>
          <w:p w14:paraId="142C3C85"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95</w:t>
            </w:r>
          </w:p>
        </w:tc>
        <w:tc>
          <w:tcPr>
            <w:tcW w:w="622" w:type="dxa"/>
            <w:noWrap/>
            <w:hideMark/>
          </w:tcPr>
          <w:p w14:paraId="001A699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95</w:t>
            </w:r>
          </w:p>
        </w:tc>
      </w:tr>
      <w:tr w:rsidR="00393302" w:rsidRPr="00740752" w14:paraId="73CEA7A3"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2FB17663"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Gestionar la adquisición de uniformes</w:t>
            </w:r>
          </w:p>
        </w:tc>
        <w:tc>
          <w:tcPr>
            <w:tcW w:w="781" w:type="dxa"/>
            <w:hideMark/>
          </w:tcPr>
          <w:p w14:paraId="46177B94"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Uniformes</w:t>
            </w:r>
          </w:p>
        </w:tc>
        <w:tc>
          <w:tcPr>
            <w:tcW w:w="744" w:type="dxa"/>
            <w:noWrap/>
            <w:hideMark/>
          </w:tcPr>
          <w:p w14:paraId="0DECB0FD"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24</w:t>
            </w:r>
          </w:p>
        </w:tc>
        <w:tc>
          <w:tcPr>
            <w:tcW w:w="622" w:type="dxa"/>
            <w:noWrap/>
            <w:hideMark/>
          </w:tcPr>
          <w:p w14:paraId="4C4E93AE"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w:t>
            </w:r>
          </w:p>
        </w:tc>
        <w:tc>
          <w:tcPr>
            <w:tcW w:w="622" w:type="dxa"/>
            <w:noWrap/>
            <w:hideMark/>
          </w:tcPr>
          <w:p w14:paraId="7D8455C5"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w:t>
            </w:r>
          </w:p>
        </w:tc>
        <w:tc>
          <w:tcPr>
            <w:tcW w:w="622" w:type="dxa"/>
            <w:noWrap/>
            <w:hideMark/>
          </w:tcPr>
          <w:p w14:paraId="58DB656B"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8</w:t>
            </w:r>
          </w:p>
        </w:tc>
      </w:tr>
      <w:tr w:rsidR="00393302" w:rsidRPr="00740752" w14:paraId="18C122E2"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5A021C63"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Realizar curso de prevención y combate de incendios</w:t>
            </w:r>
          </w:p>
        </w:tc>
        <w:tc>
          <w:tcPr>
            <w:tcW w:w="781" w:type="dxa"/>
            <w:noWrap/>
            <w:hideMark/>
          </w:tcPr>
          <w:p w14:paraId="1E07EBB1"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Curso</w:t>
            </w:r>
          </w:p>
        </w:tc>
        <w:tc>
          <w:tcPr>
            <w:tcW w:w="744" w:type="dxa"/>
            <w:noWrap/>
            <w:hideMark/>
          </w:tcPr>
          <w:p w14:paraId="30E9A418"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15</w:t>
            </w:r>
          </w:p>
        </w:tc>
        <w:tc>
          <w:tcPr>
            <w:tcW w:w="622" w:type="dxa"/>
            <w:noWrap/>
            <w:hideMark/>
          </w:tcPr>
          <w:p w14:paraId="0E48E87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5</w:t>
            </w:r>
          </w:p>
        </w:tc>
        <w:tc>
          <w:tcPr>
            <w:tcW w:w="622" w:type="dxa"/>
            <w:noWrap/>
            <w:hideMark/>
          </w:tcPr>
          <w:p w14:paraId="1E09E19D"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5</w:t>
            </w:r>
          </w:p>
        </w:tc>
        <w:tc>
          <w:tcPr>
            <w:tcW w:w="622" w:type="dxa"/>
            <w:noWrap/>
            <w:hideMark/>
          </w:tcPr>
          <w:p w14:paraId="7C20FE1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5</w:t>
            </w:r>
          </w:p>
        </w:tc>
      </w:tr>
      <w:tr w:rsidR="00393302" w:rsidRPr="00740752" w14:paraId="0F40747B"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44640042"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Efectuar curso de primeros auxilios</w:t>
            </w:r>
          </w:p>
        </w:tc>
        <w:tc>
          <w:tcPr>
            <w:tcW w:w="781" w:type="dxa"/>
            <w:noWrap/>
            <w:hideMark/>
          </w:tcPr>
          <w:p w14:paraId="4B6ABABE"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Curso</w:t>
            </w:r>
          </w:p>
        </w:tc>
        <w:tc>
          <w:tcPr>
            <w:tcW w:w="744" w:type="dxa"/>
            <w:noWrap/>
            <w:hideMark/>
          </w:tcPr>
          <w:p w14:paraId="588AF1E6"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w:t>
            </w:r>
          </w:p>
        </w:tc>
        <w:tc>
          <w:tcPr>
            <w:tcW w:w="622" w:type="dxa"/>
            <w:noWrap/>
            <w:hideMark/>
          </w:tcPr>
          <w:p w14:paraId="656EED74"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w:t>
            </w:r>
          </w:p>
        </w:tc>
        <w:tc>
          <w:tcPr>
            <w:tcW w:w="622" w:type="dxa"/>
            <w:noWrap/>
            <w:hideMark/>
          </w:tcPr>
          <w:p w14:paraId="6B98605E"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w:t>
            </w:r>
          </w:p>
        </w:tc>
        <w:tc>
          <w:tcPr>
            <w:tcW w:w="622" w:type="dxa"/>
            <w:noWrap/>
            <w:hideMark/>
          </w:tcPr>
          <w:p w14:paraId="4FB5DF3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w:t>
            </w:r>
          </w:p>
        </w:tc>
      </w:tr>
      <w:tr w:rsidR="00393302" w:rsidRPr="00740752" w14:paraId="509E9D58"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36C15B11"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Efectuar curso taller “Prevención de accidentes en la escuela y el   hogar”, dirigido   a   la población infantil  </w:t>
            </w:r>
          </w:p>
        </w:tc>
        <w:tc>
          <w:tcPr>
            <w:tcW w:w="781" w:type="dxa"/>
            <w:noWrap/>
            <w:hideMark/>
          </w:tcPr>
          <w:p w14:paraId="32CF607C"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Curso</w:t>
            </w:r>
          </w:p>
        </w:tc>
        <w:tc>
          <w:tcPr>
            <w:tcW w:w="744" w:type="dxa"/>
            <w:noWrap/>
            <w:hideMark/>
          </w:tcPr>
          <w:p w14:paraId="58B54F8F"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21</w:t>
            </w:r>
          </w:p>
        </w:tc>
        <w:tc>
          <w:tcPr>
            <w:tcW w:w="622" w:type="dxa"/>
            <w:noWrap/>
            <w:hideMark/>
          </w:tcPr>
          <w:p w14:paraId="3EBA0AF9"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w:t>
            </w:r>
          </w:p>
        </w:tc>
        <w:tc>
          <w:tcPr>
            <w:tcW w:w="622" w:type="dxa"/>
            <w:noWrap/>
            <w:hideMark/>
          </w:tcPr>
          <w:p w14:paraId="0243CD2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w:t>
            </w:r>
          </w:p>
        </w:tc>
        <w:tc>
          <w:tcPr>
            <w:tcW w:w="622" w:type="dxa"/>
            <w:noWrap/>
            <w:hideMark/>
          </w:tcPr>
          <w:p w14:paraId="7E20EFDB"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7</w:t>
            </w:r>
          </w:p>
        </w:tc>
      </w:tr>
      <w:tr w:rsidR="00393302" w:rsidRPr="00740752" w14:paraId="2377BD33"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70072264"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Actualizar Atlas de Riesgo Municipal</w:t>
            </w:r>
          </w:p>
        </w:tc>
        <w:tc>
          <w:tcPr>
            <w:tcW w:w="781" w:type="dxa"/>
            <w:noWrap/>
            <w:hideMark/>
          </w:tcPr>
          <w:p w14:paraId="5CBF45F8"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Documento</w:t>
            </w:r>
          </w:p>
        </w:tc>
        <w:tc>
          <w:tcPr>
            <w:tcW w:w="744" w:type="dxa"/>
            <w:noWrap/>
            <w:hideMark/>
          </w:tcPr>
          <w:p w14:paraId="30EC2DCF"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6FA63B8F"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5747C33A"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77195FA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25BEE1E6"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43A20918"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Realizar simulacros para salvaguardar la integridad de servidores públicos</w:t>
            </w:r>
          </w:p>
        </w:tc>
        <w:tc>
          <w:tcPr>
            <w:tcW w:w="781" w:type="dxa"/>
            <w:noWrap/>
            <w:hideMark/>
          </w:tcPr>
          <w:p w14:paraId="3A43C712"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Simulacros</w:t>
            </w:r>
          </w:p>
        </w:tc>
        <w:tc>
          <w:tcPr>
            <w:tcW w:w="744" w:type="dxa"/>
            <w:noWrap/>
            <w:hideMark/>
          </w:tcPr>
          <w:p w14:paraId="5538BFD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12</w:t>
            </w:r>
          </w:p>
        </w:tc>
        <w:tc>
          <w:tcPr>
            <w:tcW w:w="622" w:type="dxa"/>
            <w:noWrap/>
            <w:hideMark/>
          </w:tcPr>
          <w:p w14:paraId="7D24DE84"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w:t>
            </w:r>
          </w:p>
        </w:tc>
        <w:tc>
          <w:tcPr>
            <w:tcW w:w="622" w:type="dxa"/>
            <w:noWrap/>
            <w:hideMark/>
          </w:tcPr>
          <w:p w14:paraId="0A79635F"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w:t>
            </w:r>
          </w:p>
        </w:tc>
        <w:tc>
          <w:tcPr>
            <w:tcW w:w="622" w:type="dxa"/>
            <w:noWrap/>
            <w:hideMark/>
          </w:tcPr>
          <w:p w14:paraId="6DE5D8E6"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4</w:t>
            </w:r>
          </w:p>
        </w:tc>
      </w:tr>
      <w:tr w:rsidR="00393302" w:rsidRPr="00740752" w14:paraId="096C4002"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26ECEF3A"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Conformar brigadas de protección civil</w:t>
            </w:r>
          </w:p>
        </w:tc>
        <w:tc>
          <w:tcPr>
            <w:tcW w:w="781" w:type="dxa"/>
            <w:noWrap/>
            <w:hideMark/>
          </w:tcPr>
          <w:p w14:paraId="6AA24029"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Documento</w:t>
            </w:r>
          </w:p>
        </w:tc>
        <w:tc>
          <w:tcPr>
            <w:tcW w:w="744" w:type="dxa"/>
            <w:noWrap/>
            <w:hideMark/>
          </w:tcPr>
          <w:p w14:paraId="6D8458A8"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094A173A"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7A69B8A6"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44DDBB6E"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00A799E4"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18E0466D"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 xml:space="preserve">Efectuar capacitación para la elaboración del Plan de Emergencia Escolar  </w:t>
            </w:r>
          </w:p>
        </w:tc>
        <w:tc>
          <w:tcPr>
            <w:tcW w:w="781" w:type="dxa"/>
            <w:noWrap/>
            <w:hideMark/>
          </w:tcPr>
          <w:p w14:paraId="6EFA71D3"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Documento</w:t>
            </w:r>
          </w:p>
        </w:tc>
        <w:tc>
          <w:tcPr>
            <w:tcW w:w="744" w:type="dxa"/>
            <w:noWrap/>
            <w:hideMark/>
          </w:tcPr>
          <w:p w14:paraId="18EDAEA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71511D71"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4FE378C7"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649D4687"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35FECA4C"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38C76212"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Actualización de las brigadas de Protección Civil</w:t>
            </w:r>
          </w:p>
        </w:tc>
        <w:tc>
          <w:tcPr>
            <w:tcW w:w="781" w:type="dxa"/>
            <w:noWrap/>
            <w:hideMark/>
          </w:tcPr>
          <w:p w14:paraId="540A26C1"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Documento</w:t>
            </w:r>
          </w:p>
        </w:tc>
        <w:tc>
          <w:tcPr>
            <w:tcW w:w="744" w:type="dxa"/>
            <w:noWrap/>
            <w:hideMark/>
          </w:tcPr>
          <w:p w14:paraId="247D93BB"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009929B4"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0EE19DC9"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006ECEC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6E1623CB"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0AA39154"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Efectuar curso de "Prevención en Materia de Protección Civil"</w:t>
            </w:r>
          </w:p>
        </w:tc>
        <w:tc>
          <w:tcPr>
            <w:tcW w:w="781" w:type="dxa"/>
            <w:noWrap/>
            <w:hideMark/>
          </w:tcPr>
          <w:p w14:paraId="400B0454"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Curso</w:t>
            </w:r>
          </w:p>
        </w:tc>
        <w:tc>
          <w:tcPr>
            <w:tcW w:w="744" w:type="dxa"/>
            <w:noWrap/>
            <w:hideMark/>
          </w:tcPr>
          <w:p w14:paraId="01B1E8EE"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2141A0D8"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6DC442A7"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1D3DFCC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346CE95D" w14:textId="77777777" w:rsidTr="00CF14B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62681EFA"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Dar Seguimiento a la actualización del Atlas de Riesgos por parte del Consejo.</w:t>
            </w:r>
          </w:p>
        </w:tc>
        <w:tc>
          <w:tcPr>
            <w:tcW w:w="781" w:type="dxa"/>
            <w:noWrap/>
            <w:hideMark/>
          </w:tcPr>
          <w:p w14:paraId="4F793CF4" w14:textId="77777777" w:rsidR="00393302" w:rsidRPr="00740752" w:rsidRDefault="00393302" w:rsidP="00CF14B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Documento</w:t>
            </w:r>
          </w:p>
        </w:tc>
        <w:tc>
          <w:tcPr>
            <w:tcW w:w="744" w:type="dxa"/>
            <w:noWrap/>
            <w:hideMark/>
          </w:tcPr>
          <w:p w14:paraId="7924383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3</w:t>
            </w:r>
          </w:p>
        </w:tc>
        <w:tc>
          <w:tcPr>
            <w:tcW w:w="622" w:type="dxa"/>
            <w:noWrap/>
            <w:hideMark/>
          </w:tcPr>
          <w:p w14:paraId="7D8CFB61"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2494A603"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c>
          <w:tcPr>
            <w:tcW w:w="622" w:type="dxa"/>
            <w:noWrap/>
            <w:hideMark/>
          </w:tcPr>
          <w:p w14:paraId="75B1789C" w14:textId="77777777" w:rsidR="00393302" w:rsidRPr="00740752" w:rsidRDefault="00393302" w:rsidP="00CF14B0">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1</w:t>
            </w:r>
          </w:p>
        </w:tc>
      </w:tr>
      <w:tr w:rsidR="00393302" w:rsidRPr="00740752" w14:paraId="6603C491" w14:textId="77777777" w:rsidTr="00CF14B0">
        <w:trPr>
          <w:trHeight w:val="300"/>
        </w:trPr>
        <w:tc>
          <w:tcPr>
            <w:cnfStyle w:val="001000000000" w:firstRow="0" w:lastRow="0" w:firstColumn="1" w:lastColumn="0" w:oddVBand="0" w:evenVBand="0" w:oddHBand="0" w:evenHBand="0" w:firstRowFirstColumn="0" w:firstRowLastColumn="0" w:lastRowFirstColumn="0" w:lastRowLastColumn="0"/>
            <w:tcW w:w="5437" w:type="dxa"/>
            <w:noWrap/>
            <w:hideMark/>
          </w:tcPr>
          <w:p w14:paraId="514175D1" w14:textId="77777777" w:rsidR="00393302" w:rsidRPr="00740752" w:rsidRDefault="00393302" w:rsidP="00CF14B0">
            <w:pPr>
              <w:rPr>
                <w:rFonts w:ascii="Calibri" w:eastAsia="Times New Roman" w:hAnsi="Calibri" w:cs="Calibri"/>
                <w:lang w:eastAsia="es-MX"/>
              </w:rPr>
            </w:pPr>
            <w:r w:rsidRPr="00740752">
              <w:rPr>
                <w:rFonts w:ascii="Calibri" w:eastAsia="Times New Roman" w:hAnsi="Calibri" w:cs="Calibri"/>
                <w:lang w:eastAsia="es-MX"/>
              </w:rPr>
              <w:t>Efectuar la Sesión del Consejos Municipal de Protección Civil</w:t>
            </w:r>
          </w:p>
        </w:tc>
        <w:tc>
          <w:tcPr>
            <w:tcW w:w="781" w:type="dxa"/>
            <w:noWrap/>
            <w:hideMark/>
          </w:tcPr>
          <w:p w14:paraId="5751B561" w14:textId="77777777" w:rsidR="00393302" w:rsidRPr="00740752" w:rsidRDefault="00393302" w:rsidP="00CF14B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Sesión</w:t>
            </w:r>
          </w:p>
        </w:tc>
        <w:tc>
          <w:tcPr>
            <w:tcW w:w="744" w:type="dxa"/>
            <w:noWrap/>
            <w:hideMark/>
          </w:tcPr>
          <w:p w14:paraId="74A83E0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6</w:t>
            </w:r>
          </w:p>
        </w:tc>
        <w:tc>
          <w:tcPr>
            <w:tcW w:w="622" w:type="dxa"/>
            <w:noWrap/>
            <w:hideMark/>
          </w:tcPr>
          <w:p w14:paraId="755F7830"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w:t>
            </w:r>
          </w:p>
        </w:tc>
        <w:tc>
          <w:tcPr>
            <w:tcW w:w="622" w:type="dxa"/>
            <w:noWrap/>
            <w:hideMark/>
          </w:tcPr>
          <w:p w14:paraId="6A92C2BE"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w:t>
            </w:r>
          </w:p>
        </w:tc>
        <w:tc>
          <w:tcPr>
            <w:tcW w:w="622" w:type="dxa"/>
            <w:noWrap/>
            <w:hideMark/>
          </w:tcPr>
          <w:p w14:paraId="1B45F63A" w14:textId="77777777" w:rsidR="00393302" w:rsidRPr="00740752" w:rsidRDefault="00393302" w:rsidP="00CF14B0">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s-MX"/>
              </w:rPr>
            </w:pPr>
            <w:r w:rsidRPr="00740752">
              <w:rPr>
                <w:rFonts w:ascii="Calibri" w:eastAsia="Times New Roman" w:hAnsi="Calibri" w:cs="Calibri"/>
                <w:lang w:eastAsia="es-MX"/>
              </w:rPr>
              <w:t>2</w:t>
            </w:r>
          </w:p>
        </w:tc>
      </w:tr>
    </w:tbl>
    <w:p w14:paraId="3325C511" w14:textId="41E3FFD0" w:rsidR="00393302" w:rsidRPr="00393302" w:rsidRDefault="00393302" w:rsidP="00393302">
      <w:pPr>
        <w:spacing w:after="160" w:line="360" w:lineRule="auto"/>
        <w:rPr>
          <w:rFonts w:ascii="Century Gothic" w:hAnsi="Century Gothic"/>
          <w:sz w:val="22"/>
          <w:szCs w:val="22"/>
        </w:rPr>
      </w:pPr>
    </w:p>
    <w:p w14:paraId="6B067B03" w14:textId="77777777" w:rsidR="00A54E2E" w:rsidRDefault="00A54E2E" w:rsidP="00393302">
      <w:pPr>
        <w:spacing w:after="160" w:line="360" w:lineRule="auto"/>
        <w:jc w:val="both"/>
        <w:rPr>
          <w:rFonts w:ascii="Century Gothic" w:hAnsi="Century Gothic"/>
          <w:bCs/>
          <w:lang w:val="es-US"/>
        </w:rPr>
        <w:sectPr w:rsidR="00A54E2E" w:rsidSect="00393302">
          <w:pgSz w:w="15840" w:h="12240" w:orient="landscape"/>
          <w:pgMar w:top="1440" w:right="1440" w:bottom="1440" w:left="1440" w:header="709" w:footer="709" w:gutter="0"/>
          <w:cols w:space="708"/>
          <w:docGrid w:linePitch="360"/>
        </w:sectPr>
      </w:pPr>
    </w:p>
    <w:p w14:paraId="39E39551" w14:textId="77777777" w:rsidR="0008767B" w:rsidRPr="0008767B" w:rsidRDefault="0008767B" w:rsidP="0008767B">
      <w:pPr>
        <w:spacing w:after="160" w:line="259" w:lineRule="auto"/>
        <w:rPr>
          <w:rFonts w:ascii="Century Gothic" w:hAnsi="Century Gothic"/>
          <w:b/>
          <w:color w:val="025850"/>
          <w:sz w:val="22"/>
          <w:szCs w:val="22"/>
        </w:rPr>
      </w:pPr>
      <w:bookmarkStart w:id="18" w:name="_Hlk193204941"/>
      <w:r w:rsidRPr="0008767B">
        <w:rPr>
          <w:rFonts w:ascii="Century Gothic" w:hAnsi="Century Gothic"/>
          <w:b/>
          <w:color w:val="025850"/>
          <w:sz w:val="22"/>
          <w:szCs w:val="22"/>
        </w:rPr>
        <w:lastRenderedPageBreak/>
        <w:t>Acciones Insignias Municipales</w:t>
      </w:r>
    </w:p>
    <w:tbl>
      <w:tblPr>
        <w:tblStyle w:val="Tablaconcuadrcula4-nfasis2"/>
        <w:tblW w:w="5000" w:type="pct"/>
        <w:tblLook w:val="04A0" w:firstRow="1" w:lastRow="0" w:firstColumn="1" w:lastColumn="0" w:noHBand="0" w:noVBand="1"/>
      </w:tblPr>
      <w:tblGrid>
        <w:gridCol w:w="2072"/>
        <w:gridCol w:w="1041"/>
        <w:gridCol w:w="142"/>
        <w:gridCol w:w="6926"/>
        <w:gridCol w:w="2769"/>
      </w:tblGrid>
      <w:tr w:rsidR="0008767B" w:rsidRPr="0008767B" w14:paraId="01E1A438" w14:textId="77777777" w:rsidTr="0008767B">
        <w:trPr>
          <w:cnfStyle w:val="100000000000" w:firstRow="1" w:lastRow="0" w:firstColumn="0" w:lastColumn="0" w:oddVBand="0" w:evenVBand="0" w:oddHBand="0"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1202" w:type="pct"/>
            <w:gridSpan w:val="2"/>
          </w:tcPr>
          <w:p w14:paraId="1B5F570D" w14:textId="77777777" w:rsidR="0008767B" w:rsidRPr="0008767B" w:rsidRDefault="0008767B" w:rsidP="0008767B">
            <w:pPr>
              <w:jc w:val="both"/>
              <w:rPr>
                <w:rFonts w:ascii="Century Gothic" w:hAnsi="Century Gothic"/>
                <w:color w:val="auto"/>
                <w:sz w:val="18"/>
                <w:szCs w:val="18"/>
              </w:rPr>
            </w:pPr>
            <w:bookmarkStart w:id="19" w:name="_Hlk193204957"/>
            <w:bookmarkEnd w:id="18"/>
            <w:r w:rsidRPr="0008767B">
              <w:rPr>
                <w:rFonts w:ascii="Century Gothic" w:hAnsi="Century Gothic"/>
                <w:noProof/>
                <w:sz w:val="18"/>
                <w:szCs w:val="18"/>
              </w:rPr>
              <w:drawing>
                <wp:inline distT="0" distB="0" distL="0" distR="0" wp14:anchorId="7010FED6" wp14:editId="5D90F0D3">
                  <wp:extent cx="666750" cy="634139"/>
                  <wp:effectExtent l="0" t="0" r="0" b="0"/>
                  <wp:docPr id="1196544875" name="Imagen 1196544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79772" cy="646524"/>
                          </a:xfrm>
                          <a:prstGeom prst="rect">
                            <a:avLst/>
                          </a:prstGeom>
                          <a:noFill/>
                          <a:ln>
                            <a:noFill/>
                          </a:ln>
                        </pic:spPr>
                      </pic:pic>
                    </a:graphicData>
                  </a:graphic>
                </wp:inline>
              </w:drawing>
            </w:r>
          </w:p>
        </w:tc>
        <w:tc>
          <w:tcPr>
            <w:tcW w:w="3798" w:type="pct"/>
            <w:gridSpan w:val="3"/>
          </w:tcPr>
          <w:p w14:paraId="6A42E39B" w14:textId="77777777" w:rsidR="0008767B" w:rsidRPr="0008767B" w:rsidRDefault="0008767B" w:rsidP="0008767B">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Cs w:val="0"/>
                <w:sz w:val="18"/>
                <w:szCs w:val="18"/>
              </w:rPr>
            </w:pPr>
          </w:p>
          <w:p w14:paraId="23229CAF" w14:textId="77777777" w:rsidR="0008767B" w:rsidRPr="0008767B" w:rsidRDefault="0008767B" w:rsidP="0008767B">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Cs w:val="0"/>
                <w:color w:val="auto"/>
                <w:sz w:val="18"/>
                <w:szCs w:val="18"/>
              </w:rPr>
            </w:pPr>
            <w:r w:rsidRPr="0008767B">
              <w:rPr>
                <w:rFonts w:ascii="Century Gothic" w:hAnsi="Century Gothic"/>
                <w:bCs w:val="0"/>
                <w:sz w:val="18"/>
                <w:szCs w:val="18"/>
              </w:rPr>
              <w:t>PROGRAMA CALLES SEGURAS E ILUMINADAS</w:t>
            </w:r>
          </w:p>
        </w:tc>
      </w:tr>
      <w:tr w:rsidR="0008767B" w:rsidRPr="0008767B" w14:paraId="7EA2F2CA" w14:textId="77777777" w:rsidTr="0008767B">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5000" w:type="pct"/>
            <w:gridSpan w:val="5"/>
          </w:tcPr>
          <w:p w14:paraId="4865A620"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 xml:space="preserve">Objetivo:  </w:t>
            </w:r>
            <w:r w:rsidRPr="0008767B">
              <w:rPr>
                <w:rFonts w:ascii="Century Gothic" w:hAnsi="Century Gothic"/>
                <w:b w:val="0"/>
                <w:sz w:val="18"/>
                <w:szCs w:val="18"/>
              </w:rPr>
              <w:t>Realizar acciones de despliegue operativo para prevenir el delito y disuadir su comisión en zonas vulnerables o de alta incidencia delictiva.</w:t>
            </w:r>
          </w:p>
        </w:tc>
      </w:tr>
      <w:tr w:rsidR="0008767B" w:rsidRPr="0008767B" w14:paraId="2D464F97" w14:textId="77777777" w:rsidTr="0008767B">
        <w:trPr>
          <w:trHeight w:val="125"/>
        </w:trPr>
        <w:tc>
          <w:tcPr>
            <w:cnfStyle w:val="001000000000" w:firstRow="0" w:lastRow="0" w:firstColumn="1" w:lastColumn="0" w:oddVBand="0" w:evenVBand="0" w:oddHBand="0" w:evenHBand="0" w:firstRowFirstColumn="0" w:firstRowLastColumn="0" w:lastRowFirstColumn="0" w:lastRowLastColumn="0"/>
            <w:tcW w:w="5000" w:type="pct"/>
            <w:gridSpan w:val="5"/>
          </w:tcPr>
          <w:p w14:paraId="4C492612"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Alineación</w:t>
            </w:r>
          </w:p>
        </w:tc>
      </w:tr>
      <w:tr w:rsidR="0008767B" w:rsidRPr="0008767B" w14:paraId="4925E5AE" w14:textId="77777777" w:rsidTr="0008767B">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800" w:type="pct"/>
          </w:tcPr>
          <w:p w14:paraId="7D681F88" w14:textId="77777777" w:rsidR="0008767B" w:rsidRPr="0008767B" w:rsidRDefault="0008767B" w:rsidP="0008767B">
            <w:pPr>
              <w:jc w:val="both"/>
              <w:rPr>
                <w:rFonts w:ascii="Century Gothic" w:hAnsi="Century Gothic"/>
                <w:b w:val="0"/>
                <w:sz w:val="18"/>
                <w:szCs w:val="18"/>
              </w:rPr>
            </w:pPr>
          </w:p>
          <w:p w14:paraId="1E8E8FC8"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ODS</w:t>
            </w:r>
          </w:p>
        </w:tc>
        <w:tc>
          <w:tcPr>
            <w:tcW w:w="4200" w:type="pct"/>
            <w:gridSpan w:val="4"/>
          </w:tcPr>
          <w:p w14:paraId="5E2EAA5F" w14:textId="506D95D9"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noProof/>
                <w:sz w:val="18"/>
                <w:szCs w:val="18"/>
              </w:rPr>
              <w:drawing>
                <wp:anchor distT="0" distB="0" distL="114300" distR="114300" simplePos="0" relativeHeight="251736064" behindDoc="0" locked="0" layoutInCell="1" allowOverlap="1" wp14:anchorId="0ECCCB28" wp14:editId="18BB1E95">
                  <wp:simplePos x="0" y="0"/>
                  <wp:positionH relativeFrom="column">
                    <wp:posOffset>966470</wp:posOffset>
                  </wp:positionH>
                  <wp:positionV relativeFrom="page">
                    <wp:posOffset>70485</wp:posOffset>
                  </wp:positionV>
                  <wp:extent cx="360000" cy="360000"/>
                  <wp:effectExtent l="0" t="0" r="2540" b="2540"/>
                  <wp:wrapNone/>
                  <wp:docPr id="1196544887"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767B">
              <w:rPr>
                <w:rFonts w:ascii="Century Gothic" w:hAnsi="Century Gothic"/>
                <w:bCs/>
                <w:noProof/>
                <w:sz w:val="18"/>
                <w:szCs w:val="18"/>
              </w:rPr>
              <w:drawing>
                <wp:anchor distT="0" distB="0" distL="114300" distR="114300" simplePos="0" relativeHeight="251735040" behindDoc="0" locked="0" layoutInCell="1" allowOverlap="1" wp14:anchorId="3410C663" wp14:editId="1FD71130">
                  <wp:simplePos x="0" y="0"/>
                  <wp:positionH relativeFrom="column">
                    <wp:posOffset>199390</wp:posOffset>
                  </wp:positionH>
                  <wp:positionV relativeFrom="page">
                    <wp:posOffset>61595</wp:posOffset>
                  </wp:positionV>
                  <wp:extent cx="359410" cy="359410"/>
                  <wp:effectExtent l="0" t="0" r="2540" b="2540"/>
                  <wp:wrapNone/>
                  <wp:docPr id="1196544886"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4AD9A0" w14:textId="32F78F6F"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358BA42B"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tc>
      </w:tr>
      <w:tr w:rsidR="0008767B" w:rsidRPr="0008767B" w14:paraId="227EC9BD" w14:textId="77777777" w:rsidTr="0008767B">
        <w:trPr>
          <w:trHeight w:val="415"/>
        </w:trPr>
        <w:tc>
          <w:tcPr>
            <w:cnfStyle w:val="001000000000" w:firstRow="0" w:lastRow="0" w:firstColumn="1" w:lastColumn="0" w:oddVBand="0" w:evenVBand="0" w:oddHBand="0" w:evenHBand="0" w:firstRowFirstColumn="0" w:firstRowLastColumn="0" w:lastRowFirstColumn="0" w:lastRowLastColumn="0"/>
            <w:tcW w:w="1257" w:type="pct"/>
            <w:gridSpan w:val="3"/>
          </w:tcPr>
          <w:p w14:paraId="4DE918CE"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Plan Nacional de Desarrollo</w:t>
            </w:r>
          </w:p>
        </w:tc>
        <w:tc>
          <w:tcPr>
            <w:tcW w:w="3743" w:type="pct"/>
            <w:gridSpan w:val="2"/>
          </w:tcPr>
          <w:p w14:paraId="02697374" w14:textId="77777777" w:rsidR="0008767B" w:rsidRPr="0008767B" w:rsidRDefault="0008767B" w:rsidP="0008767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18"/>
                <w:szCs w:val="18"/>
              </w:rPr>
            </w:pPr>
            <w:r w:rsidRPr="0008767B">
              <w:rPr>
                <w:rFonts w:ascii="Century Gothic" w:hAnsi="Century Gothic"/>
                <w:b/>
                <w:bCs/>
                <w:sz w:val="18"/>
                <w:szCs w:val="18"/>
              </w:rPr>
              <w:t>PDEM 2023-2027</w:t>
            </w:r>
          </w:p>
        </w:tc>
      </w:tr>
      <w:tr w:rsidR="0008767B" w:rsidRPr="0008767B" w14:paraId="1D570E3C" w14:textId="77777777" w:rsidTr="0008767B">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1257" w:type="pct"/>
            <w:gridSpan w:val="3"/>
          </w:tcPr>
          <w:p w14:paraId="750E0BA9" w14:textId="77777777" w:rsidR="0008767B" w:rsidRPr="0008767B" w:rsidRDefault="0008767B" w:rsidP="0008767B">
            <w:pPr>
              <w:jc w:val="both"/>
              <w:rPr>
                <w:rFonts w:ascii="Century Gothic" w:hAnsi="Century Gothic"/>
                <w:b w:val="0"/>
                <w:sz w:val="18"/>
                <w:szCs w:val="18"/>
              </w:rPr>
            </w:pPr>
            <w:r w:rsidRPr="0008767B">
              <w:rPr>
                <w:rFonts w:ascii="Century Gothic" w:hAnsi="Century Gothic"/>
                <w:sz w:val="18"/>
                <w:szCs w:val="18"/>
              </w:rPr>
              <w:t>Tema: 01</w:t>
            </w:r>
          </w:p>
          <w:p w14:paraId="36E2457C"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Subtema</w:t>
            </w:r>
          </w:p>
        </w:tc>
        <w:tc>
          <w:tcPr>
            <w:tcW w:w="3743" w:type="pct"/>
            <w:gridSpan w:val="2"/>
          </w:tcPr>
          <w:p w14:paraId="21907FE3"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Objetivo</w:t>
            </w:r>
          </w:p>
          <w:p w14:paraId="3F86F923" w14:textId="5FC4DB73"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T 2.2 Promover una cultura de paz, respeto y convivencia pacífica, que incremente la capacidad gubernamental y social para proteger los derechos fundamentales de las personas.</w:t>
            </w:r>
          </w:p>
          <w:p w14:paraId="38108D1B"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6E021308"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Estrategia</w:t>
            </w:r>
          </w:p>
          <w:p w14:paraId="60A10C05"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T 2.2.1 Impulsar la cohesión social como condición indispensable para la gobernabilidad y paz social.</w:t>
            </w:r>
          </w:p>
        </w:tc>
      </w:tr>
      <w:tr w:rsidR="0008767B" w:rsidRPr="0008767B" w14:paraId="6C0A0A63" w14:textId="77777777" w:rsidTr="0008767B">
        <w:trPr>
          <w:trHeight w:val="283"/>
        </w:trPr>
        <w:tc>
          <w:tcPr>
            <w:cnfStyle w:val="001000000000" w:firstRow="0" w:lastRow="0" w:firstColumn="1" w:lastColumn="0" w:oddVBand="0" w:evenVBand="0" w:oddHBand="0" w:evenHBand="0" w:firstRowFirstColumn="0" w:firstRowLastColumn="0" w:lastRowFirstColumn="0" w:lastRowLastColumn="0"/>
            <w:tcW w:w="3931" w:type="pct"/>
            <w:gridSpan w:val="4"/>
          </w:tcPr>
          <w:p w14:paraId="2FC9D549"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 xml:space="preserve">Componente 1 </w:t>
            </w:r>
            <w:r w:rsidRPr="0008767B">
              <w:rPr>
                <w:rFonts w:ascii="Century Gothic" w:hAnsi="Century Gothic"/>
                <w:b w:val="0"/>
                <w:sz w:val="18"/>
                <w:szCs w:val="18"/>
              </w:rPr>
              <w:t>Promover acciones</w:t>
            </w:r>
            <w:r w:rsidRPr="0008767B">
              <w:rPr>
                <w:rFonts w:ascii="Century Gothic" w:hAnsi="Century Gothic"/>
                <w:sz w:val="18"/>
                <w:szCs w:val="18"/>
              </w:rPr>
              <w:t xml:space="preserve"> que permitan reducir las desigualdades sociales</w:t>
            </w:r>
          </w:p>
        </w:tc>
        <w:tc>
          <w:tcPr>
            <w:tcW w:w="1069" w:type="pct"/>
          </w:tcPr>
          <w:p w14:paraId="6D0821EA" w14:textId="77777777" w:rsidR="0008767B" w:rsidRPr="0008767B" w:rsidRDefault="0008767B" w:rsidP="0008767B">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18"/>
                <w:szCs w:val="18"/>
              </w:rPr>
            </w:pPr>
            <w:r w:rsidRPr="0008767B">
              <w:rPr>
                <w:rFonts w:ascii="Century Gothic" w:hAnsi="Century Gothic"/>
                <w:b/>
                <w:bCs/>
                <w:sz w:val="18"/>
                <w:szCs w:val="18"/>
              </w:rPr>
              <w:t>Dependencia Responsable</w:t>
            </w:r>
          </w:p>
        </w:tc>
      </w:tr>
      <w:tr w:rsidR="0008767B" w:rsidRPr="0008767B" w14:paraId="5B3DE1EC" w14:textId="77777777" w:rsidTr="0008767B">
        <w:trPr>
          <w:cnfStyle w:val="000000100000" w:firstRow="0" w:lastRow="0" w:firstColumn="0" w:lastColumn="0" w:oddVBand="0" w:evenVBand="0" w:oddHBand="1" w:evenHBand="0" w:firstRowFirstColumn="0" w:firstRowLastColumn="0" w:lastRowFirstColumn="0" w:lastRowLastColumn="0"/>
          <w:trHeight w:val="1691"/>
        </w:trPr>
        <w:tc>
          <w:tcPr>
            <w:cnfStyle w:val="001000000000" w:firstRow="0" w:lastRow="0" w:firstColumn="1" w:lastColumn="0" w:oddVBand="0" w:evenVBand="0" w:oddHBand="0" w:evenHBand="0" w:firstRowFirstColumn="0" w:firstRowLastColumn="0" w:lastRowFirstColumn="0" w:lastRowLastColumn="0"/>
            <w:tcW w:w="1257" w:type="pct"/>
            <w:gridSpan w:val="3"/>
          </w:tcPr>
          <w:p w14:paraId="583D65E2" w14:textId="77777777" w:rsidR="0008767B" w:rsidRPr="0008767B" w:rsidRDefault="0008767B" w:rsidP="0008767B">
            <w:pPr>
              <w:jc w:val="both"/>
              <w:rPr>
                <w:rFonts w:ascii="Century Gothic" w:hAnsi="Century Gothic"/>
                <w:b w:val="0"/>
                <w:sz w:val="18"/>
                <w:szCs w:val="18"/>
              </w:rPr>
            </w:pPr>
          </w:p>
          <w:p w14:paraId="467A7AEC" w14:textId="77777777" w:rsidR="0008767B" w:rsidRPr="0008767B" w:rsidRDefault="0008767B" w:rsidP="0008767B">
            <w:pPr>
              <w:jc w:val="both"/>
              <w:rPr>
                <w:rFonts w:ascii="Century Gothic" w:hAnsi="Century Gothic"/>
                <w:b w:val="0"/>
                <w:sz w:val="18"/>
                <w:szCs w:val="18"/>
              </w:rPr>
            </w:pPr>
          </w:p>
          <w:p w14:paraId="63CA982F" w14:textId="77777777" w:rsidR="0008767B" w:rsidRPr="0008767B" w:rsidRDefault="0008767B" w:rsidP="0008767B">
            <w:pPr>
              <w:jc w:val="both"/>
              <w:rPr>
                <w:rFonts w:ascii="Century Gothic" w:hAnsi="Century Gothic"/>
                <w:sz w:val="18"/>
                <w:szCs w:val="18"/>
              </w:rPr>
            </w:pPr>
            <w:r w:rsidRPr="0008767B">
              <w:rPr>
                <w:rFonts w:ascii="Century Gothic" w:hAnsi="Century Gothic"/>
                <w:sz w:val="18"/>
                <w:szCs w:val="18"/>
              </w:rPr>
              <w:t>Acciones Especificas</w:t>
            </w:r>
          </w:p>
        </w:tc>
        <w:tc>
          <w:tcPr>
            <w:tcW w:w="2674" w:type="pct"/>
          </w:tcPr>
          <w:p w14:paraId="6E3D24DA" w14:textId="77777777" w:rsidR="0008767B" w:rsidRPr="0008767B" w:rsidRDefault="0008767B" w:rsidP="0008767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 xml:space="preserve">Dotar de uniformes a la policía activa </w:t>
            </w:r>
          </w:p>
          <w:p w14:paraId="3ABBC0F9" w14:textId="77777777" w:rsidR="0008767B" w:rsidRPr="0008767B" w:rsidRDefault="0008767B" w:rsidP="0008767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 xml:space="preserve">Efectuar el mantenimiento preventivo correctivo de las patrullas </w:t>
            </w:r>
          </w:p>
          <w:p w14:paraId="4FE6DB03" w14:textId="77777777" w:rsidR="0008767B" w:rsidRPr="0008767B" w:rsidRDefault="0008767B" w:rsidP="0008767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 xml:space="preserve">Mantener actualizado el sistema estratégico de video vigilancia </w:t>
            </w:r>
          </w:p>
          <w:p w14:paraId="666CD1A9" w14:textId="77777777" w:rsidR="0008767B" w:rsidRPr="0008767B" w:rsidRDefault="0008767B" w:rsidP="0008767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 xml:space="preserve">Aplicar examen de control y confianza </w:t>
            </w:r>
          </w:p>
          <w:p w14:paraId="77B43CD9" w14:textId="77777777" w:rsidR="0008767B" w:rsidRPr="0008767B" w:rsidRDefault="0008767B" w:rsidP="0008767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 xml:space="preserve">Efectuar la certificación única policial de elementos de seguridad pública </w:t>
            </w:r>
          </w:p>
          <w:p w14:paraId="0B728B79" w14:textId="183F5B9F" w:rsidR="0008767B" w:rsidRPr="0008767B" w:rsidRDefault="0008767B" w:rsidP="0008767B">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 xml:space="preserve">Actualizar y capacitar a policías en materia de justicia penal </w:t>
            </w:r>
          </w:p>
          <w:p w14:paraId="445D5C73" w14:textId="77777777" w:rsidR="0008767B" w:rsidRPr="0008767B" w:rsidRDefault="0008767B" w:rsidP="0008767B">
            <w:pPr>
              <w:numPr>
                <w:ilvl w:val="0"/>
                <w:numId w:val="41"/>
              </w:numPr>
              <w:contextualSpacing/>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08767B">
              <w:rPr>
                <w:rFonts w:ascii="Century Gothic" w:hAnsi="Century Gothic"/>
                <w:color w:val="000000" w:themeColor="text1"/>
                <w:sz w:val="18"/>
                <w:szCs w:val="18"/>
              </w:rPr>
              <w:t>Realizar acciones de rehabilitación y mantenimiento de alumbrado</w:t>
            </w:r>
          </w:p>
          <w:p w14:paraId="2BB10D54" w14:textId="51AAB1CF"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ab/>
            </w:r>
          </w:p>
        </w:tc>
        <w:tc>
          <w:tcPr>
            <w:tcW w:w="1069" w:type="pct"/>
          </w:tcPr>
          <w:p w14:paraId="42591F77"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7018EACD"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06F49AC2"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Dirección de Seguridad Pública</w:t>
            </w:r>
          </w:p>
          <w:p w14:paraId="70E1C7AF"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01255441"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101DDF83"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p>
          <w:p w14:paraId="65146A46" w14:textId="77777777" w:rsidR="0008767B" w:rsidRPr="0008767B" w:rsidRDefault="0008767B" w:rsidP="0008767B">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18"/>
                <w:szCs w:val="18"/>
              </w:rPr>
            </w:pPr>
            <w:r w:rsidRPr="0008767B">
              <w:rPr>
                <w:rFonts w:ascii="Century Gothic" w:hAnsi="Century Gothic"/>
                <w:bCs/>
                <w:sz w:val="18"/>
                <w:szCs w:val="18"/>
              </w:rPr>
              <w:t>Coordinación de Alumbrado</w:t>
            </w:r>
          </w:p>
        </w:tc>
      </w:tr>
      <w:bookmarkEnd w:id="19"/>
    </w:tbl>
    <w:p w14:paraId="5FF82E95" w14:textId="09A13852" w:rsidR="0008767B" w:rsidRDefault="0008767B" w:rsidP="00393302">
      <w:pPr>
        <w:spacing w:after="160" w:line="360" w:lineRule="auto"/>
        <w:jc w:val="both"/>
        <w:rPr>
          <w:rFonts w:ascii="Century Gothic" w:hAnsi="Century Gothic"/>
          <w:bCs/>
          <w:lang w:val="es-US"/>
        </w:rPr>
      </w:pPr>
    </w:p>
    <w:p w14:paraId="08FA5711" w14:textId="77777777" w:rsidR="0008767B" w:rsidRDefault="0008767B">
      <w:pPr>
        <w:rPr>
          <w:rFonts w:ascii="Century Gothic" w:hAnsi="Century Gothic"/>
          <w:bCs/>
          <w:lang w:val="es-US"/>
        </w:rPr>
      </w:pPr>
      <w:r>
        <w:rPr>
          <w:rFonts w:ascii="Century Gothic" w:hAnsi="Century Gothic"/>
          <w:bCs/>
          <w:lang w:val="es-US"/>
        </w:rPr>
        <w:br w:type="page"/>
      </w:r>
    </w:p>
    <w:p w14:paraId="76967811" w14:textId="77777777" w:rsidR="0008767B" w:rsidRDefault="0008767B" w:rsidP="00393302">
      <w:pPr>
        <w:spacing w:after="160" w:line="360" w:lineRule="auto"/>
        <w:jc w:val="both"/>
        <w:rPr>
          <w:rFonts w:ascii="Century Gothic" w:hAnsi="Century Gothic"/>
          <w:bCs/>
          <w:lang w:val="es-US"/>
        </w:rPr>
        <w:sectPr w:rsidR="0008767B" w:rsidSect="0008767B">
          <w:pgSz w:w="15840" w:h="12240" w:orient="landscape"/>
          <w:pgMar w:top="1440" w:right="1440" w:bottom="1440" w:left="1440" w:header="709" w:footer="709" w:gutter="0"/>
          <w:cols w:space="708"/>
          <w:docGrid w:linePitch="360"/>
        </w:sectPr>
      </w:pPr>
    </w:p>
    <w:p w14:paraId="07780AE0" w14:textId="77777777" w:rsidR="00CD1C55" w:rsidRDefault="00CD1C55" w:rsidP="00CD1C55">
      <w:pPr>
        <w:spacing w:before="166" w:line="362" w:lineRule="auto"/>
        <w:jc w:val="right"/>
        <w:rPr>
          <w:color w:val="8DD873" w:themeColor="accent6" w:themeTint="99"/>
          <w:sz w:val="36"/>
          <w:szCs w:val="36"/>
        </w:rPr>
      </w:pPr>
    </w:p>
    <w:p w14:paraId="4A405BAE" w14:textId="77777777" w:rsidR="00CD1C55" w:rsidRDefault="00CD1C55" w:rsidP="00CD1C55">
      <w:pPr>
        <w:spacing w:before="166" w:line="362" w:lineRule="auto"/>
        <w:jc w:val="right"/>
        <w:rPr>
          <w:color w:val="8DD873" w:themeColor="accent6" w:themeTint="99"/>
          <w:sz w:val="36"/>
          <w:szCs w:val="36"/>
        </w:rPr>
      </w:pPr>
    </w:p>
    <w:p w14:paraId="73D2537F" w14:textId="77777777" w:rsidR="00CD1C55" w:rsidRDefault="00CD1C55" w:rsidP="00CD1C55">
      <w:pPr>
        <w:spacing w:before="166" w:line="362" w:lineRule="auto"/>
        <w:jc w:val="right"/>
        <w:rPr>
          <w:color w:val="8DD873" w:themeColor="accent6" w:themeTint="99"/>
          <w:sz w:val="36"/>
          <w:szCs w:val="36"/>
        </w:rPr>
      </w:pPr>
    </w:p>
    <w:p w14:paraId="58D8CB10" w14:textId="77777777" w:rsidR="00CD1C55" w:rsidRDefault="00CD1C55" w:rsidP="00CD1C55">
      <w:pPr>
        <w:spacing w:before="166" w:line="362" w:lineRule="auto"/>
        <w:jc w:val="right"/>
        <w:rPr>
          <w:color w:val="8DD873" w:themeColor="accent6" w:themeTint="99"/>
          <w:sz w:val="36"/>
          <w:szCs w:val="36"/>
        </w:rPr>
      </w:pPr>
    </w:p>
    <w:p w14:paraId="7839FD2C" w14:textId="77777777" w:rsidR="00CD1C55" w:rsidRDefault="00CD1C55" w:rsidP="00CD1C55">
      <w:pPr>
        <w:spacing w:before="166" w:line="362" w:lineRule="auto"/>
        <w:jc w:val="right"/>
        <w:rPr>
          <w:color w:val="8DD873" w:themeColor="accent6" w:themeTint="99"/>
          <w:sz w:val="36"/>
          <w:szCs w:val="36"/>
        </w:rPr>
      </w:pPr>
    </w:p>
    <w:p w14:paraId="52327ED6" w14:textId="77777777" w:rsidR="00CD1C55" w:rsidRDefault="00CD1C55" w:rsidP="00CD1C55">
      <w:pPr>
        <w:spacing w:before="166" w:line="362" w:lineRule="auto"/>
        <w:jc w:val="right"/>
        <w:rPr>
          <w:color w:val="8DD873" w:themeColor="accent6" w:themeTint="99"/>
          <w:sz w:val="36"/>
          <w:szCs w:val="36"/>
        </w:rPr>
      </w:pPr>
    </w:p>
    <w:p w14:paraId="78FB878C" w14:textId="77777777" w:rsidR="00CD1C55" w:rsidRDefault="00CD1C55" w:rsidP="00CD1C55">
      <w:pPr>
        <w:spacing w:before="166" w:line="362" w:lineRule="auto"/>
        <w:jc w:val="right"/>
        <w:rPr>
          <w:color w:val="8DD873" w:themeColor="accent6" w:themeTint="99"/>
          <w:sz w:val="36"/>
          <w:szCs w:val="36"/>
        </w:rPr>
      </w:pPr>
    </w:p>
    <w:p w14:paraId="68C63D18" w14:textId="77777777" w:rsidR="00CD1C55" w:rsidRDefault="00CD1C55" w:rsidP="00CD1C55">
      <w:pPr>
        <w:spacing w:before="166" w:line="362" w:lineRule="auto"/>
        <w:jc w:val="right"/>
        <w:rPr>
          <w:color w:val="8DD873" w:themeColor="accent6" w:themeTint="99"/>
          <w:sz w:val="36"/>
          <w:szCs w:val="36"/>
        </w:rPr>
      </w:pPr>
    </w:p>
    <w:p w14:paraId="06DB3EE7" w14:textId="77777777" w:rsidR="00CD1C55" w:rsidRDefault="00CD1C55" w:rsidP="00CD1C55">
      <w:pPr>
        <w:spacing w:before="166" w:line="362" w:lineRule="auto"/>
        <w:jc w:val="right"/>
        <w:rPr>
          <w:color w:val="8DD873" w:themeColor="accent6" w:themeTint="99"/>
          <w:sz w:val="36"/>
          <w:szCs w:val="36"/>
        </w:rPr>
      </w:pPr>
    </w:p>
    <w:p w14:paraId="043E9838" w14:textId="77777777" w:rsidR="00CD1C55" w:rsidRDefault="00CD1C55" w:rsidP="00CD1C55">
      <w:pPr>
        <w:spacing w:before="166" w:line="362" w:lineRule="auto"/>
        <w:jc w:val="right"/>
        <w:rPr>
          <w:color w:val="8DD873" w:themeColor="accent6" w:themeTint="99"/>
          <w:sz w:val="36"/>
          <w:szCs w:val="36"/>
        </w:rPr>
      </w:pPr>
    </w:p>
    <w:p w14:paraId="053B6CDF" w14:textId="77777777" w:rsidR="00CD1C55" w:rsidRDefault="00CD1C55" w:rsidP="00CD1C55">
      <w:pPr>
        <w:spacing w:before="166" w:line="362" w:lineRule="auto"/>
        <w:jc w:val="right"/>
        <w:rPr>
          <w:color w:val="8DD873" w:themeColor="accent6" w:themeTint="99"/>
          <w:sz w:val="36"/>
          <w:szCs w:val="36"/>
        </w:rPr>
      </w:pPr>
    </w:p>
    <w:p w14:paraId="145DFDB4" w14:textId="3A1C46F6" w:rsidR="00CD1C55" w:rsidRDefault="00CD1C55" w:rsidP="00CD1C55">
      <w:pPr>
        <w:spacing w:before="166" w:line="362" w:lineRule="auto"/>
        <w:rPr>
          <w:color w:val="8DD873" w:themeColor="accent6" w:themeTint="99"/>
          <w:sz w:val="36"/>
          <w:szCs w:val="36"/>
        </w:rPr>
      </w:pPr>
    </w:p>
    <w:p w14:paraId="69DB1A0A" w14:textId="1582F2AA" w:rsidR="00CD1C55" w:rsidRDefault="00CD1C55" w:rsidP="00CD1C55">
      <w:pPr>
        <w:spacing w:before="166" w:line="362" w:lineRule="auto"/>
        <w:rPr>
          <w:color w:val="8DD873" w:themeColor="accent6" w:themeTint="99"/>
          <w:sz w:val="36"/>
          <w:szCs w:val="36"/>
        </w:rPr>
      </w:pPr>
    </w:p>
    <w:p w14:paraId="5BA40EFD" w14:textId="3FDFF8B2" w:rsidR="00CD1C55" w:rsidRDefault="00CD1C55" w:rsidP="00CD1C55">
      <w:pPr>
        <w:spacing w:before="166" w:line="362" w:lineRule="auto"/>
        <w:rPr>
          <w:color w:val="8DD873" w:themeColor="accent6" w:themeTint="99"/>
          <w:sz w:val="36"/>
          <w:szCs w:val="36"/>
        </w:rPr>
      </w:pPr>
    </w:p>
    <w:p w14:paraId="0E549703" w14:textId="5E321977" w:rsidR="00CD1C55" w:rsidRDefault="00CD1C55" w:rsidP="00CD1C55">
      <w:pPr>
        <w:spacing w:before="166" w:line="362" w:lineRule="auto"/>
        <w:rPr>
          <w:color w:val="8DD873" w:themeColor="accent6" w:themeTint="99"/>
          <w:sz w:val="36"/>
          <w:szCs w:val="36"/>
        </w:rPr>
      </w:pPr>
    </w:p>
    <w:p w14:paraId="4307E018" w14:textId="77777777" w:rsidR="00CD1C55" w:rsidRDefault="00CD1C55" w:rsidP="00CD1C55">
      <w:pPr>
        <w:spacing w:before="166" w:line="362" w:lineRule="auto"/>
        <w:rPr>
          <w:rFonts w:ascii="Century Gothic" w:hAnsi="Century Gothic"/>
          <w:b/>
          <w:bCs/>
          <w:color w:val="8DD873" w:themeColor="accent6" w:themeTint="99"/>
          <w:sz w:val="28"/>
          <w:szCs w:val="28"/>
        </w:rPr>
      </w:pPr>
    </w:p>
    <w:p w14:paraId="4E4BB1AF" w14:textId="160ACD28" w:rsidR="00CD1C55" w:rsidRPr="00CD1C55" w:rsidRDefault="00CD1C55" w:rsidP="00CD1C55">
      <w:pPr>
        <w:spacing w:before="166" w:line="362" w:lineRule="auto"/>
        <w:rPr>
          <w:rFonts w:ascii="Century Gothic" w:hAnsi="Century Gothic"/>
          <w:b/>
          <w:bCs/>
          <w:color w:val="025850"/>
          <w:sz w:val="28"/>
          <w:szCs w:val="28"/>
        </w:rPr>
      </w:pPr>
      <w:r w:rsidRPr="00CD1C55">
        <w:rPr>
          <w:rFonts w:ascii="Century Gothic" w:hAnsi="Century Gothic"/>
          <w:b/>
          <w:bCs/>
          <w:color w:val="025850"/>
          <w:sz w:val="28"/>
          <w:szCs w:val="28"/>
        </w:rPr>
        <w:t xml:space="preserve">EJE Transversal 3: Cumplimiento a los Objetivos de Desarrollo Sustentable </w:t>
      </w:r>
    </w:p>
    <w:p w14:paraId="2F1ED579" w14:textId="77777777" w:rsidR="00CD1C55" w:rsidRPr="00CD1C55" w:rsidRDefault="00CD1C55" w:rsidP="00CD1C55">
      <w:pPr>
        <w:spacing w:before="166" w:line="362" w:lineRule="auto"/>
        <w:rPr>
          <w:rFonts w:ascii="Century Gothic" w:hAnsi="Century Gothic"/>
          <w:b/>
          <w:bCs/>
          <w:color w:val="025850"/>
        </w:rPr>
      </w:pPr>
    </w:p>
    <w:p w14:paraId="4CF05F31" w14:textId="77777777" w:rsidR="00CD1C55" w:rsidRPr="00CD1C55" w:rsidRDefault="00CD1C55" w:rsidP="00CD1C55">
      <w:pPr>
        <w:spacing w:before="166"/>
        <w:jc w:val="center"/>
        <w:rPr>
          <w:rFonts w:ascii="Century Gothic" w:hAnsi="Century Gothic"/>
          <w:b/>
          <w:bCs/>
          <w:color w:val="025850"/>
          <w:sz w:val="22"/>
          <w:szCs w:val="22"/>
        </w:rPr>
      </w:pPr>
      <w:r w:rsidRPr="00CD1C55">
        <w:rPr>
          <w:rFonts w:ascii="Century Gothic" w:hAnsi="Century Gothic"/>
          <w:b/>
          <w:bCs/>
          <w:color w:val="025850"/>
          <w:sz w:val="22"/>
          <w:szCs w:val="22"/>
        </w:rPr>
        <w:t xml:space="preserve">Cada elección que hacemos, cada paso que </w:t>
      </w:r>
      <w:proofErr w:type="gramStart"/>
      <w:r w:rsidRPr="00CD1C55">
        <w:rPr>
          <w:rFonts w:ascii="Century Gothic" w:hAnsi="Century Gothic"/>
          <w:b/>
          <w:bCs/>
          <w:color w:val="025850"/>
          <w:sz w:val="22"/>
          <w:szCs w:val="22"/>
        </w:rPr>
        <w:t>damos,</w:t>
      </w:r>
      <w:proofErr w:type="gramEnd"/>
      <w:r w:rsidRPr="00CD1C55">
        <w:rPr>
          <w:rFonts w:ascii="Century Gothic" w:hAnsi="Century Gothic"/>
          <w:b/>
          <w:bCs/>
          <w:color w:val="025850"/>
          <w:sz w:val="22"/>
          <w:szCs w:val="22"/>
        </w:rPr>
        <w:t xml:space="preserve"> tiene consecuencias más allá de nuestro tiempo. La sostenibilidad, no es una opción, sino una responsabilidad ineludible.</w:t>
      </w:r>
    </w:p>
    <w:p w14:paraId="3C80CBA5" w14:textId="74DA9C3B" w:rsidR="00CD1C55" w:rsidRDefault="00CD1C55" w:rsidP="00CD1C55">
      <w:pPr>
        <w:spacing w:before="166"/>
        <w:jc w:val="center"/>
        <w:rPr>
          <w:rFonts w:ascii="Century Gothic" w:hAnsi="Century Gothic"/>
          <w:b/>
          <w:bCs/>
          <w:color w:val="025850"/>
          <w:sz w:val="22"/>
          <w:szCs w:val="22"/>
        </w:rPr>
      </w:pPr>
      <w:r w:rsidRPr="00CD1C55">
        <w:rPr>
          <w:rFonts w:ascii="Century Gothic" w:hAnsi="Century Gothic"/>
          <w:b/>
          <w:bCs/>
          <w:color w:val="025850"/>
          <w:sz w:val="22"/>
          <w:szCs w:val="22"/>
        </w:rPr>
        <w:t>Antropóloga, Jane Goodall</w:t>
      </w:r>
    </w:p>
    <w:p w14:paraId="01A88C55" w14:textId="77777777" w:rsidR="00CD1C55" w:rsidRPr="00CD1C55" w:rsidRDefault="00CD1C55" w:rsidP="00CD1C55">
      <w:pPr>
        <w:spacing w:before="166"/>
        <w:jc w:val="center"/>
        <w:rPr>
          <w:rFonts w:ascii="Corbel" w:hAnsi="Corbel"/>
          <w:color w:val="025850"/>
          <w:sz w:val="22"/>
          <w:szCs w:val="22"/>
        </w:rPr>
      </w:pPr>
    </w:p>
    <w:p w14:paraId="0B7E6CAB" w14:textId="77777777" w:rsidR="00CD1C55" w:rsidRDefault="00CD1C55">
      <w:pPr>
        <w:rPr>
          <w:rFonts w:ascii="Corbel" w:hAnsi="Corbel"/>
          <w:color w:val="8DD873" w:themeColor="accent6" w:themeTint="99"/>
        </w:rPr>
      </w:pPr>
      <w:r>
        <w:rPr>
          <w:rFonts w:ascii="Corbel" w:hAnsi="Corbel"/>
          <w:color w:val="8DD873" w:themeColor="accent6" w:themeTint="99"/>
        </w:rPr>
        <w:br w:type="page"/>
      </w:r>
    </w:p>
    <w:p w14:paraId="691E3B6C" w14:textId="77777777" w:rsidR="00CD1C55" w:rsidRPr="00CD1C55" w:rsidRDefault="00CD1C55" w:rsidP="00CD1C55">
      <w:pPr>
        <w:spacing w:after="160" w:line="259" w:lineRule="auto"/>
        <w:jc w:val="both"/>
        <w:rPr>
          <w:rFonts w:ascii="Century Gothic" w:hAnsi="Century Gothic"/>
          <w:b/>
          <w:color w:val="3A7C22" w:themeColor="accent6" w:themeShade="BF"/>
          <w:sz w:val="22"/>
          <w:szCs w:val="22"/>
        </w:rPr>
      </w:pPr>
      <w:r w:rsidRPr="00CD1C55">
        <w:rPr>
          <w:rFonts w:ascii="Century Gothic" w:hAnsi="Century Gothic"/>
          <w:b/>
          <w:color w:val="3A7C22" w:themeColor="accent6" w:themeShade="BF"/>
          <w:sz w:val="22"/>
          <w:szCs w:val="22"/>
        </w:rPr>
        <w:lastRenderedPageBreak/>
        <w:t>Transversalización de la Agenda 2030 en el Estado de México</w:t>
      </w:r>
    </w:p>
    <w:p w14:paraId="23E3FB13" w14:textId="77777777" w:rsidR="00CD1C55" w:rsidRPr="00CD1C55" w:rsidRDefault="00CD1C55" w:rsidP="00CD1C55">
      <w:pPr>
        <w:spacing w:after="160" w:line="259" w:lineRule="auto"/>
        <w:jc w:val="both"/>
        <w:rPr>
          <w:rFonts w:ascii="Century Gothic" w:hAnsi="Century Gothic"/>
          <w:b/>
          <w:sz w:val="22"/>
          <w:szCs w:val="22"/>
        </w:rPr>
      </w:pPr>
    </w:p>
    <w:p w14:paraId="7C23D872" w14:textId="77777777" w:rsidR="00CD1C55" w:rsidRP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Cs/>
          <w:sz w:val="22"/>
          <w:szCs w:val="22"/>
        </w:rPr>
        <w:t>San Antonio la Isla constituye el ámbito en el que cotidianamente la ciudadanía expresa sus necesidades y prefigura sus proyectos, es por esta razón que debe convertirse en el espacio en el que, de manera preponderante, se definan los programas, proyectos, estrategias y acciones que se instrumentarán los próximos tres años y que den respuesta a las distintas demandas sociales.</w:t>
      </w:r>
    </w:p>
    <w:p w14:paraId="063397BC" w14:textId="47427A15" w:rsid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Cs/>
          <w:sz w:val="22"/>
          <w:szCs w:val="22"/>
        </w:rPr>
        <w:t xml:space="preserve">La Agenda 2030 plantea 17 Objetivos con 169 metas de carácter integrado e indivisible que abarcan las esferas económica, social y ambiental. Al adoptarla el país, el estado y </w:t>
      </w:r>
      <w:proofErr w:type="gramStart"/>
      <w:r w:rsidRPr="00CD1C55">
        <w:rPr>
          <w:rFonts w:ascii="Century Gothic" w:hAnsi="Century Gothic"/>
          <w:bCs/>
          <w:sz w:val="22"/>
          <w:szCs w:val="22"/>
        </w:rPr>
        <w:t>municipio,</w:t>
      </w:r>
      <w:proofErr w:type="gramEnd"/>
      <w:r w:rsidRPr="00CD1C55">
        <w:rPr>
          <w:rFonts w:ascii="Century Gothic" w:hAnsi="Century Gothic"/>
          <w:bCs/>
          <w:sz w:val="22"/>
          <w:szCs w:val="22"/>
        </w:rPr>
        <w:t xml:space="preserve"> se comprometen a movilizar los medios necesarios para su implementación mediante alianzas centradas especialmente en las necesidades de los más pobres y vulnerables. Cabe señalar, que el Programa Regional de la Zona V: Valle de Toluca integra 39 objetivos, 87 estrategias y 296 líneas de acción, todas alineadas a los 17 ODS, con el propósito de atender de manera integral los principales retos y desafíos que atraviesa esa zona de la entidad.</w:t>
      </w:r>
    </w:p>
    <w:p w14:paraId="5C524A20" w14:textId="2A685B47" w:rsidR="00CD1C55" w:rsidRDefault="00CD1C55" w:rsidP="00CD1C55">
      <w:pPr>
        <w:spacing w:after="160" w:line="360" w:lineRule="auto"/>
        <w:ind w:firstLine="708"/>
        <w:jc w:val="both"/>
        <w:rPr>
          <w:rFonts w:ascii="Century Gothic" w:hAnsi="Century Gothic"/>
          <w:bCs/>
          <w:sz w:val="22"/>
          <w:szCs w:val="22"/>
        </w:rPr>
      </w:pPr>
      <w:r>
        <w:rPr>
          <w:noProof/>
        </w:rPr>
        <w:drawing>
          <wp:inline distT="0" distB="0" distL="0" distR="0" wp14:anchorId="00827B8D" wp14:editId="033192BD">
            <wp:extent cx="3890010" cy="3390265"/>
            <wp:effectExtent l="0" t="0" r="0" b="635"/>
            <wp:docPr id="1196544881" name="Imagen 1196544881" descr="logos-ODS-todos - IKI Al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s-ODS-todos - IKI Allianc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90010" cy="3390265"/>
                    </a:xfrm>
                    <a:prstGeom prst="rect">
                      <a:avLst/>
                    </a:prstGeom>
                    <a:noFill/>
                    <a:ln>
                      <a:noFill/>
                    </a:ln>
                  </pic:spPr>
                </pic:pic>
              </a:graphicData>
            </a:graphic>
          </wp:inline>
        </w:drawing>
      </w:r>
    </w:p>
    <w:p w14:paraId="522CFD78" w14:textId="619209A7" w:rsidR="00CD1C55" w:rsidRP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Cs/>
          <w:sz w:val="22"/>
          <w:szCs w:val="22"/>
        </w:rPr>
        <w:t>Al entrar en la década de acción, unámonos para garantizar que nadie se quede atrás. Consideremos las 5 P de los ODS: Personas, Planeta, Prosperidad, Paz y Pactos (alianzas). </w:t>
      </w:r>
    </w:p>
    <w:p w14:paraId="6FB5025E" w14:textId="0D1BB15E" w:rsidR="00CD1C55" w:rsidRPr="00CD1C55" w:rsidRDefault="00CD1C55" w:rsidP="00CD1C55">
      <w:pPr>
        <w:spacing w:after="160" w:line="360" w:lineRule="auto"/>
        <w:jc w:val="both"/>
        <w:rPr>
          <w:rFonts w:ascii="Century Gothic" w:hAnsi="Century Gothic"/>
          <w:bCs/>
          <w:sz w:val="22"/>
          <w:szCs w:val="22"/>
        </w:rPr>
      </w:pPr>
      <w:r w:rsidRPr="00CD1C55">
        <w:rPr>
          <w:rFonts w:ascii="Century Gothic" w:hAnsi="Century Gothic"/>
          <w:b/>
          <w:color w:val="8DD873" w:themeColor="accent6" w:themeTint="99"/>
          <w:sz w:val="22"/>
          <w:szCs w:val="22"/>
        </w:rPr>
        <w:t>En las personas:</w:t>
      </w:r>
      <w:r w:rsidRPr="00CD1C55">
        <w:rPr>
          <w:rFonts w:ascii="Century Gothic" w:hAnsi="Century Gothic"/>
          <w:bCs/>
          <w:color w:val="8DD873" w:themeColor="accent6" w:themeTint="99"/>
          <w:sz w:val="22"/>
          <w:szCs w:val="22"/>
        </w:rPr>
        <w:t xml:space="preserve"> </w:t>
      </w:r>
      <w:r w:rsidRPr="00CD1C55">
        <w:rPr>
          <w:rFonts w:ascii="Century Gothic" w:hAnsi="Century Gothic"/>
          <w:bCs/>
          <w:sz w:val="22"/>
          <w:szCs w:val="22"/>
        </w:rPr>
        <w:t xml:space="preserve">Los ODS se basan en las personas, debido a la necesidad de poner fin a la pobreza y el hambre, en todas sus formas y dimensiones, y la urgencia por que todos los seres humanos puedan hacer realidad su </w:t>
      </w:r>
      <w:r w:rsidRPr="00CD1C55">
        <w:rPr>
          <w:rFonts w:ascii="Century Gothic" w:hAnsi="Century Gothic"/>
          <w:bCs/>
          <w:sz w:val="22"/>
          <w:szCs w:val="22"/>
        </w:rPr>
        <w:lastRenderedPageBreak/>
        <w:t>potencial con dignidad e igualdad y en un ambiente sano.</w:t>
      </w:r>
    </w:p>
    <w:p w14:paraId="0E28C69D" w14:textId="77777777" w:rsidR="00CD1C55" w:rsidRP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
          <w:color w:val="8DD873" w:themeColor="accent6" w:themeTint="99"/>
          <w:sz w:val="22"/>
          <w:szCs w:val="22"/>
        </w:rPr>
        <w:t>En el planeta:</w:t>
      </w:r>
      <w:r w:rsidRPr="00CD1C55">
        <w:rPr>
          <w:rFonts w:ascii="Century Gothic" w:hAnsi="Century Gothic"/>
          <w:bCs/>
          <w:color w:val="8DD873" w:themeColor="accent6" w:themeTint="99"/>
          <w:sz w:val="22"/>
          <w:szCs w:val="22"/>
        </w:rPr>
        <w:t xml:space="preserve"> </w:t>
      </w:r>
      <w:r w:rsidRPr="00CD1C55">
        <w:rPr>
          <w:rFonts w:ascii="Century Gothic" w:hAnsi="Century Gothic"/>
          <w:bCs/>
          <w:sz w:val="22"/>
          <w:szCs w:val="22"/>
        </w:rPr>
        <w:t>Debido a la necesidad de proteger al planeta de la degradación y adoptar medidas urgentes sobre el cambio climático.</w:t>
      </w:r>
    </w:p>
    <w:p w14:paraId="4B19AF9F" w14:textId="77777777" w:rsidR="00CD1C55" w:rsidRP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
          <w:color w:val="8DD873" w:themeColor="accent6" w:themeTint="99"/>
          <w:sz w:val="22"/>
          <w:szCs w:val="22"/>
        </w:rPr>
        <w:t>En la prosperidad:</w:t>
      </w:r>
      <w:r w:rsidRPr="00CD1C55">
        <w:rPr>
          <w:rFonts w:ascii="Century Gothic" w:hAnsi="Century Gothic"/>
          <w:bCs/>
          <w:sz w:val="22"/>
          <w:szCs w:val="22"/>
        </w:rPr>
        <w:t xml:space="preserve"> Los objetivos se plantearon con el fin de velar por que todos los seres humanos puedan gozar de vidas prosperas, satisfactorias y que se pueda lograr el progreso económico, social y tecnológico, en armonía con la naturaleza.</w:t>
      </w:r>
    </w:p>
    <w:p w14:paraId="33734CE4" w14:textId="77777777" w:rsidR="00CD1C55" w:rsidRP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
          <w:color w:val="8DD873" w:themeColor="accent6" w:themeTint="99"/>
          <w:sz w:val="22"/>
          <w:szCs w:val="22"/>
        </w:rPr>
        <w:t>En la paz:</w:t>
      </w:r>
      <w:r w:rsidRPr="00CD1C55">
        <w:rPr>
          <w:rFonts w:ascii="Century Gothic" w:hAnsi="Century Gothic"/>
          <w:bCs/>
          <w:color w:val="8DD873" w:themeColor="accent6" w:themeTint="99"/>
          <w:sz w:val="22"/>
          <w:szCs w:val="22"/>
        </w:rPr>
        <w:t xml:space="preserve"> </w:t>
      </w:r>
      <w:r w:rsidRPr="00CD1C55">
        <w:rPr>
          <w:rFonts w:ascii="Century Gothic" w:hAnsi="Century Gothic"/>
          <w:bCs/>
          <w:sz w:val="22"/>
          <w:szCs w:val="22"/>
        </w:rPr>
        <w:t>Los ODS pretenden propiciar sociedades pacíficas, justas e inclusivas, libres del temor y la violencia; se considera que no puede haber desarrollo sostenible sin paz, ni paz sin desarrollo sostenible.</w:t>
      </w:r>
    </w:p>
    <w:p w14:paraId="69599068" w14:textId="77777777" w:rsidR="00CD1C55" w:rsidRPr="00CD1C55" w:rsidRDefault="00CD1C55" w:rsidP="00CD1C55">
      <w:pPr>
        <w:spacing w:after="160" w:line="360" w:lineRule="auto"/>
        <w:ind w:firstLine="708"/>
        <w:jc w:val="both"/>
        <w:rPr>
          <w:rFonts w:ascii="Century Gothic" w:hAnsi="Century Gothic"/>
          <w:bCs/>
          <w:sz w:val="22"/>
          <w:szCs w:val="22"/>
        </w:rPr>
      </w:pPr>
      <w:r w:rsidRPr="00CD1C55">
        <w:rPr>
          <w:rFonts w:ascii="Century Gothic" w:hAnsi="Century Gothic"/>
          <w:b/>
          <w:color w:val="8DD873" w:themeColor="accent6" w:themeTint="99"/>
          <w:sz w:val="22"/>
          <w:szCs w:val="22"/>
        </w:rPr>
        <w:t>Las alianzas:</w:t>
      </w:r>
      <w:r w:rsidRPr="00CD1C55">
        <w:rPr>
          <w:rFonts w:ascii="Century Gothic" w:hAnsi="Century Gothic"/>
          <w:bCs/>
          <w:color w:val="8DD873" w:themeColor="accent6" w:themeTint="99"/>
          <w:sz w:val="22"/>
          <w:szCs w:val="22"/>
        </w:rPr>
        <w:t xml:space="preserve"> </w:t>
      </w:r>
      <w:r w:rsidRPr="00CD1C55">
        <w:rPr>
          <w:rFonts w:ascii="Century Gothic" w:hAnsi="Century Gothic"/>
          <w:bCs/>
          <w:color w:val="000000" w:themeColor="text1"/>
          <w:sz w:val="22"/>
          <w:szCs w:val="22"/>
        </w:rPr>
        <w:t>Como instrumentos que permitan movilizar los medios necesarios y facilite poner en práctica los ODS; las alianzas por las que apuestan los ODS son la participación de todos los países, los interesados y las personas bajo un espíritu de solidaridad mundial reforzada, centrada en las necesidades de las personas más pobres y vulnerables</w:t>
      </w:r>
    </w:p>
    <w:p w14:paraId="75B72FDC" w14:textId="7A7023F5" w:rsidR="00CD1C55" w:rsidRDefault="00CD1C55" w:rsidP="00CD1C55">
      <w:pPr>
        <w:spacing w:after="160" w:line="360" w:lineRule="auto"/>
        <w:ind w:firstLine="708"/>
        <w:jc w:val="both"/>
        <w:rPr>
          <w:rFonts w:ascii="Century Gothic" w:hAnsi="Century Gothic"/>
          <w:bCs/>
          <w:color w:val="000000" w:themeColor="text1"/>
          <w:sz w:val="22"/>
          <w:szCs w:val="22"/>
        </w:rPr>
      </w:pPr>
      <w:r w:rsidRPr="00CD1C55">
        <w:rPr>
          <w:rFonts w:ascii="Century Gothic" w:hAnsi="Century Gothic"/>
          <w:bCs/>
          <w:color w:val="000000" w:themeColor="text1"/>
          <w:sz w:val="22"/>
          <w:szCs w:val="22"/>
        </w:rPr>
        <w:t>En virtud de lo anterior, la planeación del desarrollo es un proceso progresivo que involucra el diseño de instrumentos que consignen con efectividad la política gubernamental. El Plan de Desarrollo Municipal 2025-2027 contempla proyectos en apego a las necesidades del municipio con plena certeza de que es en este orden de gobierno dónde la ciudadanía ejerce sus derechos y libertades, es el espacio físico, político y administrativo donde se gestan las transformaciones y se visibilizan las políticas públicas.</w:t>
      </w:r>
    </w:p>
    <w:p w14:paraId="3B2072C7" w14:textId="66E01109" w:rsidR="00CD1C55" w:rsidRDefault="00CD1C55">
      <w:pPr>
        <w:rPr>
          <w:rFonts w:ascii="Century Gothic" w:hAnsi="Century Gothic"/>
          <w:bCs/>
          <w:color w:val="000000" w:themeColor="text1"/>
          <w:sz w:val="22"/>
          <w:szCs w:val="22"/>
        </w:rPr>
      </w:pPr>
      <w:r>
        <w:rPr>
          <w:rFonts w:ascii="Century Gothic" w:hAnsi="Century Gothic"/>
          <w:bCs/>
          <w:color w:val="000000" w:themeColor="text1"/>
          <w:sz w:val="22"/>
          <w:szCs w:val="22"/>
        </w:rPr>
        <w:br w:type="page"/>
      </w:r>
    </w:p>
    <w:p w14:paraId="08B4D95E" w14:textId="77777777" w:rsidR="00CD1C55" w:rsidRDefault="00CD1C55" w:rsidP="00CD1C55">
      <w:pPr>
        <w:spacing w:after="160" w:line="360" w:lineRule="auto"/>
        <w:jc w:val="both"/>
        <w:rPr>
          <w:rFonts w:ascii="Century Gothic" w:hAnsi="Century Gothic"/>
          <w:bCs/>
          <w:color w:val="000000" w:themeColor="text1"/>
          <w:sz w:val="22"/>
          <w:szCs w:val="22"/>
        </w:rPr>
        <w:sectPr w:rsidR="00CD1C55" w:rsidSect="0008767B">
          <w:pgSz w:w="15840" w:h="12240" w:orient="landscape"/>
          <w:pgMar w:top="1440" w:right="1440" w:bottom="1440" w:left="1440" w:header="709" w:footer="709" w:gutter="0"/>
          <w:cols w:num="2" w:space="708"/>
          <w:docGrid w:linePitch="360"/>
        </w:sectPr>
      </w:pPr>
    </w:p>
    <w:p w14:paraId="3CFA70D1" w14:textId="635B6499" w:rsidR="00CD1C55" w:rsidRDefault="00CD1C55" w:rsidP="00CD1C55">
      <w:pPr>
        <w:spacing w:after="160" w:line="360" w:lineRule="auto"/>
        <w:jc w:val="both"/>
        <w:rPr>
          <w:rFonts w:ascii="Century Gothic" w:hAnsi="Century Gothic"/>
          <w:b/>
          <w:color w:val="025850"/>
          <w:sz w:val="22"/>
          <w:szCs w:val="22"/>
        </w:rPr>
      </w:pPr>
      <w:r w:rsidRPr="00CD1C55">
        <w:rPr>
          <w:rFonts w:ascii="Century Gothic" w:hAnsi="Century Gothic"/>
          <w:b/>
          <w:color w:val="025850"/>
          <w:sz w:val="22"/>
          <w:szCs w:val="22"/>
        </w:rPr>
        <w:lastRenderedPageBreak/>
        <w:t>Instrumentación Estratégica</w:t>
      </w:r>
    </w:p>
    <w:p w14:paraId="0903BF85" w14:textId="77777777" w:rsidR="00CD1C55" w:rsidRPr="00CD1C55" w:rsidRDefault="00CD1C55" w:rsidP="00CD1C55">
      <w:pPr>
        <w:jc w:val="both"/>
        <w:rPr>
          <w:rFonts w:ascii="Century Gothic" w:hAnsi="Century Gothic"/>
          <w:b/>
          <w:color w:val="025850"/>
          <w:sz w:val="22"/>
          <w:szCs w:val="22"/>
        </w:rPr>
      </w:pPr>
      <w:r w:rsidRPr="00CD1C55">
        <w:rPr>
          <w:rFonts w:ascii="Century Gothic" w:hAnsi="Century Gothic"/>
          <w:b/>
          <w:color w:val="025850"/>
          <w:sz w:val="22"/>
          <w:szCs w:val="22"/>
        </w:rPr>
        <w:t>Objetivo:</w:t>
      </w:r>
    </w:p>
    <w:p w14:paraId="6FD6FEF2" w14:textId="77777777" w:rsidR="00CD1C55" w:rsidRPr="00CD1C55" w:rsidRDefault="00CD1C55" w:rsidP="00CD1C55">
      <w:pPr>
        <w:jc w:val="both"/>
        <w:rPr>
          <w:rFonts w:ascii="Century Gothic" w:hAnsi="Century Gothic"/>
          <w:sz w:val="22"/>
          <w:szCs w:val="22"/>
        </w:rPr>
      </w:pPr>
      <w:r w:rsidRPr="00CD1C55">
        <w:rPr>
          <w:rFonts w:ascii="Century Gothic" w:hAnsi="Century Gothic"/>
          <w:b/>
          <w:sz w:val="22"/>
          <w:szCs w:val="22"/>
        </w:rPr>
        <w:t>T3.1</w:t>
      </w:r>
      <w:r w:rsidRPr="00CD1C55">
        <w:rPr>
          <w:rFonts w:ascii="Century Gothic" w:hAnsi="Century Gothic"/>
          <w:sz w:val="22"/>
          <w:szCs w:val="22"/>
        </w:rPr>
        <w:t xml:space="preserve"> Transversalizar los principios rectores de la Agenda 2030 en todo el ciclo de planeación. </w:t>
      </w:r>
    </w:p>
    <w:p w14:paraId="25FF7B82" w14:textId="77777777" w:rsidR="00CD1C55" w:rsidRPr="00CD1C55" w:rsidRDefault="00CD1C55" w:rsidP="00CD1C55">
      <w:pPr>
        <w:jc w:val="both"/>
        <w:rPr>
          <w:rFonts w:ascii="Century Gothic" w:hAnsi="Century Gothic"/>
          <w:color w:val="025850"/>
          <w:sz w:val="22"/>
          <w:szCs w:val="22"/>
        </w:rPr>
      </w:pPr>
      <w:r w:rsidRPr="00CD1C55">
        <w:rPr>
          <w:rFonts w:ascii="Century Gothic" w:hAnsi="Century Gothic"/>
          <w:b/>
          <w:color w:val="025850"/>
          <w:sz w:val="22"/>
          <w:szCs w:val="22"/>
        </w:rPr>
        <w:t>Estrategia:</w:t>
      </w:r>
      <w:r w:rsidRPr="00CD1C55">
        <w:rPr>
          <w:rFonts w:ascii="Century Gothic" w:hAnsi="Century Gothic"/>
          <w:color w:val="025850"/>
          <w:sz w:val="22"/>
          <w:szCs w:val="22"/>
        </w:rPr>
        <w:t xml:space="preserve"> </w:t>
      </w:r>
    </w:p>
    <w:p w14:paraId="5531EBCA" w14:textId="77777777" w:rsidR="00CD1C55" w:rsidRPr="00CD1C55" w:rsidRDefault="00CD1C55" w:rsidP="00CD1C55">
      <w:pPr>
        <w:jc w:val="both"/>
        <w:rPr>
          <w:rFonts w:ascii="Century Gothic" w:hAnsi="Century Gothic"/>
          <w:sz w:val="22"/>
          <w:szCs w:val="22"/>
        </w:rPr>
      </w:pPr>
      <w:r w:rsidRPr="00CD1C55">
        <w:rPr>
          <w:rFonts w:ascii="Century Gothic" w:hAnsi="Century Gothic"/>
          <w:sz w:val="22"/>
          <w:szCs w:val="22"/>
        </w:rPr>
        <w:t>T3.1.1 Integrar el enfoque de la Agenda 2030 en los instrumentos de planeación estatales y municipales, así como su posterior inclusión en las asignaciones presupuestarias; con el fin de que los indicadores operativos y estratégicos de las unidades administrativas estatales y municipales se encuentren alineados a los 17 ODS.</w:t>
      </w:r>
    </w:p>
    <w:p w14:paraId="772F7BBF" w14:textId="357BAD4C" w:rsidR="00CD1C55" w:rsidRPr="00CD1C55" w:rsidRDefault="00CD1C55" w:rsidP="00CD1C55">
      <w:pPr>
        <w:jc w:val="both"/>
        <w:rPr>
          <w:rFonts w:ascii="Century Gothic" w:hAnsi="Century Gothic"/>
          <w:b/>
          <w:bCs/>
          <w:color w:val="025850"/>
          <w:sz w:val="22"/>
          <w:szCs w:val="22"/>
        </w:rPr>
      </w:pPr>
      <w:r w:rsidRPr="00CD1C55">
        <w:rPr>
          <w:rFonts w:ascii="Century Gothic" w:hAnsi="Century Gothic"/>
          <w:b/>
          <w:bCs/>
          <w:color w:val="025850"/>
          <w:sz w:val="22"/>
          <w:szCs w:val="22"/>
        </w:rPr>
        <w:t xml:space="preserve">Líneas de </w:t>
      </w:r>
      <w:r>
        <w:rPr>
          <w:rFonts w:ascii="Century Gothic" w:hAnsi="Century Gothic"/>
          <w:b/>
          <w:bCs/>
          <w:color w:val="025850"/>
          <w:sz w:val="22"/>
          <w:szCs w:val="22"/>
        </w:rPr>
        <w:t>A</w:t>
      </w:r>
      <w:r w:rsidRPr="00CD1C55">
        <w:rPr>
          <w:rFonts w:ascii="Century Gothic" w:hAnsi="Century Gothic"/>
          <w:b/>
          <w:bCs/>
          <w:color w:val="025850"/>
          <w:sz w:val="22"/>
          <w:szCs w:val="22"/>
        </w:rPr>
        <w:t xml:space="preserve">cción: </w:t>
      </w:r>
    </w:p>
    <w:p w14:paraId="73AB46A5" w14:textId="77777777" w:rsidR="00CD1C55" w:rsidRPr="00CD1C55" w:rsidRDefault="00CD1C55" w:rsidP="00820DCC">
      <w:pPr>
        <w:pStyle w:val="Prrafodelista"/>
        <w:numPr>
          <w:ilvl w:val="0"/>
          <w:numId w:val="82"/>
        </w:numPr>
        <w:spacing w:after="160" w:line="259" w:lineRule="auto"/>
        <w:jc w:val="both"/>
        <w:rPr>
          <w:rFonts w:ascii="Century Gothic" w:hAnsi="Century Gothic"/>
          <w:sz w:val="22"/>
          <w:szCs w:val="22"/>
        </w:rPr>
      </w:pPr>
      <w:r w:rsidRPr="00CD1C55">
        <w:rPr>
          <w:rFonts w:ascii="Century Gothic" w:hAnsi="Century Gothic"/>
          <w:sz w:val="22"/>
          <w:szCs w:val="22"/>
        </w:rPr>
        <w:t>T3.1.1.1 Elaborar el informe de actividades Acciones y Resultados del Plan de Desarrollo Municipal concatenado con los 17 ODS.</w:t>
      </w:r>
    </w:p>
    <w:p w14:paraId="0CC21650" w14:textId="77777777" w:rsidR="00CD1C55" w:rsidRPr="00CD1C55" w:rsidRDefault="00CD1C55" w:rsidP="00820DCC">
      <w:pPr>
        <w:pStyle w:val="Prrafodelista"/>
        <w:numPr>
          <w:ilvl w:val="0"/>
          <w:numId w:val="82"/>
        </w:numPr>
        <w:spacing w:after="160" w:line="259" w:lineRule="auto"/>
        <w:jc w:val="both"/>
        <w:rPr>
          <w:rFonts w:ascii="Century Gothic" w:hAnsi="Century Gothic"/>
          <w:sz w:val="22"/>
          <w:szCs w:val="22"/>
        </w:rPr>
      </w:pPr>
      <w:r w:rsidRPr="00CD1C55">
        <w:rPr>
          <w:rFonts w:ascii="Century Gothic" w:hAnsi="Century Gothic"/>
          <w:sz w:val="22"/>
          <w:szCs w:val="22"/>
        </w:rPr>
        <w:t>T3.1.1.2 Elaborar Informes de Gobierno Municipal con el enfoque de la Agenda 2030</w:t>
      </w:r>
    </w:p>
    <w:p w14:paraId="0CDEC3F9" w14:textId="77777777" w:rsidR="00CD1C55" w:rsidRPr="00CD1C55" w:rsidRDefault="00CD1C55" w:rsidP="00CD1C55">
      <w:pPr>
        <w:jc w:val="both"/>
        <w:rPr>
          <w:rFonts w:ascii="Century Gothic" w:hAnsi="Century Gothic"/>
          <w:color w:val="025850"/>
          <w:sz w:val="22"/>
          <w:szCs w:val="22"/>
        </w:rPr>
      </w:pPr>
      <w:r w:rsidRPr="00CD1C55">
        <w:rPr>
          <w:rFonts w:ascii="Century Gothic" w:hAnsi="Century Gothic"/>
          <w:b/>
          <w:color w:val="025850"/>
          <w:sz w:val="22"/>
          <w:szCs w:val="22"/>
        </w:rPr>
        <w:t>Objetivo:</w:t>
      </w:r>
      <w:r w:rsidRPr="00CD1C55">
        <w:rPr>
          <w:rFonts w:ascii="Century Gothic" w:hAnsi="Century Gothic"/>
          <w:color w:val="025850"/>
          <w:sz w:val="22"/>
          <w:szCs w:val="22"/>
        </w:rPr>
        <w:t xml:space="preserve"> </w:t>
      </w:r>
    </w:p>
    <w:p w14:paraId="5910D0D1" w14:textId="77777777" w:rsidR="00CD1C55" w:rsidRPr="00CD1C55" w:rsidRDefault="00CD1C55" w:rsidP="00CD1C55">
      <w:pPr>
        <w:jc w:val="both"/>
        <w:rPr>
          <w:rFonts w:ascii="Century Gothic" w:hAnsi="Century Gothic"/>
          <w:sz w:val="22"/>
          <w:szCs w:val="22"/>
        </w:rPr>
      </w:pPr>
      <w:r w:rsidRPr="00CD1C55">
        <w:rPr>
          <w:rFonts w:ascii="Century Gothic" w:hAnsi="Century Gothic"/>
          <w:sz w:val="22"/>
          <w:szCs w:val="22"/>
        </w:rPr>
        <w:t xml:space="preserve">T3.2 Creación de alianzas institucionales con amplia visión de cooperación, para el logro de los ODS. </w:t>
      </w:r>
    </w:p>
    <w:p w14:paraId="21064B96" w14:textId="77777777" w:rsidR="00CD1C55" w:rsidRDefault="00CD1C55" w:rsidP="00CD1C55">
      <w:pPr>
        <w:jc w:val="both"/>
        <w:rPr>
          <w:rFonts w:ascii="Century Gothic" w:hAnsi="Century Gothic"/>
          <w:b/>
          <w:color w:val="025850"/>
          <w:sz w:val="22"/>
          <w:szCs w:val="22"/>
        </w:rPr>
      </w:pPr>
    </w:p>
    <w:p w14:paraId="3A66FBB4" w14:textId="77777777" w:rsidR="00CD1C55" w:rsidRDefault="00CD1C55" w:rsidP="00CD1C55">
      <w:pPr>
        <w:jc w:val="both"/>
        <w:rPr>
          <w:rFonts w:ascii="Century Gothic" w:hAnsi="Century Gothic"/>
          <w:b/>
          <w:color w:val="025850"/>
          <w:sz w:val="22"/>
          <w:szCs w:val="22"/>
        </w:rPr>
      </w:pPr>
    </w:p>
    <w:p w14:paraId="7527C5F4" w14:textId="098E7D3B" w:rsidR="00CD1C55" w:rsidRPr="00CD1C55" w:rsidRDefault="00CD1C55" w:rsidP="00CD1C55">
      <w:pPr>
        <w:jc w:val="both"/>
        <w:rPr>
          <w:rFonts w:ascii="Century Gothic" w:hAnsi="Century Gothic"/>
          <w:color w:val="025850"/>
          <w:sz w:val="22"/>
          <w:szCs w:val="22"/>
        </w:rPr>
      </w:pPr>
      <w:r w:rsidRPr="00CD1C55">
        <w:rPr>
          <w:rFonts w:ascii="Century Gothic" w:hAnsi="Century Gothic"/>
          <w:b/>
          <w:color w:val="025850"/>
          <w:sz w:val="22"/>
          <w:szCs w:val="22"/>
        </w:rPr>
        <w:t>Estrategia:</w:t>
      </w:r>
      <w:r w:rsidRPr="00CD1C55">
        <w:rPr>
          <w:rFonts w:ascii="Century Gothic" w:hAnsi="Century Gothic"/>
          <w:color w:val="025850"/>
          <w:sz w:val="22"/>
          <w:szCs w:val="22"/>
        </w:rPr>
        <w:t xml:space="preserve"> </w:t>
      </w:r>
    </w:p>
    <w:p w14:paraId="11E20E4A" w14:textId="77777777" w:rsidR="00CD1C55" w:rsidRPr="00CD1C55" w:rsidRDefault="00CD1C55" w:rsidP="00CD1C55">
      <w:pPr>
        <w:jc w:val="both"/>
        <w:rPr>
          <w:rFonts w:ascii="Century Gothic" w:hAnsi="Century Gothic"/>
          <w:sz w:val="22"/>
          <w:szCs w:val="22"/>
        </w:rPr>
      </w:pPr>
      <w:r w:rsidRPr="00CD1C55">
        <w:rPr>
          <w:rFonts w:ascii="Century Gothic" w:hAnsi="Century Gothic"/>
          <w:sz w:val="22"/>
          <w:szCs w:val="22"/>
        </w:rPr>
        <w:t>T3.2.1 Fortalecer los esquemas de coordinación y colaboración con los tres órdenes de gobierno, la sociedad civil, la academia, el sector privado y las agencias internacionales con presencia en el territorio nacional.</w:t>
      </w:r>
    </w:p>
    <w:p w14:paraId="284AEF0C" w14:textId="072F1873" w:rsidR="00CD1C55" w:rsidRPr="00CD1C55" w:rsidRDefault="00CD1C55" w:rsidP="00CD1C55">
      <w:pPr>
        <w:jc w:val="both"/>
        <w:rPr>
          <w:rFonts w:ascii="Century Gothic" w:hAnsi="Century Gothic"/>
          <w:b/>
          <w:bCs/>
          <w:color w:val="025850"/>
          <w:sz w:val="22"/>
          <w:szCs w:val="22"/>
        </w:rPr>
      </w:pPr>
      <w:r w:rsidRPr="00CD1C55">
        <w:rPr>
          <w:rFonts w:ascii="Century Gothic" w:hAnsi="Century Gothic"/>
          <w:b/>
          <w:bCs/>
          <w:color w:val="025850"/>
          <w:sz w:val="22"/>
          <w:szCs w:val="22"/>
        </w:rPr>
        <w:t xml:space="preserve">Líneas de </w:t>
      </w:r>
      <w:r>
        <w:rPr>
          <w:rFonts w:ascii="Century Gothic" w:hAnsi="Century Gothic"/>
          <w:b/>
          <w:bCs/>
          <w:color w:val="025850"/>
          <w:sz w:val="22"/>
          <w:szCs w:val="22"/>
        </w:rPr>
        <w:t>A</w:t>
      </w:r>
      <w:r w:rsidRPr="00CD1C55">
        <w:rPr>
          <w:rFonts w:ascii="Century Gothic" w:hAnsi="Century Gothic"/>
          <w:b/>
          <w:bCs/>
          <w:color w:val="025850"/>
          <w:sz w:val="22"/>
          <w:szCs w:val="22"/>
        </w:rPr>
        <w:t xml:space="preserve">cción: </w:t>
      </w:r>
    </w:p>
    <w:p w14:paraId="5DC161BF" w14:textId="2D855686" w:rsidR="00CD1C55" w:rsidRDefault="00CD1C55" w:rsidP="00820DCC">
      <w:pPr>
        <w:pStyle w:val="Prrafodelista"/>
        <w:numPr>
          <w:ilvl w:val="0"/>
          <w:numId w:val="83"/>
        </w:numPr>
        <w:spacing w:after="160" w:line="259" w:lineRule="auto"/>
        <w:jc w:val="both"/>
        <w:rPr>
          <w:rFonts w:ascii="Century Gothic" w:hAnsi="Century Gothic"/>
          <w:sz w:val="22"/>
          <w:szCs w:val="22"/>
        </w:rPr>
      </w:pPr>
      <w:r w:rsidRPr="00CD1C55">
        <w:rPr>
          <w:rFonts w:ascii="Century Gothic" w:hAnsi="Century Gothic"/>
          <w:sz w:val="22"/>
          <w:szCs w:val="22"/>
        </w:rPr>
        <w:t>T3.2.1.1Instalar el Comité de la Agenda 2030</w:t>
      </w:r>
    </w:p>
    <w:p w14:paraId="6F551CEE" w14:textId="77777777" w:rsidR="00CD1C55" w:rsidRDefault="00CD1C55">
      <w:pPr>
        <w:rPr>
          <w:rFonts w:ascii="Century Gothic" w:hAnsi="Century Gothic"/>
          <w:sz w:val="22"/>
          <w:szCs w:val="22"/>
        </w:rPr>
      </w:pPr>
      <w:r>
        <w:rPr>
          <w:rFonts w:ascii="Century Gothic" w:hAnsi="Century Gothic"/>
          <w:sz w:val="22"/>
          <w:szCs w:val="22"/>
        </w:rPr>
        <w:br w:type="page"/>
      </w:r>
    </w:p>
    <w:p w14:paraId="6839E51F" w14:textId="77777777" w:rsidR="00CD1C55" w:rsidRDefault="00CD1C55" w:rsidP="00CD1C55">
      <w:pPr>
        <w:spacing w:after="160" w:line="259" w:lineRule="auto"/>
        <w:jc w:val="both"/>
        <w:rPr>
          <w:rFonts w:ascii="Century Gothic" w:hAnsi="Century Gothic"/>
          <w:sz w:val="22"/>
          <w:szCs w:val="22"/>
        </w:rPr>
        <w:sectPr w:rsidR="00CD1C55" w:rsidSect="00CD1C55">
          <w:pgSz w:w="15840" w:h="12240" w:orient="landscape"/>
          <w:pgMar w:top="1440" w:right="1440" w:bottom="1440" w:left="1440" w:header="709" w:footer="709" w:gutter="0"/>
          <w:cols w:num="2" w:space="708"/>
          <w:docGrid w:linePitch="360"/>
        </w:sectPr>
      </w:pPr>
    </w:p>
    <w:p w14:paraId="5F149610" w14:textId="33CDCB97" w:rsidR="00CD1C55" w:rsidRDefault="00CD1C55" w:rsidP="00CD1C55">
      <w:pPr>
        <w:spacing w:line="259" w:lineRule="auto"/>
        <w:rPr>
          <w:rFonts w:ascii="Century Gothic" w:hAnsi="Century Gothic"/>
          <w:b/>
          <w:color w:val="025850"/>
          <w:sz w:val="22"/>
          <w:szCs w:val="22"/>
        </w:rPr>
      </w:pPr>
      <w:r w:rsidRPr="00CD1C55">
        <w:rPr>
          <w:rFonts w:ascii="Century Gothic" w:hAnsi="Century Gothic"/>
          <w:b/>
          <w:color w:val="025850"/>
          <w:sz w:val="22"/>
          <w:szCs w:val="22"/>
        </w:rPr>
        <w:lastRenderedPageBreak/>
        <w:t>Metas terminales e intermedias</w:t>
      </w:r>
    </w:p>
    <w:tbl>
      <w:tblPr>
        <w:tblStyle w:val="Tablaconcuadrcula4-nfasis2"/>
        <w:tblW w:w="5112" w:type="pct"/>
        <w:jc w:val="center"/>
        <w:tblLayout w:type="fixed"/>
        <w:tblLook w:val="04A0" w:firstRow="1" w:lastRow="0" w:firstColumn="1" w:lastColumn="0" w:noHBand="0" w:noVBand="1"/>
      </w:tblPr>
      <w:tblGrid>
        <w:gridCol w:w="1434"/>
        <w:gridCol w:w="1112"/>
        <w:gridCol w:w="1345"/>
        <w:gridCol w:w="1409"/>
        <w:gridCol w:w="498"/>
        <w:gridCol w:w="1292"/>
        <w:gridCol w:w="993"/>
        <w:gridCol w:w="1417"/>
        <w:gridCol w:w="1274"/>
        <w:gridCol w:w="1229"/>
        <w:gridCol w:w="1237"/>
      </w:tblGrid>
      <w:tr w:rsidR="0039382F" w:rsidRPr="00CD1C55" w14:paraId="1E0D8E96" w14:textId="77777777" w:rsidTr="003938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pct"/>
            <w:hideMark/>
          </w:tcPr>
          <w:p w14:paraId="6DD265DB" w14:textId="77777777" w:rsidR="00CD1C55" w:rsidRPr="00CD1C55" w:rsidRDefault="00CD1C55" w:rsidP="00CD1C55">
            <w:pPr>
              <w:jc w:val="center"/>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Eje de Cambio o Eje Transversal</w:t>
            </w:r>
          </w:p>
        </w:tc>
        <w:tc>
          <w:tcPr>
            <w:tcW w:w="420" w:type="pct"/>
            <w:hideMark/>
          </w:tcPr>
          <w:p w14:paraId="3B9A7DF7"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No. Eje de Cambio o Eje Transversal</w:t>
            </w:r>
          </w:p>
        </w:tc>
        <w:tc>
          <w:tcPr>
            <w:tcW w:w="508" w:type="pct"/>
            <w:hideMark/>
          </w:tcPr>
          <w:p w14:paraId="30DF4CDD"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Dependencia Ejecutora</w:t>
            </w:r>
          </w:p>
        </w:tc>
        <w:tc>
          <w:tcPr>
            <w:tcW w:w="532" w:type="pct"/>
            <w:hideMark/>
          </w:tcPr>
          <w:p w14:paraId="019495DA"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Programa Presupuestario PDM</w:t>
            </w:r>
          </w:p>
        </w:tc>
        <w:tc>
          <w:tcPr>
            <w:tcW w:w="188" w:type="pct"/>
            <w:hideMark/>
          </w:tcPr>
          <w:p w14:paraId="3C457E53"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No.</w:t>
            </w:r>
          </w:p>
        </w:tc>
        <w:tc>
          <w:tcPr>
            <w:tcW w:w="488" w:type="pct"/>
            <w:hideMark/>
          </w:tcPr>
          <w:p w14:paraId="510BFD7C"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Meta por Actividad</w:t>
            </w:r>
          </w:p>
        </w:tc>
        <w:tc>
          <w:tcPr>
            <w:tcW w:w="375" w:type="pct"/>
            <w:hideMark/>
          </w:tcPr>
          <w:p w14:paraId="5408605A"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Unidad de Medida</w:t>
            </w:r>
          </w:p>
        </w:tc>
        <w:tc>
          <w:tcPr>
            <w:tcW w:w="535" w:type="pct"/>
            <w:hideMark/>
          </w:tcPr>
          <w:p w14:paraId="60654285" w14:textId="58E2F1C8"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Total, de Metas Programadas durante la</w:t>
            </w:r>
          </w:p>
        </w:tc>
        <w:tc>
          <w:tcPr>
            <w:tcW w:w="481" w:type="pct"/>
            <w:hideMark/>
          </w:tcPr>
          <w:p w14:paraId="27B5E2C0" w14:textId="7C35B102"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Programa 2025</w:t>
            </w:r>
          </w:p>
        </w:tc>
        <w:tc>
          <w:tcPr>
            <w:tcW w:w="464" w:type="pct"/>
            <w:hideMark/>
          </w:tcPr>
          <w:p w14:paraId="07C8B1F3"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Programado 2026</w:t>
            </w:r>
          </w:p>
        </w:tc>
        <w:tc>
          <w:tcPr>
            <w:tcW w:w="468" w:type="pct"/>
            <w:hideMark/>
          </w:tcPr>
          <w:p w14:paraId="395F74B8" w14:textId="77777777" w:rsidR="00CD1C55" w:rsidRPr="00CD1C55" w:rsidRDefault="00CD1C55" w:rsidP="00CD1C55">
            <w:pPr>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Programado 2027</w:t>
            </w:r>
          </w:p>
        </w:tc>
      </w:tr>
      <w:tr w:rsidR="0039382F" w:rsidRPr="00CD1C55" w14:paraId="00398E8E" w14:textId="77777777" w:rsidTr="00393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pct"/>
            <w:hideMark/>
          </w:tcPr>
          <w:p w14:paraId="0923DEDF" w14:textId="77777777" w:rsidR="00CD1C55" w:rsidRPr="00CD1C55" w:rsidRDefault="00CD1C55" w:rsidP="00CD1C55">
            <w:pPr>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Desarrollo Económico</w:t>
            </w:r>
          </w:p>
        </w:tc>
        <w:tc>
          <w:tcPr>
            <w:tcW w:w="420" w:type="pct"/>
            <w:hideMark/>
          </w:tcPr>
          <w:p w14:paraId="4029C457"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w:t>
            </w:r>
          </w:p>
        </w:tc>
        <w:tc>
          <w:tcPr>
            <w:tcW w:w="508" w:type="pct"/>
            <w:hideMark/>
          </w:tcPr>
          <w:p w14:paraId="1D5E0158"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Secretaría de Economía</w:t>
            </w:r>
          </w:p>
        </w:tc>
        <w:tc>
          <w:tcPr>
            <w:tcW w:w="532" w:type="pct"/>
            <w:hideMark/>
          </w:tcPr>
          <w:p w14:paraId="3A66483D"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Fondo de Innovación</w:t>
            </w:r>
          </w:p>
        </w:tc>
        <w:tc>
          <w:tcPr>
            <w:tcW w:w="188" w:type="pct"/>
            <w:hideMark/>
          </w:tcPr>
          <w:p w14:paraId="00EE19A4"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101</w:t>
            </w:r>
          </w:p>
        </w:tc>
        <w:tc>
          <w:tcPr>
            <w:tcW w:w="488" w:type="pct"/>
            <w:hideMark/>
          </w:tcPr>
          <w:p w14:paraId="495A5503"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Apoyo a emprendedores</w:t>
            </w:r>
          </w:p>
        </w:tc>
        <w:tc>
          <w:tcPr>
            <w:tcW w:w="375" w:type="pct"/>
            <w:hideMark/>
          </w:tcPr>
          <w:p w14:paraId="297C22EB"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Número</w:t>
            </w:r>
          </w:p>
        </w:tc>
        <w:tc>
          <w:tcPr>
            <w:tcW w:w="535" w:type="pct"/>
            <w:hideMark/>
          </w:tcPr>
          <w:p w14:paraId="1A54539C"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500</w:t>
            </w:r>
          </w:p>
        </w:tc>
        <w:tc>
          <w:tcPr>
            <w:tcW w:w="481" w:type="pct"/>
            <w:hideMark/>
          </w:tcPr>
          <w:p w14:paraId="30185107"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150</w:t>
            </w:r>
          </w:p>
        </w:tc>
        <w:tc>
          <w:tcPr>
            <w:tcW w:w="464" w:type="pct"/>
            <w:hideMark/>
          </w:tcPr>
          <w:p w14:paraId="2FE94CB7"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170</w:t>
            </w:r>
          </w:p>
        </w:tc>
        <w:tc>
          <w:tcPr>
            <w:tcW w:w="468" w:type="pct"/>
            <w:hideMark/>
          </w:tcPr>
          <w:p w14:paraId="2430D3C9"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180</w:t>
            </w:r>
          </w:p>
        </w:tc>
      </w:tr>
      <w:tr w:rsidR="0039382F" w:rsidRPr="00CD1C55" w14:paraId="1C686206" w14:textId="77777777" w:rsidTr="0039382F">
        <w:trPr>
          <w:jc w:val="center"/>
        </w:trPr>
        <w:tc>
          <w:tcPr>
            <w:cnfStyle w:val="001000000000" w:firstRow="0" w:lastRow="0" w:firstColumn="1" w:lastColumn="0" w:oddVBand="0" w:evenVBand="0" w:oddHBand="0" w:evenHBand="0" w:firstRowFirstColumn="0" w:firstRowLastColumn="0" w:lastRowFirstColumn="0" w:lastRowLastColumn="0"/>
            <w:tcW w:w="542" w:type="pct"/>
            <w:hideMark/>
          </w:tcPr>
          <w:p w14:paraId="3B1E8A78" w14:textId="77777777" w:rsidR="00CD1C55" w:rsidRPr="00CD1C55" w:rsidRDefault="00CD1C55" w:rsidP="00CD1C55">
            <w:pPr>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Bienestar Social</w:t>
            </w:r>
          </w:p>
        </w:tc>
        <w:tc>
          <w:tcPr>
            <w:tcW w:w="420" w:type="pct"/>
            <w:hideMark/>
          </w:tcPr>
          <w:p w14:paraId="1DB2EFDE"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2</w:t>
            </w:r>
          </w:p>
        </w:tc>
        <w:tc>
          <w:tcPr>
            <w:tcW w:w="508" w:type="pct"/>
            <w:hideMark/>
          </w:tcPr>
          <w:p w14:paraId="74A8EA71"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Secretaría de Salud</w:t>
            </w:r>
          </w:p>
        </w:tc>
        <w:tc>
          <w:tcPr>
            <w:tcW w:w="532" w:type="pct"/>
            <w:hideMark/>
          </w:tcPr>
          <w:p w14:paraId="0F36E63E"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Programa de Vacunación</w:t>
            </w:r>
          </w:p>
        </w:tc>
        <w:tc>
          <w:tcPr>
            <w:tcW w:w="188" w:type="pct"/>
            <w:hideMark/>
          </w:tcPr>
          <w:p w14:paraId="482B8F4C"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102</w:t>
            </w:r>
          </w:p>
        </w:tc>
        <w:tc>
          <w:tcPr>
            <w:tcW w:w="488" w:type="pct"/>
            <w:hideMark/>
          </w:tcPr>
          <w:p w14:paraId="4A2527FB"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Vacunación infantil</w:t>
            </w:r>
          </w:p>
        </w:tc>
        <w:tc>
          <w:tcPr>
            <w:tcW w:w="375" w:type="pct"/>
            <w:hideMark/>
          </w:tcPr>
          <w:p w14:paraId="0E7BAC11"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Dosis</w:t>
            </w:r>
          </w:p>
        </w:tc>
        <w:tc>
          <w:tcPr>
            <w:tcW w:w="535" w:type="pct"/>
            <w:hideMark/>
          </w:tcPr>
          <w:p w14:paraId="3984C086"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10000</w:t>
            </w:r>
          </w:p>
        </w:tc>
        <w:tc>
          <w:tcPr>
            <w:tcW w:w="481" w:type="pct"/>
            <w:hideMark/>
          </w:tcPr>
          <w:p w14:paraId="34DA9EEF"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3000</w:t>
            </w:r>
          </w:p>
        </w:tc>
        <w:tc>
          <w:tcPr>
            <w:tcW w:w="464" w:type="pct"/>
            <w:hideMark/>
          </w:tcPr>
          <w:p w14:paraId="421010E3"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3500</w:t>
            </w:r>
          </w:p>
        </w:tc>
        <w:tc>
          <w:tcPr>
            <w:tcW w:w="468" w:type="pct"/>
            <w:hideMark/>
          </w:tcPr>
          <w:p w14:paraId="7D64BB0A" w14:textId="77777777" w:rsidR="00CD1C55" w:rsidRPr="00CD1C55" w:rsidRDefault="00CD1C55" w:rsidP="00CD1C55">
            <w:pPr>
              <w:cnfStyle w:val="000000000000" w:firstRow="0" w:lastRow="0" w:firstColumn="0" w:lastColumn="0" w:oddVBand="0" w:evenVBand="0" w:oddHBand="0"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3500</w:t>
            </w:r>
          </w:p>
        </w:tc>
      </w:tr>
      <w:tr w:rsidR="0039382F" w:rsidRPr="00CD1C55" w14:paraId="4631EB68" w14:textId="77777777" w:rsidTr="003938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pct"/>
            <w:hideMark/>
          </w:tcPr>
          <w:p w14:paraId="6B854F87" w14:textId="77777777" w:rsidR="00CD1C55" w:rsidRPr="00CD1C55" w:rsidRDefault="00CD1C55" w:rsidP="00CD1C55">
            <w:pPr>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Medio Ambiente</w:t>
            </w:r>
          </w:p>
        </w:tc>
        <w:tc>
          <w:tcPr>
            <w:tcW w:w="420" w:type="pct"/>
            <w:hideMark/>
          </w:tcPr>
          <w:p w14:paraId="7448D597"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3</w:t>
            </w:r>
          </w:p>
        </w:tc>
        <w:tc>
          <w:tcPr>
            <w:tcW w:w="508" w:type="pct"/>
            <w:hideMark/>
          </w:tcPr>
          <w:p w14:paraId="29370342"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Secretaría de Medio Ambiente</w:t>
            </w:r>
          </w:p>
        </w:tc>
        <w:tc>
          <w:tcPr>
            <w:tcW w:w="532" w:type="pct"/>
            <w:hideMark/>
          </w:tcPr>
          <w:p w14:paraId="3E84C921"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Reforestación Urbana</w:t>
            </w:r>
          </w:p>
        </w:tc>
        <w:tc>
          <w:tcPr>
            <w:tcW w:w="188" w:type="pct"/>
            <w:hideMark/>
          </w:tcPr>
          <w:p w14:paraId="0724BBC7"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103</w:t>
            </w:r>
          </w:p>
        </w:tc>
        <w:tc>
          <w:tcPr>
            <w:tcW w:w="488" w:type="pct"/>
            <w:hideMark/>
          </w:tcPr>
          <w:p w14:paraId="27446B08"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Plantación de árboles</w:t>
            </w:r>
          </w:p>
        </w:tc>
        <w:tc>
          <w:tcPr>
            <w:tcW w:w="375" w:type="pct"/>
            <w:hideMark/>
          </w:tcPr>
          <w:p w14:paraId="06CACC0E"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Árboles</w:t>
            </w:r>
          </w:p>
        </w:tc>
        <w:tc>
          <w:tcPr>
            <w:tcW w:w="535" w:type="pct"/>
            <w:hideMark/>
          </w:tcPr>
          <w:p w14:paraId="2D02E6C4"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2000</w:t>
            </w:r>
          </w:p>
        </w:tc>
        <w:tc>
          <w:tcPr>
            <w:tcW w:w="481" w:type="pct"/>
            <w:hideMark/>
          </w:tcPr>
          <w:p w14:paraId="635BB116"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600</w:t>
            </w:r>
          </w:p>
        </w:tc>
        <w:tc>
          <w:tcPr>
            <w:tcW w:w="464" w:type="pct"/>
            <w:hideMark/>
          </w:tcPr>
          <w:p w14:paraId="4FA5888F"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700</w:t>
            </w:r>
          </w:p>
        </w:tc>
        <w:tc>
          <w:tcPr>
            <w:tcW w:w="468" w:type="pct"/>
            <w:hideMark/>
          </w:tcPr>
          <w:p w14:paraId="1C74C18C" w14:textId="77777777" w:rsidR="00CD1C55" w:rsidRPr="00CD1C55" w:rsidRDefault="00CD1C55" w:rsidP="00CD1C55">
            <w:pP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cs="Times New Roman"/>
                <w:sz w:val="20"/>
                <w:szCs w:val="20"/>
                <w:lang w:eastAsia="es-MX"/>
              </w:rPr>
            </w:pPr>
            <w:r w:rsidRPr="00CD1C55">
              <w:rPr>
                <w:rFonts w:ascii="Century Gothic" w:eastAsia="Times New Roman" w:hAnsi="Century Gothic" w:cs="Times New Roman"/>
                <w:sz w:val="20"/>
                <w:szCs w:val="20"/>
                <w:lang w:eastAsia="es-MX"/>
              </w:rPr>
              <w:t>700</w:t>
            </w:r>
          </w:p>
        </w:tc>
      </w:tr>
    </w:tbl>
    <w:p w14:paraId="5625B6F5" w14:textId="10EB13CB" w:rsidR="0039382F" w:rsidRDefault="0039382F" w:rsidP="004A7C99">
      <w:pPr>
        <w:spacing w:after="160" w:line="360" w:lineRule="auto"/>
        <w:rPr>
          <w:rFonts w:ascii="Century Gothic" w:eastAsiaTheme="minorHAnsi" w:hAnsi="Century Gothic"/>
          <w:b/>
          <w:sz w:val="22"/>
          <w:szCs w:val="22"/>
        </w:rPr>
      </w:pPr>
    </w:p>
    <w:p w14:paraId="25631463" w14:textId="77777777" w:rsidR="0039382F" w:rsidRDefault="0039382F">
      <w:pPr>
        <w:rPr>
          <w:rFonts w:ascii="Century Gothic" w:eastAsiaTheme="minorHAnsi" w:hAnsi="Century Gothic"/>
          <w:b/>
          <w:sz w:val="22"/>
          <w:szCs w:val="22"/>
        </w:rPr>
      </w:pPr>
      <w:r>
        <w:rPr>
          <w:rFonts w:ascii="Century Gothic" w:eastAsiaTheme="minorHAnsi" w:hAnsi="Century Gothic"/>
          <w:b/>
          <w:sz w:val="22"/>
          <w:szCs w:val="22"/>
        </w:rPr>
        <w:br w:type="page"/>
      </w:r>
    </w:p>
    <w:p w14:paraId="77AFB1F6" w14:textId="77777777" w:rsidR="0039382F" w:rsidRPr="0039382F" w:rsidRDefault="0039382F" w:rsidP="0039382F">
      <w:pPr>
        <w:spacing w:line="259" w:lineRule="auto"/>
        <w:rPr>
          <w:rFonts w:ascii="Century Gothic" w:hAnsi="Century Gothic"/>
          <w:b/>
          <w:color w:val="025850"/>
          <w:sz w:val="22"/>
          <w:szCs w:val="22"/>
        </w:rPr>
      </w:pPr>
      <w:r w:rsidRPr="0039382F">
        <w:rPr>
          <w:rFonts w:ascii="Century Gothic" w:hAnsi="Century Gothic"/>
          <w:b/>
          <w:color w:val="025850"/>
          <w:sz w:val="22"/>
          <w:szCs w:val="22"/>
        </w:rPr>
        <w:lastRenderedPageBreak/>
        <w:t>Acciones Insignias Municipales</w:t>
      </w:r>
    </w:p>
    <w:tbl>
      <w:tblPr>
        <w:tblStyle w:val="Tablaconcuadrcula4-nfasis2"/>
        <w:tblW w:w="5000" w:type="pct"/>
        <w:tblLook w:val="04A0" w:firstRow="1" w:lastRow="0" w:firstColumn="1" w:lastColumn="0" w:noHBand="0" w:noVBand="1"/>
      </w:tblPr>
      <w:tblGrid>
        <w:gridCol w:w="1319"/>
        <w:gridCol w:w="660"/>
        <w:gridCol w:w="764"/>
        <w:gridCol w:w="228"/>
        <w:gridCol w:w="6664"/>
        <w:gridCol w:w="3315"/>
      </w:tblGrid>
      <w:tr w:rsidR="0039382F" w:rsidRPr="0039382F" w14:paraId="029C2443" w14:textId="77777777" w:rsidTr="0039382F">
        <w:trPr>
          <w:cnfStyle w:val="100000000000" w:firstRow="1" w:lastRow="0" w:firstColumn="0" w:lastColumn="0" w:oddVBand="0" w:evenVBand="0" w:oddHBand="0"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64" w:type="pct"/>
            <w:gridSpan w:val="2"/>
          </w:tcPr>
          <w:p w14:paraId="01BE0156" w14:textId="77777777" w:rsidR="0039382F" w:rsidRPr="0039382F" w:rsidRDefault="0039382F" w:rsidP="0039382F">
            <w:pPr>
              <w:jc w:val="both"/>
              <w:rPr>
                <w:rFonts w:ascii="Century Gothic" w:hAnsi="Century Gothic"/>
                <w:color w:val="auto"/>
                <w:sz w:val="20"/>
                <w:szCs w:val="20"/>
              </w:rPr>
            </w:pPr>
            <w:r w:rsidRPr="0039382F">
              <w:rPr>
                <w:rFonts w:ascii="Century Gothic" w:hAnsi="Century Gothic"/>
                <w:noProof/>
                <w:sz w:val="20"/>
                <w:szCs w:val="20"/>
              </w:rPr>
              <w:drawing>
                <wp:inline distT="0" distB="0" distL="0" distR="0" wp14:anchorId="4663E165" wp14:editId="042E66FC">
                  <wp:extent cx="742950" cy="706612"/>
                  <wp:effectExtent l="0" t="0" r="0" b="0"/>
                  <wp:docPr id="1196544883" name="Imagen 1196544883"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4883" name="Imagen 1196544883" descr="Imagen que contiene Logotipo&#10;&#10;El contenido generado por IA puede ser incorrect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5966" cy="718992"/>
                          </a:xfrm>
                          <a:prstGeom prst="rect">
                            <a:avLst/>
                          </a:prstGeom>
                          <a:noFill/>
                          <a:ln>
                            <a:noFill/>
                          </a:ln>
                        </pic:spPr>
                      </pic:pic>
                    </a:graphicData>
                  </a:graphic>
                </wp:inline>
              </w:drawing>
            </w:r>
          </w:p>
        </w:tc>
        <w:tc>
          <w:tcPr>
            <w:tcW w:w="4236" w:type="pct"/>
            <w:gridSpan w:val="4"/>
          </w:tcPr>
          <w:p w14:paraId="7145E82D" w14:textId="77777777" w:rsidR="0039382F" w:rsidRPr="0039382F" w:rsidRDefault="0039382F" w:rsidP="0039382F">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color w:val="auto"/>
                <w:sz w:val="20"/>
                <w:szCs w:val="20"/>
              </w:rPr>
            </w:pPr>
          </w:p>
          <w:p w14:paraId="21E8FF70" w14:textId="77777777" w:rsidR="0039382F" w:rsidRPr="0039382F" w:rsidRDefault="0039382F" w:rsidP="0039382F">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auto"/>
                <w:sz w:val="20"/>
                <w:szCs w:val="20"/>
              </w:rPr>
            </w:pPr>
            <w:r w:rsidRPr="0039382F">
              <w:rPr>
                <w:rFonts w:ascii="Century Gothic" w:hAnsi="Century Gothic"/>
                <w:color w:val="auto"/>
                <w:sz w:val="20"/>
                <w:szCs w:val="20"/>
              </w:rPr>
              <w:t>INCORPORACIÓN DE LOS ODS EN LA PLANIFICACIÓN ESTRATEGIA</w:t>
            </w:r>
          </w:p>
        </w:tc>
      </w:tr>
      <w:tr w:rsidR="0039382F" w:rsidRPr="0039382F" w14:paraId="0275276C" w14:textId="77777777" w:rsidTr="00393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Pr>
          <w:p w14:paraId="3B27D723"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 xml:space="preserve">Objetivo:  </w:t>
            </w:r>
            <w:r w:rsidRPr="0039382F">
              <w:rPr>
                <w:rFonts w:ascii="Century Gothic" w:hAnsi="Century Gothic"/>
                <w:b w:val="0"/>
                <w:sz w:val="20"/>
                <w:szCs w:val="20"/>
              </w:rPr>
              <w:t>Incorporar los ODS en la planificación estratégica del municipio, asegurando que todos los objetivos y metas estén alineados con la agenda 2030.</w:t>
            </w:r>
          </w:p>
        </w:tc>
      </w:tr>
      <w:tr w:rsidR="0039382F" w:rsidRPr="0039382F" w14:paraId="42BF5361" w14:textId="77777777" w:rsidTr="0039382F">
        <w:tc>
          <w:tcPr>
            <w:cnfStyle w:val="001000000000" w:firstRow="0" w:lastRow="0" w:firstColumn="1" w:lastColumn="0" w:oddVBand="0" w:evenVBand="0" w:oddHBand="0" w:evenHBand="0" w:firstRowFirstColumn="0" w:firstRowLastColumn="0" w:lastRowFirstColumn="0" w:lastRowLastColumn="0"/>
            <w:tcW w:w="5000" w:type="pct"/>
            <w:gridSpan w:val="6"/>
          </w:tcPr>
          <w:p w14:paraId="63760C36"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Alineación</w:t>
            </w:r>
          </w:p>
        </w:tc>
      </w:tr>
      <w:tr w:rsidR="0039382F" w:rsidRPr="0039382F" w14:paraId="67433126" w14:textId="77777777" w:rsidTr="0039382F">
        <w:trPr>
          <w:cnfStyle w:val="000000100000" w:firstRow="0" w:lastRow="0" w:firstColumn="0" w:lastColumn="0" w:oddVBand="0" w:evenVBand="0" w:oddHBand="1" w:evenHBand="0" w:firstRowFirstColumn="0" w:firstRowLastColumn="0" w:lastRowFirstColumn="0" w:lastRowLastColumn="0"/>
          <w:trHeight w:val="1357"/>
        </w:trPr>
        <w:tc>
          <w:tcPr>
            <w:cnfStyle w:val="001000000000" w:firstRow="0" w:lastRow="0" w:firstColumn="1" w:lastColumn="0" w:oddVBand="0" w:evenVBand="0" w:oddHBand="0" w:evenHBand="0" w:firstRowFirstColumn="0" w:firstRowLastColumn="0" w:lastRowFirstColumn="0" w:lastRowLastColumn="0"/>
            <w:tcW w:w="509" w:type="pct"/>
          </w:tcPr>
          <w:p w14:paraId="40EE7FF6" w14:textId="77777777" w:rsidR="0039382F" w:rsidRPr="0039382F" w:rsidRDefault="0039382F" w:rsidP="0039382F">
            <w:pPr>
              <w:jc w:val="both"/>
              <w:rPr>
                <w:rFonts w:ascii="Century Gothic" w:hAnsi="Century Gothic"/>
                <w:b w:val="0"/>
                <w:sz w:val="20"/>
                <w:szCs w:val="20"/>
              </w:rPr>
            </w:pPr>
          </w:p>
          <w:p w14:paraId="18AFE466"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ODS</w:t>
            </w:r>
          </w:p>
        </w:tc>
        <w:tc>
          <w:tcPr>
            <w:tcW w:w="4491" w:type="pct"/>
            <w:gridSpan w:val="5"/>
          </w:tcPr>
          <w:p w14:paraId="2ED9E357"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noProof/>
                <w:sz w:val="20"/>
                <w:szCs w:val="20"/>
              </w:rPr>
              <w:drawing>
                <wp:anchor distT="0" distB="0" distL="114300" distR="114300" simplePos="0" relativeHeight="251747328" behindDoc="0" locked="0" layoutInCell="1" allowOverlap="1" wp14:anchorId="7D7B852F" wp14:editId="686EF809">
                  <wp:simplePos x="0" y="0"/>
                  <wp:positionH relativeFrom="column">
                    <wp:posOffset>3847465</wp:posOffset>
                  </wp:positionH>
                  <wp:positionV relativeFrom="page">
                    <wp:posOffset>34290</wp:posOffset>
                  </wp:positionV>
                  <wp:extent cx="359410" cy="359410"/>
                  <wp:effectExtent l="0" t="0" r="2540" b="2540"/>
                  <wp:wrapNone/>
                  <wp:docPr id="450150273" name="Imagen 13" descr="Objetivo 10 - REDUCCIÓN DE LAS DESIGUAL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bjetivo 10 - REDUCCIÓN DE LAS DESIGUALDAD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6304" behindDoc="0" locked="0" layoutInCell="1" allowOverlap="1" wp14:anchorId="5C5936A6" wp14:editId="718DCFEF">
                  <wp:simplePos x="0" y="0"/>
                  <wp:positionH relativeFrom="column">
                    <wp:posOffset>3415665</wp:posOffset>
                  </wp:positionH>
                  <wp:positionV relativeFrom="page">
                    <wp:posOffset>37465</wp:posOffset>
                  </wp:positionV>
                  <wp:extent cx="359410" cy="359410"/>
                  <wp:effectExtent l="0" t="0" r="2540" b="2540"/>
                  <wp:wrapNone/>
                  <wp:docPr id="450150272" name="Imagen 12" descr="Objetivo 9 - AGUA INDUSTRIA, INNOVACIÓN E INFRA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jetivo 9 - AGUA INDUSTRIA, INNOVACIÓN E INFRAESTRUCTUR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5280" behindDoc="0" locked="0" layoutInCell="1" allowOverlap="1" wp14:anchorId="3AD36F09" wp14:editId="5C5783C9">
                  <wp:simplePos x="0" y="0"/>
                  <wp:positionH relativeFrom="margin">
                    <wp:posOffset>3008630</wp:posOffset>
                  </wp:positionH>
                  <wp:positionV relativeFrom="page">
                    <wp:posOffset>41910</wp:posOffset>
                  </wp:positionV>
                  <wp:extent cx="359410" cy="359410"/>
                  <wp:effectExtent l="0" t="0" r="2540" b="2540"/>
                  <wp:wrapNone/>
                  <wp:docPr id="1196544895" name="Imagen 11" descr="Objetivo 8 - AGUA TRABAJO DECENTE Y CRECIMIENTO ECONÓMICO.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bjetivo 8 - AGUA TRABAJO DECENTE Y CRECIMIENTO ECONÓMICO. Foto ON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2208" behindDoc="1" locked="0" layoutInCell="1" allowOverlap="1" wp14:anchorId="246795DB" wp14:editId="34ECB240">
                  <wp:simplePos x="0" y="0"/>
                  <wp:positionH relativeFrom="column">
                    <wp:posOffset>211455</wp:posOffset>
                  </wp:positionH>
                  <wp:positionV relativeFrom="paragraph">
                    <wp:posOffset>13335</wp:posOffset>
                  </wp:positionV>
                  <wp:extent cx="359410" cy="359410"/>
                  <wp:effectExtent l="0" t="0" r="2540" b="2540"/>
                  <wp:wrapTight wrapText="bothSides">
                    <wp:wrapPolygon edited="0">
                      <wp:start x="0" y="0"/>
                      <wp:lineTo x="0" y="20608"/>
                      <wp:lineTo x="20608" y="20608"/>
                      <wp:lineTo x="20608" y="0"/>
                      <wp:lineTo x="0" y="0"/>
                    </wp:wrapPolygon>
                  </wp:wrapTight>
                  <wp:docPr id="1196544892" name="Imagen 3" descr="Objetivo 1: FIN DE LA POBR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bjetivo 1: FIN DE LA POBREZ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anchor>
              </w:drawing>
            </w:r>
            <w:r w:rsidRPr="0039382F">
              <w:rPr>
                <w:rFonts w:ascii="Century Gothic" w:hAnsi="Century Gothic"/>
                <w:bCs/>
                <w:noProof/>
                <w:sz w:val="20"/>
                <w:szCs w:val="20"/>
              </w:rPr>
              <w:drawing>
                <wp:anchor distT="0" distB="0" distL="114300" distR="114300" simplePos="0" relativeHeight="251738112" behindDoc="0" locked="0" layoutInCell="1" allowOverlap="1" wp14:anchorId="777F03DC" wp14:editId="037D1B52">
                  <wp:simplePos x="0" y="0"/>
                  <wp:positionH relativeFrom="margin">
                    <wp:posOffset>600710</wp:posOffset>
                  </wp:positionH>
                  <wp:positionV relativeFrom="page">
                    <wp:posOffset>5715</wp:posOffset>
                  </wp:positionV>
                  <wp:extent cx="359410" cy="359410"/>
                  <wp:effectExtent l="0" t="0" r="2540" b="2540"/>
                  <wp:wrapNone/>
                  <wp:docPr id="1196544888" name="Imagen 4" descr="Objetivo 2 - HAMBRE C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jetivo 2 - HAMBRE CER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39136" behindDoc="0" locked="0" layoutInCell="1" allowOverlap="1" wp14:anchorId="1F8592D4" wp14:editId="2A11AF41">
                  <wp:simplePos x="0" y="0"/>
                  <wp:positionH relativeFrom="margin">
                    <wp:posOffset>1005205</wp:posOffset>
                  </wp:positionH>
                  <wp:positionV relativeFrom="page">
                    <wp:posOffset>7620</wp:posOffset>
                  </wp:positionV>
                  <wp:extent cx="359410" cy="359410"/>
                  <wp:effectExtent l="0" t="0" r="2540" b="2540"/>
                  <wp:wrapNone/>
                  <wp:docPr id="1196544889" name="Imagen 6" descr="Objetivo 3 - SALUD Y BIEN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bjetivo 3 - SALUD Y BIENESTA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0160" behindDoc="0" locked="0" layoutInCell="1" allowOverlap="1" wp14:anchorId="629AE116" wp14:editId="35CA39A1">
                  <wp:simplePos x="0" y="0"/>
                  <wp:positionH relativeFrom="margin">
                    <wp:posOffset>1416685</wp:posOffset>
                  </wp:positionH>
                  <wp:positionV relativeFrom="page">
                    <wp:posOffset>1905</wp:posOffset>
                  </wp:positionV>
                  <wp:extent cx="359410" cy="359410"/>
                  <wp:effectExtent l="0" t="0" r="2540" b="2540"/>
                  <wp:wrapNone/>
                  <wp:docPr id="1196544890" name="Imagen 7" descr="Objetivo 4 - EDUCACIÓN DE C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jetivo 4 - EDUCACIÓN DE CALIDA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1184" behindDoc="0" locked="0" layoutInCell="1" allowOverlap="1" wp14:anchorId="7911AD9B" wp14:editId="1729B324">
                  <wp:simplePos x="0" y="0"/>
                  <wp:positionH relativeFrom="margin">
                    <wp:posOffset>1826895</wp:posOffset>
                  </wp:positionH>
                  <wp:positionV relativeFrom="page">
                    <wp:posOffset>4445</wp:posOffset>
                  </wp:positionV>
                  <wp:extent cx="359410" cy="359410"/>
                  <wp:effectExtent l="0" t="0" r="2540" b="2540"/>
                  <wp:wrapNone/>
                  <wp:docPr id="1196544891" name="Imagen 8" descr="Objetivo 5 - IGUALDAD DE GÉ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bjetivo 5 - IGUALDAD DE GÉNER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3232" behindDoc="0" locked="0" layoutInCell="1" allowOverlap="1" wp14:anchorId="0756F0B7" wp14:editId="71B3BB6A">
                  <wp:simplePos x="0" y="0"/>
                  <wp:positionH relativeFrom="margin">
                    <wp:posOffset>2595880</wp:posOffset>
                  </wp:positionH>
                  <wp:positionV relativeFrom="page">
                    <wp:posOffset>17145</wp:posOffset>
                  </wp:positionV>
                  <wp:extent cx="359410" cy="359410"/>
                  <wp:effectExtent l="0" t="0" r="2540" b="2540"/>
                  <wp:wrapNone/>
                  <wp:docPr id="1196544893" name="Imagen 10" descr="Objetivo 7 - AGUA ENERGÍA ASEQUIBLE Y NO CONTAMINANTE. Foto O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Objetivo 7 - AGUA ENERGÍA ASEQUIBLE Y NO CONTAMINANTE. Foto ON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4256" behindDoc="0" locked="0" layoutInCell="1" allowOverlap="1" wp14:anchorId="71834825" wp14:editId="5473AABA">
                  <wp:simplePos x="0" y="0"/>
                  <wp:positionH relativeFrom="margin">
                    <wp:posOffset>2216531</wp:posOffset>
                  </wp:positionH>
                  <wp:positionV relativeFrom="page">
                    <wp:posOffset>17145</wp:posOffset>
                  </wp:positionV>
                  <wp:extent cx="359410" cy="359410"/>
                  <wp:effectExtent l="0" t="0" r="2540" b="2540"/>
                  <wp:wrapNone/>
                  <wp:docPr id="1196544894" name="Imagen 9" descr="Objetivo 6 - AGUA LIMPIA Y SANE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bjetivo 6 - AGUA LIMPIA Y SANEAMIEN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3429D"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noProof/>
                <w:sz w:val="20"/>
                <w:szCs w:val="20"/>
              </w:rPr>
              <w:drawing>
                <wp:anchor distT="0" distB="0" distL="114300" distR="114300" simplePos="0" relativeHeight="251751424" behindDoc="0" locked="0" layoutInCell="1" allowOverlap="1" wp14:anchorId="74698200" wp14:editId="0EAD3170">
                  <wp:simplePos x="0" y="0"/>
                  <wp:positionH relativeFrom="margin">
                    <wp:posOffset>2402840</wp:posOffset>
                  </wp:positionH>
                  <wp:positionV relativeFrom="page">
                    <wp:posOffset>437388</wp:posOffset>
                  </wp:positionV>
                  <wp:extent cx="359410" cy="359410"/>
                  <wp:effectExtent l="0" t="0" r="2540" b="2540"/>
                  <wp:wrapNone/>
                  <wp:docPr id="450150277" name="Imagen 18" descr="Objetivo 15 - VIDA DE ECOSISTEMAS TERRES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bjetivo 15 - VIDA DE ECOSISTEMAS TERRESTR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52448" behindDoc="0" locked="0" layoutInCell="1" allowOverlap="1" wp14:anchorId="254E5DD8" wp14:editId="2B8A3F86">
                  <wp:simplePos x="0" y="0"/>
                  <wp:positionH relativeFrom="column">
                    <wp:posOffset>1932686</wp:posOffset>
                  </wp:positionH>
                  <wp:positionV relativeFrom="page">
                    <wp:posOffset>431546</wp:posOffset>
                  </wp:positionV>
                  <wp:extent cx="359410" cy="359410"/>
                  <wp:effectExtent l="0" t="0" r="2540" b="2540"/>
                  <wp:wrapNone/>
                  <wp:docPr id="450150278" name="Imagen 17" descr="Objetivo 14 - VIDA SUBMA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jetivo 14 - VIDA SUBMARIN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54496" behindDoc="0" locked="0" layoutInCell="1" allowOverlap="1" wp14:anchorId="38902AAD" wp14:editId="182055DA">
                  <wp:simplePos x="0" y="0"/>
                  <wp:positionH relativeFrom="column">
                    <wp:posOffset>3259074</wp:posOffset>
                  </wp:positionH>
                  <wp:positionV relativeFrom="page">
                    <wp:posOffset>454025</wp:posOffset>
                  </wp:positionV>
                  <wp:extent cx="359410" cy="359410"/>
                  <wp:effectExtent l="0" t="0" r="2540" b="2540"/>
                  <wp:wrapNone/>
                  <wp:docPr id="450150281" name="Imagen 20" descr="Objetivo 17 - ALIANZAS PARA LOGRAR LOS OBJETI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Objetivo 17 - ALIANZAS PARA LOGRAR LOS OBJETIV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53472" behindDoc="0" locked="0" layoutInCell="1" allowOverlap="1" wp14:anchorId="645621D4" wp14:editId="5BFD1BCC">
                  <wp:simplePos x="0" y="0"/>
                  <wp:positionH relativeFrom="column">
                    <wp:posOffset>2834640</wp:posOffset>
                  </wp:positionH>
                  <wp:positionV relativeFrom="page">
                    <wp:posOffset>455295</wp:posOffset>
                  </wp:positionV>
                  <wp:extent cx="359410" cy="359410"/>
                  <wp:effectExtent l="0" t="0" r="2540" b="2540"/>
                  <wp:wrapNone/>
                  <wp:docPr id="450150279" name="Imagen 19" descr="Peace, justice and strong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eace, justice and strong institu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50400" behindDoc="0" locked="0" layoutInCell="1" allowOverlap="1" wp14:anchorId="191B77FB" wp14:editId="3EE1155B">
                  <wp:simplePos x="0" y="0"/>
                  <wp:positionH relativeFrom="margin">
                    <wp:posOffset>1468120</wp:posOffset>
                  </wp:positionH>
                  <wp:positionV relativeFrom="page">
                    <wp:posOffset>430530</wp:posOffset>
                  </wp:positionV>
                  <wp:extent cx="359410" cy="359410"/>
                  <wp:effectExtent l="0" t="0" r="2540" b="2540"/>
                  <wp:wrapNone/>
                  <wp:docPr id="450150276" name="Imagen 16" descr="Objetivo 13 - ACCIÓN POR EL CL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bjetivo 13 - ACCIÓN POR EL CLIM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9376" behindDoc="0" locked="0" layoutInCell="1" allowOverlap="1" wp14:anchorId="3BC3F80A" wp14:editId="76734313">
                  <wp:simplePos x="0" y="0"/>
                  <wp:positionH relativeFrom="column">
                    <wp:posOffset>1022985</wp:posOffset>
                  </wp:positionH>
                  <wp:positionV relativeFrom="page">
                    <wp:posOffset>422910</wp:posOffset>
                  </wp:positionV>
                  <wp:extent cx="359410" cy="359410"/>
                  <wp:effectExtent l="0" t="0" r="2540" b="2540"/>
                  <wp:wrapNone/>
                  <wp:docPr id="450150275" name="Imagen 15" descr="Objetivo 12 - PRODUCCIÓN Y CONSUMOS RESPONS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bjetivo 12 - PRODUCCIÓN Y CONSUMOS RESPONSAB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82F">
              <w:rPr>
                <w:rFonts w:ascii="Century Gothic" w:hAnsi="Century Gothic"/>
                <w:bCs/>
                <w:noProof/>
                <w:sz w:val="20"/>
                <w:szCs w:val="20"/>
              </w:rPr>
              <w:drawing>
                <wp:anchor distT="0" distB="0" distL="114300" distR="114300" simplePos="0" relativeHeight="251748352" behindDoc="0" locked="0" layoutInCell="1" allowOverlap="1" wp14:anchorId="337E20C2" wp14:editId="16D7F8DF">
                  <wp:simplePos x="0" y="0"/>
                  <wp:positionH relativeFrom="column">
                    <wp:posOffset>582295</wp:posOffset>
                  </wp:positionH>
                  <wp:positionV relativeFrom="page">
                    <wp:posOffset>411861</wp:posOffset>
                  </wp:positionV>
                  <wp:extent cx="359410" cy="359410"/>
                  <wp:effectExtent l="0" t="0" r="2540" b="2540"/>
                  <wp:wrapNone/>
                  <wp:docPr id="450150274" name="Imagen 14" descr="Objetivo 11 - CIUDADES Y COMUNIDADES SOSTEN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Objetivo 11 - CIUDADES Y COMUNIDADES SOSTENIBL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F8236"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p>
        </w:tc>
      </w:tr>
      <w:tr w:rsidR="0039382F" w:rsidRPr="0039382F" w14:paraId="1C874C4C" w14:textId="77777777" w:rsidTr="0039382F">
        <w:tc>
          <w:tcPr>
            <w:cnfStyle w:val="001000000000" w:firstRow="0" w:lastRow="0" w:firstColumn="1" w:lastColumn="0" w:oddVBand="0" w:evenVBand="0" w:oddHBand="0" w:evenHBand="0" w:firstRowFirstColumn="0" w:firstRowLastColumn="0" w:lastRowFirstColumn="0" w:lastRowLastColumn="0"/>
            <w:tcW w:w="1147" w:type="pct"/>
            <w:gridSpan w:val="4"/>
          </w:tcPr>
          <w:p w14:paraId="17C16F5A"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Plan Nacional de Desarrollo</w:t>
            </w:r>
          </w:p>
        </w:tc>
        <w:tc>
          <w:tcPr>
            <w:tcW w:w="3853" w:type="pct"/>
            <w:gridSpan w:val="2"/>
          </w:tcPr>
          <w:p w14:paraId="72D97C6D" w14:textId="77777777" w:rsidR="0039382F" w:rsidRPr="0039382F" w:rsidRDefault="0039382F" w:rsidP="0039382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39382F">
              <w:rPr>
                <w:rFonts w:ascii="Century Gothic" w:hAnsi="Century Gothic"/>
                <w:b/>
                <w:bCs/>
                <w:sz w:val="20"/>
                <w:szCs w:val="20"/>
              </w:rPr>
              <w:t>PDEM 2023-2027</w:t>
            </w:r>
          </w:p>
        </w:tc>
      </w:tr>
      <w:tr w:rsidR="0039382F" w:rsidRPr="0039382F" w14:paraId="0D26994C" w14:textId="77777777" w:rsidTr="003938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7" w:type="pct"/>
            <w:gridSpan w:val="4"/>
          </w:tcPr>
          <w:p w14:paraId="0D86CC44" w14:textId="77777777" w:rsidR="0039382F" w:rsidRPr="0039382F" w:rsidRDefault="0039382F" w:rsidP="0039382F">
            <w:pPr>
              <w:jc w:val="both"/>
              <w:rPr>
                <w:rFonts w:ascii="Century Gothic" w:hAnsi="Century Gothic"/>
                <w:b w:val="0"/>
                <w:sz w:val="20"/>
                <w:szCs w:val="20"/>
              </w:rPr>
            </w:pPr>
            <w:r w:rsidRPr="0039382F">
              <w:rPr>
                <w:rFonts w:ascii="Century Gothic" w:hAnsi="Century Gothic"/>
                <w:sz w:val="20"/>
                <w:szCs w:val="20"/>
              </w:rPr>
              <w:t>Tema: 01</w:t>
            </w:r>
          </w:p>
          <w:p w14:paraId="0756F937"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Subtema</w:t>
            </w:r>
          </w:p>
        </w:tc>
        <w:tc>
          <w:tcPr>
            <w:tcW w:w="3853" w:type="pct"/>
            <w:gridSpan w:val="2"/>
          </w:tcPr>
          <w:p w14:paraId="2EA36269"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Objetivo</w:t>
            </w:r>
          </w:p>
          <w:p w14:paraId="4D032F29"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T 3.1 Transversalizar los principios rectores de la Agenda 2030 en todo el ciclo de planeación.</w:t>
            </w:r>
          </w:p>
          <w:p w14:paraId="0E3509A5"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Estrategia</w:t>
            </w:r>
          </w:p>
          <w:p w14:paraId="23BFB8F0"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T 3.1.1 Integrar el enfoque de la Agenda 2030 en los instrumentos de planeación estatales y municipales, así como su posterior inclusión en las asignaciones presupuestarias; con el fin de que los indicadores operativos y estratégicos de las unidades administrativas estatales y municipales se encuentren alineados a los 17 ODS.</w:t>
            </w:r>
          </w:p>
        </w:tc>
      </w:tr>
      <w:tr w:rsidR="0039382F" w:rsidRPr="0039382F" w14:paraId="3C273628" w14:textId="77777777" w:rsidTr="0039382F">
        <w:tc>
          <w:tcPr>
            <w:cnfStyle w:val="001000000000" w:firstRow="0" w:lastRow="0" w:firstColumn="1" w:lastColumn="0" w:oddVBand="0" w:evenVBand="0" w:oddHBand="0" w:evenHBand="0" w:firstRowFirstColumn="0" w:firstRowLastColumn="0" w:lastRowFirstColumn="0" w:lastRowLastColumn="0"/>
            <w:tcW w:w="3720" w:type="pct"/>
            <w:gridSpan w:val="5"/>
          </w:tcPr>
          <w:p w14:paraId="1CD39E60"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 xml:space="preserve">Componente 1 </w:t>
            </w:r>
            <w:r w:rsidRPr="0039382F">
              <w:rPr>
                <w:rFonts w:ascii="Century Gothic" w:hAnsi="Century Gothic"/>
                <w:b w:val="0"/>
                <w:sz w:val="20"/>
                <w:szCs w:val="20"/>
              </w:rPr>
              <w:t>Promover acciones que permitan reducir las desigualdades sociales</w:t>
            </w:r>
          </w:p>
        </w:tc>
        <w:tc>
          <w:tcPr>
            <w:tcW w:w="1280" w:type="pct"/>
          </w:tcPr>
          <w:p w14:paraId="7D6F9154" w14:textId="77777777" w:rsidR="0039382F" w:rsidRPr="0039382F" w:rsidRDefault="0039382F" w:rsidP="0039382F">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b/>
                <w:bCs/>
                <w:sz w:val="20"/>
                <w:szCs w:val="20"/>
              </w:rPr>
            </w:pPr>
            <w:r w:rsidRPr="0039382F">
              <w:rPr>
                <w:rFonts w:ascii="Century Gothic" w:hAnsi="Century Gothic"/>
                <w:b/>
                <w:bCs/>
                <w:sz w:val="20"/>
                <w:szCs w:val="20"/>
              </w:rPr>
              <w:t>Dependencia Responsable</w:t>
            </w:r>
          </w:p>
        </w:tc>
      </w:tr>
      <w:tr w:rsidR="0039382F" w:rsidRPr="0039382F" w14:paraId="01A8DE46" w14:textId="77777777" w:rsidTr="0039382F">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59" w:type="pct"/>
            <w:gridSpan w:val="3"/>
          </w:tcPr>
          <w:p w14:paraId="47557313" w14:textId="77777777" w:rsidR="0039382F" w:rsidRPr="0039382F" w:rsidRDefault="0039382F" w:rsidP="0039382F">
            <w:pPr>
              <w:jc w:val="both"/>
              <w:rPr>
                <w:rFonts w:ascii="Century Gothic" w:hAnsi="Century Gothic"/>
                <w:b w:val="0"/>
                <w:sz w:val="20"/>
                <w:szCs w:val="20"/>
              </w:rPr>
            </w:pPr>
          </w:p>
          <w:p w14:paraId="342C71E0" w14:textId="77777777" w:rsidR="0039382F" w:rsidRPr="0039382F" w:rsidRDefault="0039382F" w:rsidP="0039382F">
            <w:pPr>
              <w:jc w:val="both"/>
              <w:rPr>
                <w:rFonts w:ascii="Century Gothic" w:hAnsi="Century Gothic"/>
                <w:b w:val="0"/>
                <w:sz w:val="20"/>
                <w:szCs w:val="20"/>
              </w:rPr>
            </w:pPr>
          </w:p>
          <w:p w14:paraId="28196D47" w14:textId="77777777" w:rsidR="0039382F" w:rsidRPr="0039382F" w:rsidRDefault="0039382F" w:rsidP="0039382F">
            <w:pPr>
              <w:jc w:val="both"/>
              <w:rPr>
                <w:rFonts w:ascii="Century Gothic" w:hAnsi="Century Gothic"/>
                <w:sz w:val="20"/>
                <w:szCs w:val="20"/>
              </w:rPr>
            </w:pPr>
            <w:r w:rsidRPr="0039382F">
              <w:rPr>
                <w:rFonts w:ascii="Century Gothic" w:hAnsi="Century Gothic"/>
                <w:sz w:val="20"/>
                <w:szCs w:val="20"/>
              </w:rPr>
              <w:t>Acciones Especificas</w:t>
            </w:r>
          </w:p>
        </w:tc>
        <w:tc>
          <w:tcPr>
            <w:tcW w:w="2661" w:type="pct"/>
            <w:gridSpan w:val="2"/>
          </w:tcPr>
          <w:p w14:paraId="7281FA88" w14:textId="77777777" w:rsidR="0039382F" w:rsidRPr="0039382F" w:rsidRDefault="0039382F" w:rsidP="0039382F">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Elaborar el informe de actividades Acciones y Resultados del Plan de Desarrollo Municipal concatenado con los 17 ODS.</w:t>
            </w:r>
          </w:p>
          <w:p w14:paraId="7F752704" w14:textId="77777777" w:rsidR="0039382F" w:rsidRPr="0039382F" w:rsidRDefault="0039382F" w:rsidP="0039382F">
            <w:pPr>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Elaborar Informes de Gobierno Municipal con el enfoque de la Agenda 2030</w:t>
            </w:r>
          </w:p>
          <w:p w14:paraId="4C66CF25" w14:textId="77777777" w:rsidR="0039382F" w:rsidRPr="0039382F" w:rsidRDefault="0039382F" w:rsidP="0039382F">
            <w:pPr>
              <w:pStyle w:val="Prrafodelista"/>
              <w:numPr>
                <w:ilvl w:val="0"/>
                <w:numId w:val="1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color w:val="000000" w:themeColor="text1"/>
                <w:sz w:val="20"/>
                <w:szCs w:val="20"/>
              </w:rPr>
              <w:t>Instala</w:t>
            </w:r>
            <w:r w:rsidRPr="0039382F">
              <w:rPr>
                <w:rFonts w:ascii="Century Gothic" w:hAnsi="Century Gothic"/>
                <w:color w:val="666666" w:themeColor="text1" w:themeTint="99"/>
                <w:sz w:val="20"/>
                <w:szCs w:val="20"/>
              </w:rPr>
              <w:t xml:space="preserve">r </w:t>
            </w:r>
            <w:r w:rsidRPr="0039382F">
              <w:rPr>
                <w:rFonts w:ascii="Century Gothic" w:hAnsi="Century Gothic"/>
                <w:color w:val="000000" w:themeColor="text1"/>
                <w:sz w:val="20"/>
                <w:szCs w:val="20"/>
              </w:rPr>
              <w:t>el Comité de la Agenda 2030</w:t>
            </w:r>
          </w:p>
        </w:tc>
        <w:tc>
          <w:tcPr>
            <w:tcW w:w="1280" w:type="pct"/>
          </w:tcPr>
          <w:p w14:paraId="1F25A0AD"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p>
          <w:p w14:paraId="0191C559"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p>
          <w:p w14:paraId="504C9929"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p>
          <w:p w14:paraId="259C8BB8" w14:textId="77777777" w:rsidR="0039382F" w:rsidRPr="0039382F" w:rsidRDefault="0039382F" w:rsidP="0039382F">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39382F">
              <w:rPr>
                <w:rFonts w:ascii="Century Gothic" w:hAnsi="Century Gothic"/>
                <w:bCs/>
                <w:sz w:val="20"/>
                <w:szCs w:val="20"/>
              </w:rPr>
              <w:t>UIPPE</w:t>
            </w:r>
          </w:p>
        </w:tc>
      </w:tr>
    </w:tbl>
    <w:p w14:paraId="4C19B2BE" w14:textId="44ABC3D3" w:rsidR="0039382F" w:rsidRDefault="0039382F" w:rsidP="004A7C99">
      <w:pPr>
        <w:spacing w:after="160" w:line="360" w:lineRule="auto"/>
        <w:rPr>
          <w:rFonts w:ascii="Century Gothic" w:eastAsiaTheme="minorHAnsi" w:hAnsi="Century Gothic"/>
          <w:sz w:val="22"/>
          <w:szCs w:val="22"/>
        </w:rPr>
      </w:pPr>
    </w:p>
    <w:p w14:paraId="0C845A5C" w14:textId="77777777" w:rsidR="0039382F" w:rsidRDefault="0039382F">
      <w:pPr>
        <w:rPr>
          <w:rFonts w:ascii="Century Gothic" w:eastAsiaTheme="minorHAnsi" w:hAnsi="Century Gothic"/>
          <w:sz w:val="22"/>
          <w:szCs w:val="22"/>
        </w:rPr>
      </w:pPr>
      <w:r>
        <w:rPr>
          <w:rFonts w:ascii="Century Gothic" w:eastAsiaTheme="minorHAnsi" w:hAnsi="Century Gothic"/>
          <w:sz w:val="22"/>
          <w:szCs w:val="22"/>
        </w:rPr>
        <w:br w:type="page"/>
      </w:r>
    </w:p>
    <w:p w14:paraId="4A4122D6" w14:textId="77777777" w:rsidR="0039382F" w:rsidRDefault="0039382F" w:rsidP="004A7C99">
      <w:pPr>
        <w:spacing w:after="160" w:line="360" w:lineRule="auto"/>
        <w:rPr>
          <w:rFonts w:ascii="Century Gothic" w:eastAsiaTheme="minorHAnsi" w:hAnsi="Century Gothic"/>
          <w:sz w:val="22"/>
          <w:szCs w:val="22"/>
        </w:rPr>
        <w:sectPr w:rsidR="0039382F" w:rsidSect="00CD1C55">
          <w:pgSz w:w="15840" w:h="12240" w:orient="landscape"/>
          <w:pgMar w:top="1440" w:right="1440" w:bottom="1440" w:left="1440" w:header="709" w:footer="709" w:gutter="0"/>
          <w:cols w:space="708"/>
          <w:docGrid w:linePitch="360"/>
        </w:sectPr>
      </w:pPr>
    </w:p>
    <w:p w14:paraId="51314DE8" w14:textId="77777777" w:rsidR="0039382F" w:rsidRDefault="0039382F" w:rsidP="004A7C99">
      <w:pPr>
        <w:spacing w:after="160" w:line="360" w:lineRule="auto"/>
        <w:rPr>
          <w:rFonts w:ascii="Corbel" w:hAnsi="Corbel"/>
          <w:b/>
          <w:bCs/>
          <w:color w:val="8DD873" w:themeColor="accent6" w:themeTint="99"/>
          <w:sz w:val="28"/>
          <w:szCs w:val="28"/>
        </w:rPr>
      </w:pPr>
    </w:p>
    <w:p w14:paraId="2482FBE5" w14:textId="77777777" w:rsidR="0039382F" w:rsidRDefault="0039382F" w:rsidP="004A7C99">
      <w:pPr>
        <w:spacing w:after="160" w:line="360" w:lineRule="auto"/>
        <w:rPr>
          <w:rFonts w:ascii="Corbel" w:hAnsi="Corbel"/>
          <w:b/>
          <w:bCs/>
          <w:color w:val="8DD873" w:themeColor="accent6" w:themeTint="99"/>
          <w:sz w:val="28"/>
          <w:szCs w:val="28"/>
        </w:rPr>
      </w:pPr>
    </w:p>
    <w:p w14:paraId="1A7A2777" w14:textId="77777777" w:rsidR="0039382F" w:rsidRDefault="0039382F" w:rsidP="004A7C99">
      <w:pPr>
        <w:spacing w:after="160" w:line="360" w:lineRule="auto"/>
        <w:rPr>
          <w:rFonts w:ascii="Corbel" w:hAnsi="Corbel"/>
          <w:b/>
          <w:bCs/>
          <w:color w:val="8DD873" w:themeColor="accent6" w:themeTint="99"/>
          <w:sz w:val="28"/>
          <w:szCs w:val="28"/>
        </w:rPr>
      </w:pPr>
    </w:p>
    <w:p w14:paraId="128CD11D" w14:textId="77777777" w:rsidR="0039382F" w:rsidRDefault="0039382F" w:rsidP="004A7C99">
      <w:pPr>
        <w:spacing w:after="160" w:line="360" w:lineRule="auto"/>
        <w:rPr>
          <w:rFonts w:ascii="Corbel" w:hAnsi="Corbel"/>
          <w:b/>
          <w:bCs/>
          <w:color w:val="8DD873" w:themeColor="accent6" w:themeTint="99"/>
          <w:sz w:val="28"/>
          <w:szCs w:val="28"/>
        </w:rPr>
      </w:pPr>
    </w:p>
    <w:p w14:paraId="6FCC63C6" w14:textId="77777777" w:rsidR="0039382F" w:rsidRDefault="0039382F" w:rsidP="004A7C99">
      <w:pPr>
        <w:spacing w:after="160" w:line="360" w:lineRule="auto"/>
        <w:rPr>
          <w:rFonts w:ascii="Corbel" w:hAnsi="Corbel"/>
          <w:b/>
          <w:bCs/>
          <w:color w:val="8DD873" w:themeColor="accent6" w:themeTint="99"/>
          <w:sz w:val="28"/>
          <w:szCs w:val="28"/>
        </w:rPr>
      </w:pPr>
    </w:p>
    <w:p w14:paraId="5718B334" w14:textId="77777777" w:rsidR="0039382F" w:rsidRDefault="0039382F" w:rsidP="004A7C99">
      <w:pPr>
        <w:spacing w:after="160" w:line="360" w:lineRule="auto"/>
        <w:rPr>
          <w:rFonts w:ascii="Corbel" w:hAnsi="Corbel"/>
          <w:b/>
          <w:bCs/>
          <w:color w:val="8DD873" w:themeColor="accent6" w:themeTint="99"/>
          <w:sz w:val="28"/>
          <w:szCs w:val="28"/>
        </w:rPr>
      </w:pPr>
    </w:p>
    <w:p w14:paraId="2EBF88C5" w14:textId="77777777" w:rsidR="0039382F" w:rsidRDefault="0039382F" w:rsidP="004A7C99">
      <w:pPr>
        <w:spacing w:after="160" w:line="360" w:lineRule="auto"/>
        <w:rPr>
          <w:rFonts w:ascii="Corbel" w:hAnsi="Corbel"/>
          <w:b/>
          <w:bCs/>
          <w:color w:val="8DD873" w:themeColor="accent6" w:themeTint="99"/>
          <w:sz w:val="28"/>
          <w:szCs w:val="28"/>
        </w:rPr>
      </w:pPr>
    </w:p>
    <w:p w14:paraId="547C33F3" w14:textId="77777777" w:rsidR="0039382F" w:rsidRDefault="0039382F" w:rsidP="004A7C99">
      <w:pPr>
        <w:spacing w:after="160" w:line="360" w:lineRule="auto"/>
        <w:rPr>
          <w:rFonts w:ascii="Corbel" w:hAnsi="Corbel"/>
          <w:b/>
          <w:bCs/>
          <w:color w:val="8DD873" w:themeColor="accent6" w:themeTint="99"/>
          <w:sz w:val="28"/>
          <w:szCs w:val="28"/>
        </w:rPr>
      </w:pPr>
    </w:p>
    <w:p w14:paraId="5F233C1D" w14:textId="77777777" w:rsidR="0039382F" w:rsidRDefault="0039382F" w:rsidP="004A7C99">
      <w:pPr>
        <w:spacing w:after="160" w:line="360" w:lineRule="auto"/>
        <w:rPr>
          <w:rFonts w:ascii="Corbel" w:hAnsi="Corbel"/>
          <w:b/>
          <w:bCs/>
          <w:color w:val="8DD873" w:themeColor="accent6" w:themeTint="99"/>
          <w:sz w:val="28"/>
          <w:szCs w:val="28"/>
        </w:rPr>
      </w:pPr>
    </w:p>
    <w:p w14:paraId="7A153F84" w14:textId="77777777" w:rsidR="0039382F" w:rsidRDefault="0039382F" w:rsidP="004A7C99">
      <w:pPr>
        <w:spacing w:after="160" w:line="360" w:lineRule="auto"/>
        <w:rPr>
          <w:rFonts w:ascii="Corbel" w:hAnsi="Corbel"/>
          <w:b/>
          <w:bCs/>
          <w:color w:val="8DD873" w:themeColor="accent6" w:themeTint="99"/>
          <w:sz w:val="28"/>
          <w:szCs w:val="28"/>
        </w:rPr>
      </w:pPr>
    </w:p>
    <w:p w14:paraId="5C33AE00" w14:textId="77777777" w:rsidR="0039382F" w:rsidRDefault="0039382F" w:rsidP="004A7C99">
      <w:pPr>
        <w:spacing w:after="160" w:line="360" w:lineRule="auto"/>
        <w:rPr>
          <w:rFonts w:ascii="Corbel" w:hAnsi="Corbel"/>
          <w:b/>
          <w:bCs/>
          <w:color w:val="8DD873" w:themeColor="accent6" w:themeTint="99"/>
          <w:sz w:val="28"/>
          <w:szCs w:val="28"/>
        </w:rPr>
      </w:pPr>
    </w:p>
    <w:p w14:paraId="39C0671C" w14:textId="77777777" w:rsidR="0039382F" w:rsidRDefault="0039382F" w:rsidP="004A7C99">
      <w:pPr>
        <w:spacing w:after="160" w:line="360" w:lineRule="auto"/>
        <w:rPr>
          <w:rFonts w:ascii="Corbel" w:hAnsi="Corbel"/>
          <w:b/>
          <w:bCs/>
          <w:color w:val="8DD873" w:themeColor="accent6" w:themeTint="99"/>
          <w:sz w:val="28"/>
          <w:szCs w:val="28"/>
        </w:rPr>
      </w:pPr>
    </w:p>
    <w:p w14:paraId="31BB86F3" w14:textId="77777777" w:rsidR="0039382F" w:rsidRDefault="0039382F" w:rsidP="004A7C99">
      <w:pPr>
        <w:spacing w:after="160" w:line="360" w:lineRule="auto"/>
        <w:rPr>
          <w:rFonts w:ascii="Corbel" w:hAnsi="Corbel"/>
          <w:b/>
          <w:bCs/>
          <w:color w:val="8DD873" w:themeColor="accent6" w:themeTint="99"/>
          <w:sz w:val="28"/>
          <w:szCs w:val="28"/>
        </w:rPr>
      </w:pPr>
    </w:p>
    <w:p w14:paraId="418FF939" w14:textId="77777777" w:rsidR="0039382F" w:rsidRDefault="0039382F" w:rsidP="004A7C99">
      <w:pPr>
        <w:spacing w:after="160" w:line="360" w:lineRule="auto"/>
        <w:rPr>
          <w:rFonts w:ascii="Corbel" w:hAnsi="Corbel"/>
          <w:b/>
          <w:bCs/>
          <w:color w:val="8DD873" w:themeColor="accent6" w:themeTint="99"/>
          <w:sz w:val="28"/>
          <w:szCs w:val="28"/>
        </w:rPr>
      </w:pPr>
    </w:p>
    <w:p w14:paraId="27713D23" w14:textId="77777777" w:rsidR="0039382F" w:rsidRDefault="0039382F" w:rsidP="004A7C99">
      <w:pPr>
        <w:spacing w:after="160" w:line="360" w:lineRule="auto"/>
        <w:rPr>
          <w:rFonts w:ascii="Corbel" w:hAnsi="Corbel"/>
          <w:b/>
          <w:bCs/>
          <w:color w:val="8DD873" w:themeColor="accent6" w:themeTint="99"/>
          <w:sz w:val="28"/>
          <w:szCs w:val="28"/>
        </w:rPr>
      </w:pPr>
    </w:p>
    <w:p w14:paraId="30572E63" w14:textId="77777777" w:rsidR="0039382F" w:rsidRDefault="0039382F" w:rsidP="004A7C99">
      <w:pPr>
        <w:spacing w:after="160" w:line="360" w:lineRule="auto"/>
        <w:rPr>
          <w:rFonts w:ascii="Corbel" w:hAnsi="Corbel"/>
          <w:b/>
          <w:bCs/>
          <w:color w:val="8DD873" w:themeColor="accent6" w:themeTint="99"/>
          <w:sz w:val="28"/>
          <w:szCs w:val="28"/>
        </w:rPr>
      </w:pPr>
    </w:p>
    <w:p w14:paraId="315E7B60" w14:textId="77777777" w:rsidR="0039382F" w:rsidRDefault="0039382F" w:rsidP="004A7C99">
      <w:pPr>
        <w:spacing w:after="160" w:line="360" w:lineRule="auto"/>
        <w:rPr>
          <w:rFonts w:ascii="Corbel" w:hAnsi="Corbel"/>
          <w:b/>
          <w:bCs/>
          <w:color w:val="8DD873" w:themeColor="accent6" w:themeTint="99"/>
          <w:sz w:val="28"/>
          <w:szCs w:val="28"/>
        </w:rPr>
      </w:pPr>
    </w:p>
    <w:p w14:paraId="44EA8012" w14:textId="77777777" w:rsidR="0039382F" w:rsidRDefault="0039382F" w:rsidP="004A7C99">
      <w:pPr>
        <w:spacing w:after="160" w:line="360" w:lineRule="auto"/>
        <w:rPr>
          <w:rFonts w:ascii="Corbel" w:hAnsi="Corbel"/>
          <w:b/>
          <w:bCs/>
          <w:color w:val="8DD873" w:themeColor="accent6" w:themeTint="99"/>
          <w:sz w:val="28"/>
          <w:szCs w:val="28"/>
        </w:rPr>
      </w:pPr>
    </w:p>
    <w:p w14:paraId="7B1C376D" w14:textId="77777777" w:rsidR="0039382F" w:rsidRDefault="0039382F" w:rsidP="004A7C99">
      <w:pPr>
        <w:spacing w:after="160" w:line="360" w:lineRule="auto"/>
        <w:rPr>
          <w:rFonts w:ascii="Corbel" w:hAnsi="Corbel"/>
          <w:b/>
          <w:bCs/>
          <w:color w:val="8DD873" w:themeColor="accent6" w:themeTint="99"/>
          <w:sz w:val="28"/>
          <w:szCs w:val="28"/>
        </w:rPr>
      </w:pPr>
    </w:p>
    <w:p w14:paraId="52E0C080" w14:textId="77777777" w:rsidR="0039382F" w:rsidRDefault="0039382F" w:rsidP="004A7C99">
      <w:pPr>
        <w:spacing w:after="160" w:line="360" w:lineRule="auto"/>
        <w:rPr>
          <w:rFonts w:ascii="Corbel" w:hAnsi="Corbel"/>
          <w:b/>
          <w:bCs/>
          <w:color w:val="8DD873" w:themeColor="accent6" w:themeTint="99"/>
          <w:sz w:val="28"/>
          <w:szCs w:val="28"/>
        </w:rPr>
      </w:pPr>
    </w:p>
    <w:p w14:paraId="76F2A579" w14:textId="77777777" w:rsidR="0039382F" w:rsidRDefault="0039382F" w:rsidP="004A7C99">
      <w:pPr>
        <w:spacing w:after="160" w:line="360" w:lineRule="auto"/>
        <w:rPr>
          <w:rFonts w:ascii="Corbel" w:hAnsi="Corbel"/>
          <w:b/>
          <w:bCs/>
          <w:color w:val="8DD873" w:themeColor="accent6" w:themeTint="99"/>
          <w:sz w:val="28"/>
          <w:szCs w:val="28"/>
        </w:rPr>
      </w:pPr>
    </w:p>
    <w:p w14:paraId="36B1C9DA" w14:textId="77777777" w:rsidR="0039382F" w:rsidRDefault="0039382F" w:rsidP="004A7C99">
      <w:pPr>
        <w:spacing w:after="160" w:line="360" w:lineRule="auto"/>
        <w:rPr>
          <w:rFonts w:ascii="Corbel" w:hAnsi="Corbel"/>
          <w:b/>
          <w:bCs/>
          <w:color w:val="8DD873" w:themeColor="accent6" w:themeTint="99"/>
          <w:sz w:val="28"/>
          <w:szCs w:val="28"/>
        </w:rPr>
      </w:pPr>
    </w:p>
    <w:p w14:paraId="676DE023" w14:textId="77777777" w:rsidR="0039382F" w:rsidRDefault="0039382F" w:rsidP="004A7C99">
      <w:pPr>
        <w:spacing w:after="160" w:line="360" w:lineRule="auto"/>
        <w:rPr>
          <w:rFonts w:ascii="Corbel" w:hAnsi="Corbel"/>
          <w:b/>
          <w:bCs/>
          <w:color w:val="8DD873" w:themeColor="accent6" w:themeTint="99"/>
          <w:sz w:val="28"/>
          <w:szCs w:val="28"/>
        </w:rPr>
      </w:pPr>
    </w:p>
    <w:p w14:paraId="15F1F9DA" w14:textId="77777777" w:rsidR="0039382F" w:rsidRDefault="0039382F" w:rsidP="004A7C99">
      <w:pPr>
        <w:spacing w:after="160" w:line="360" w:lineRule="auto"/>
        <w:rPr>
          <w:rFonts w:ascii="Corbel" w:hAnsi="Corbel"/>
          <w:b/>
          <w:bCs/>
          <w:color w:val="8DD873" w:themeColor="accent6" w:themeTint="99"/>
          <w:sz w:val="28"/>
          <w:szCs w:val="28"/>
        </w:rPr>
      </w:pPr>
    </w:p>
    <w:p w14:paraId="3B4DB55F" w14:textId="0A458A0A" w:rsidR="0039382F" w:rsidRDefault="0039382F" w:rsidP="004A7C99">
      <w:pPr>
        <w:spacing w:after="160" w:line="360" w:lineRule="auto"/>
        <w:rPr>
          <w:rFonts w:ascii="Century Gothic" w:hAnsi="Century Gothic"/>
          <w:b/>
          <w:bCs/>
          <w:color w:val="025850"/>
          <w:sz w:val="32"/>
          <w:szCs w:val="32"/>
        </w:rPr>
      </w:pPr>
      <w:r w:rsidRPr="0039382F">
        <w:rPr>
          <w:rFonts w:ascii="Century Gothic" w:hAnsi="Century Gothic"/>
          <w:b/>
          <w:bCs/>
          <w:color w:val="025850"/>
          <w:sz w:val="32"/>
          <w:szCs w:val="32"/>
        </w:rPr>
        <w:t>Sistema de Seguimiento y Evaluación del PDM y sus programas</w:t>
      </w:r>
      <w:r>
        <w:rPr>
          <w:rFonts w:ascii="Century Gothic" w:hAnsi="Century Gothic"/>
          <w:b/>
          <w:bCs/>
          <w:color w:val="025850"/>
          <w:sz w:val="32"/>
          <w:szCs w:val="32"/>
        </w:rPr>
        <w:t>.</w:t>
      </w:r>
    </w:p>
    <w:p w14:paraId="28CD5470" w14:textId="77777777" w:rsidR="0039382F" w:rsidRDefault="0039382F">
      <w:pPr>
        <w:rPr>
          <w:rFonts w:ascii="Century Gothic" w:hAnsi="Century Gothic"/>
          <w:b/>
          <w:bCs/>
          <w:color w:val="025850"/>
          <w:sz w:val="32"/>
          <w:szCs w:val="32"/>
        </w:rPr>
      </w:pPr>
      <w:r>
        <w:rPr>
          <w:rFonts w:ascii="Century Gothic" w:hAnsi="Century Gothic"/>
          <w:b/>
          <w:bCs/>
          <w:color w:val="025850"/>
          <w:sz w:val="32"/>
          <w:szCs w:val="32"/>
        </w:rPr>
        <w:br w:type="page"/>
      </w:r>
    </w:p>
    <w:p w14:paraId="733E2BCB" w14:textId="32434240" w:rsidR="0039382F" w:rsidRPr="0039382F" w:rsidRDefault="0039382F" w:rsidP="0039382F">
      <w:pPr>
        <w:spacing w:line="360" w:lineRule="auto"/>
        <w:ind w:firstLine="708"/>
        <w:jc w:val="both"/>
        <w:rPr>
          <w:rFonts w:ascii="Century Gothic" w:hAnsi="Century Gothic"/>
          <w:bCs/>
          <w:sz w:val="22"/>
          <w:szCs w:val="22"/>
        </w:rPr>
      </w:pPr>
      <w:r w:rsidRPr="0039382F">
        <w:rPr>
          <w:rFonts w:ascii="Century Gothic" w:hAnsi="Century Gothic"/>
          <w:bCs/>
          <w:sz w:val="22"/>
          <w:szCs w:val="22"/>
        </w:rPr>
        <w:lastRenderedPageBreak/>
        <w:t xml:space="preserve">El proceso de planeación incorpora tareas continuas de monitoreo y evaluación de la ejecución, con el fin de detectar desviaciones con relación a lo planeado y realizar consecuentemente las modificaciones y correcciones oportunas. </w:t>
      </w:r>
    </w:p>
    <w:p w14:paraId="5ED5C726" w14:textId="619E3910" w:rsidR="0039382F" w:rsidRPr="0039382F" w:rsidRDefault="0039382F" w:rsidP="0039382F">
      <w:pPr>
        <w:spacing w:line="360" w:lineRule="auto"/>
        <w:ind w:firstLine="708"/>
        <w:jc w:val="both"/>
        <w:rPr>
          <w:rFonts w:ascii="Century Gothic" w:hAnsi="Century Gothic"/>
          <w:bCs/>
          <w:sz w:val="22"/>
          <w:szCs w:val="22"/>
        </w:rPr>
      </w:pPr>
      <w:r w:rsidRPr="0039382F">
        <w:rPr>
          <w:rFonts w:ascii="Century Gothic" w:hAnsi="Century Gothic"/>
          <w:bCs/>
          <w:sz w:val="22"/>
          <w:szCs w:val="22"/>
        </w:rPr>
        <w:t xml:space="preserve">En ese sentido, los instrumentos de planeación deben incorporar desde su formulación un sistema de información apropiado, así como un conjunto de indicadores básicos que constituyan un conjunto de medios o fuentes de verificación que valide tanto la realización de las acciones como el avance en el cumplimiento de objetivos, estrategias y líneas de acción trazadas en el Plan de Desarrollo Municipal de San Antonio la Isla </w:t>
      </w:r>
    </w:p>
    <w:p w14:paraId="762E13C1" w14:textId="0E0009DC" w:rsidR="0039382F" w:rsidRPr="0039382F" w:rsidRDefault="0039382F" w:rsidP="0039382F">
      <w:pPr>
        <w:spacing w:line="360" w:lineRule="auto"/>
        <w:ind w:firstLine="708"/>
        <w:jc w:val="both"/>
        <w:rPr>
          <w:rFonts w:ascii="Century Gothic" w:hAnsi="Century Gothic"/>
          <w:bCs/>
          <w:sz w:val="22"/>
          <w:szCs w:val="22"/>
        </w:rPr>
      </w:pPr>
      <w:r w:rsidRPr="0039382F">
        <w:rPr>
          <w:rFonts w:ascii="Century Gothic" w:hAnsi="Century Gothic"/>
          <w:bCs/>
          <w:sz w:val="22"/>
          <w:szCs w:val="22"/>
        </w:rPr>
        <w:t>Para tal efecto, se deberá considerar la implementación del Presupuesto basado en Resultados, el cual consiste en que los ayuntamientos establezcan de manera específica qué objetivos se alcanzarán con los recursos públicos que se asignarán a cada uno de los programas que se definan en el desarrollo de las políticas públicas municipales.</w:t>
      </w:r>
    </w:p>
    <w:p w14:paraId="2C9B473E" w14:textId="0EB78F50" w:rsidR="0039382F" w:rsidRPr="0039382F" w:rsidRDefault="0039382F" w:rsidP="0039382F">
      <w:pPr>
        <w:spacing w:line="360" w:lineRule="auto"/>
        <w:ind w:firstLine="708"/>
        <w:jc w:val="both"/>
        <w:rPr>
          <w:rFonts w:ascii="Century Gothic" w:hAnsi="Century Gothic"/>
          <w:bCs/>
          <w:sz w:val="22"/>
          <w:szCs w:val="22"/>
        </w:rPr>
      </w:pPr>
      <w:r w:rsidRPr="0039382F">
        <w:rPr>
          <w:rFonts w:ascii="Century Gothic" w:hAnsi="Century Gothic"/>
          <w:bCs/>
          <w:sz w:val="22"/>
          <w:szCs w:val="22"/>
        </w:rPr>
        <w:t xml:space="preserve">Para la parte operativa del apartado estratégico, particularmente del Presupuesto </w:t>
      </w:r>
      <w:r w:rsidR="00F94661">
        <w:rPr>
          <w:rFonts w:ascii="Century Gothic" w:hAnsi="Century Gothic"/>
          <w:bCs/>
          <w:sz w:val="22"/>
          <w:szCs w:val="22"/>
        </w:rPr>
        <w:t>B</w:t>
      </w:r>
      <w:r w:rsidRPr="0039382F">
        <w:rPr>
          <w:rFonts w:ascii="Century Gothic" w:hAnsi="Century Gothic"/>
          <w:bCs/>
          <w:sz w:val="22"/>
          <w:szCs w:val="22"/>
        </w:rPr>
        <w:t>asado en Resultados Municipal (P</w:t>
      </w:r>
      <w:r w:rsidR="00F94661">
        <w:rPr>
          <w:rFonts w:ascii="Century Gothic" w:hAnsi="Century Gothic"/>
          <w:bCs/>
          <w:sz w:val="22"/>
          <w:szCs w:val="22"/>
        </w:rPr>
        <w:t>B</w:t>
      </w:r>
      <w:r w:rsidRPr="0039382F">
        <w:rPr>
          <w:rFonts w:ascii="Century Gothic" w:hAnsi="Century Gothic"/>
          <w:bCs/>
          <w:sz w:val="22"/>
          <w:szCs w:val="22"/>
        </w:rPr>
        <w:t xml:space="preserve">RM) y los Programas Operativos Anuales (POA), la evaluación del desempeño de las políticas y programas públicos servirá para retroalimentar el proceso presupuestario, es decir, disponiendo de mayores elementos para la toma de decisiones sobre la asignación de recursos públicos municipales y los resultados del ejercicio de dichos recursos públicos, serán evaluados por instancias técnicas con el objeto de propiciar que los recursos económicos se ejerzan estrictamente en función de la normatividad aplicable. </w:t>
      </w:r>
    </w:p>
    <w:p w14:paraId="5AD9D6BA" w14:textId="7EDAFE0D" w:rsidR="0039382F" w:rsidRPr="0039382F" w:rsidRDefault="0039382F" w:rsidP="0039382F">
      <w:pPr>
        <w:spacing w:line="360" w:lineRule="auto"/>
        <w:jc w:val="both"/>
        <w:rPr>
          <w:rFonts w:ascii="Century Gothic" w:hAnsi="Century Gothic"/>
          <w:b/>
          <w:bCs/>
          <w:color w:val="025850"/>
          <w:sz w:val="22"/>
          <w:szCs w:val="22"/>
        </w:rPr>
      </w:pPr>
      <w:r w:rsidRPr="0039382F">
        <w:rPr>
          <w:rFonts w:ascii="Century Gothic" w:hAnsi="Century Gothic"/>
          <w:b/>
          <w:bCs/>
          <w:color w:val="025850"/>
          <w:sz w:val="22"/>
          <w:szCs w:val="22"/>
        </w:rPr>
        <w:t>Evaluación Estratégica del Plan de Desarrollo Municipal</w:t>
      </w:r>
    </w:p>
    <w:p w14:paraId="59028AAF" w14:textId="3251243F" w:rsidR="0039382F" w:rsidRPr="0039382F" w:rsidRDefault="0039382F" w:rsidP="0039382F">
      <w:pPr>
        <w:spacing w:line="360" w:lineRule="auto"/>
        <w:ind w:firstLine="708"/>
        <w:jc w:val="both"/>
        <w:rPr>
          <w:rFonts w:ascii="Century Gothic" w:hAnsi="Century Gothic"/>
          <w:bCs/>
          <w:sz w:val="22"/>
          <w:szCs w:val="22"/>
        </w:rPr>
      </w:pPr>
      <w:r w:rsidRPr="0039382F">
        <w:rPr>
          <w:rFonts w:ascii="Century Gothic" w:hAnsi="Century Gothic"/>
          <w:bCs/>
          <w:sz w:val="22"/>
          <w:szCs w:val="22"/>
        </w:rPr>
        <w:t xml:space="preserve">De acuerdo con la normatividad en materia de planeación del desarrollo, el COPLADEM es el organismo que coordina el Sistema de Planeación Democrática del Estado. El COPLADEMUN, permite monitorear y ponderar del cumplimiento del instrumento rector de planeación local, identificar las condiciones socioeconómicas de cada región, municipios y dar seguimiento a los compromisos establecidos en el mediano y largo plazo, a fin redireccionar o corregir en beneficio de la población. </w:t>
      </w:r>
    </w:p>
    <w:p w14:paraId="7DC777C3" w14:textId="6DE85189" w:rsidR="0039382F" w:rsidRPr="0039382F" w:rsidRDefault="0039382F" w:rsidP="0039382F">
      <w:pPr>
        <w:spacing w:line="360" w:lineRule="auto"/>
        <w:jc w:val="both"/>
        <w:rPr>
          <w:rFonts w:ascii="Century Gothic" w:hAnsi="Century Gothic"/>
          <w:b/>
          <w:color w:val="025850"/>
          <w:sz w:val="22"/>
          <w:szCs w:val="22"/>
        </w:rPr>
      </w:pPr>
      <w:r w:rsidRPr="0039382F">
        <w:rPr>
          <w:rFonts w:ascii="Century Gothic" w:hAnsi="Century Gothic"/>
          <w:b/>
          <w:color w:val="025850"/>
          <w:sz w:val="22"/>
          <w:szCs w:val="22"/>
        </w:rPr>
        <w:lastRenderedPageBreak/>
        <w:t>Características:</w:t>
      </w:r>
    </w:p>
    <w:p w14:paraId="684A7949"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 Es el medio de acompañamiento técnico entre el COPLADEM y los Gobiernos Municipales. </w:t>
      </w:r>
    </w:p>
    <w:p w14:paraId="0C1BD2B2"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Permite determinar el nivel de atención de los Objetivos, Estrategias y Líneas de Acción del PDM. </w:t>
      </w:r>
    </w:p>
    <w:p w14:paraId="226E9CBB"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Valora el desempeño de la gestión municipal con el objeto de promover la reconducción estratégica. </w:t>
      </w:r>
    </w:p>
    <w:p w14:paraId="087F6FE7"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Acceso protegido mediante contraseña única por municipio. </w:t>
      </w:r>
    </w:p>
    <w:p w14:paraId="1BF4ACB7"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Vinculación de la batería estratégica del PDM con los ODS y sus metas. </w:t>
      </w:r>
    </w:p>
    <w:p w14:paraId="14929A03"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Consulta de la información desde cualquier dispositivo compatible con acceso a internet. </w:t>
      </w:r>
    </w:p>
    <w:p w14:paraId="2BB92015" w14:textId="048CEE02"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Desarrollo modular permite la actualización o inclusión de nuevas funciones, en apoyo a la UIPPE.</w:t>
      </w:r>
    </w:p>
    <w:p w14:paraId="78108A1C" w14:textId="77777777" w:rsidR="0039382F" w:rsidRPr="0039382F" w:rsidRDefault="0039382F" w:rsidP="0039382F">
      <w:pPr>
        <w:spacing w:line="360" w:lineRule="auto"/>
        <w:ind w:firstLine="708"/>
        <w:jc w:val="both"/>
        <w:rPr>
          <w:rFonts w:ascii="Century Gothic" w:hAnsi="Century Gothic"/>
          <w:bCs/>
          <w:sz w:val="22"/>
          <w:szCs w:val="22"/>
        </w:rPr>
      </w:pPr>
      <w:r w:rsidRPr="0039382F">
        <w:rPr>
          <w:rFonts w:ascii="Century Gothic" w:hAnsi="Century Gothic"/>
          <w:bCs/>
          <w:sz w:val="22"/>
          <w:szCs w:val="22"/>
        </w:rPr>
        <w:t>Para realizar la evaluación estratégica de manera periódica del PDM, y la plataforma de COPLADEM emite los siguientes reportes:</w:t>
      </w:r>
    </w:p>
    <w:p w14:paraId="2D8F5520" w14:textId="77777777" w:rsidR="0039382F" w:rsidRPr="0039382F" w:rsidRDefault="0039382F" w:rsidP="0039382F">
      <w:pPr>
        <w:spacing w:line="360" w:lineRule="auto"/>
        <w:jc w:val="both"/>
        <w:rPr>
          <w:rFonts w:ascii="Century Gothic" w:hAnsi="Century Gothic"/>
          <w:bCs/>
          <w:sz w:val="22"/>
          <w:szCs w:val="22"/>
        </w:rPr>
      </w:pPr>
    </w:p>
    <w:p w14:paraId="6EC17753"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1. Reporte General. Muestra el porcentaje de avance general en la atención de los Objetivos, Estrategias y Líneas de Acción del PDM por trimestre, año de gobierno y el total de la administración </w:t>
      </w:r>
      <w:proofErr w:type="gramStart"/>
      <w:r w:rsidRPr="0039382F">
        <w:rPr>
          <w:rFonts w:ascii="Century Gothic" w:hAnsi="Century Gothic"/>
          <w:bCs/>
          <w:sz w:val="22"/>
          <w:szCs w:val="22"/>
        </w:rPr>
        <w:t>de acuerdo a</w:t>
      </w:r>
      <w:proofErr w:type="gramEnd"/>
      <w:r w:rsidRPr="0039382F">
        <w:rPr>
          <w:rFonts w:ascii="Century Gothic" w:hAnsi="Century Gothic"/>
          <w:bCs/>
          <w:sz w:val="22"/>
          <w:szCs w:val="22"/>
        </w:rPr>
        <w:t xml:space="preserve"> los años programados, representado en forma gráfica y de tipo cuantitativo. </w:t>
      </w:r>
    </w:p>
    <w:p w14:paraId="0F0BAF08"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2. Reporte por Eje de Cambio y Eje Transversales. Establece el porcentaje en el cumplimiento de los Objetivos, Estrategias y Líneas de Acción asociadas a los pilares y ejes transversales del PDM, representado en forma gráfica y de tipo cuantitativo. </w:t>
      </w:r>
    </w:p>
    <w:p w14:paraId="4E466D65"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3. Reporte de Contribución a los ODS de la Agenda 2030. Establece el porcentaje de en la contribución al cumplimiento de los ODS, que se asocian de manera directa e indirecta con los Objetivos, Estrategias y Líneas de acción del PDM, presentado en forma gráfica. </w:t>
      </w:r>
    </w:p>
    <w:p w14:paraId="7EDF8AF6"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4. Reporte de Obras y Acciones. Identifica las prioridades del proyecto de gobierno y establece el grado de cumplimiento y el estado de las obras y acciones asociadas con los Objetivos, Estrategias y Líneas de </w:t>
      </w:r>
      <w:r w:rsidRPr="0039382F">
        <w:rPr>
          <w:rFonts w:ascii="Century Gothic" w:hAnsi="Century Gothic"/>
          <w:bCs/>
          <w:sz w:val="22"/>
          <w:szCs w:val="22"/>
        </w:rPr>
        <w:lastRenderedPageBreak/>
        <w:t>Acción de cada Eje de Cambio y Eje transversal, representado en forma gráfica y de tipo cuantitativo.</w:t>
      </w:r>
    </w:p>
    <w:p w14:paraId="00760A27" w14:textId="2D93724F"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5. La evaluación estratégica se realiza a través de la atención a los Objetivos, Estrategias y Líneas de Acción plasmadas en el PDM, vinculadas con las obras, acciones y actividades que realiza la Administración Pública Municipal. </w:t>
      </w:r>
    </w:p>
    <w:p w14:paraId="26B6E598" w14:textId="0C95014A" w:rsidR="0039382F" w:rsidRPr="0039382F" w:rsidRDefault="0039382F" w:rsidP="0039382F">
      <w:pPr>
        <w:spacing w:line="360" w:lineRule="auto"/>
        <w:jc w:val="both"/>
        <w:rPr>
          <w:rFonts w:ascii="Century Gothic" w:hAnsi="Century Gothic"/>
          <w:b/>
          <w:bCs/>
          <w:color w:val="025850"/>
          <w:sz w:val="22"/>
          <w:szCs w:val="22"/>
        </w:rPr>
      </w:pPr>
      <w:r w:rsidRPr="0039382F">
        <w:rPr>
          <w:rFonts w:ascii="Century Gothic" w:hAnsi="Century Gothic"/>
          <w:b/>
          <w:bCs/>
          <w:color w:val="025850"/>
          <w:sz w:val="22"/>
          <w:szCs w:val="22"/>
        </w:rPr>
        <w:t>Integración de la Evaluación Estratégica</w:t>
      </w:r>
    </w:p>
    <w:p w14:paraId="5192C5C5"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En la búsqueda de la mejora continua que responda a las exigencias de la población y la dinámica del entorno, los Gobiernos Municipales deben dirigir sus esfuerzos para elevar la calidad de la gestión pública, en función de la capacidad para medir oportuna y adecuadamente las necesidades y expectativas de la sociedad de acuerdo con los resultados del trabajo gubernamental. Para ello se deben considerar los siguientes componentes en el proceso de evaluación.</w:t>
      </w:r>
    </w:p>
    <w:p w14:paraId="06B9F056"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Simplificación administrativa. Constituye un instrumento para reducir los procesos administrativos, a través de la innovación tecnológica como parte de las acciones del gobierno moderno, abierto y transparente. </w:t>
      </w:r>
    </w:p>
    <w:p w14:paraId="2645B796"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Eficacia. Evalúa la atención en tiempo y forma de los Objetivos, Estrategias, Líneas de Acción del PDM. </w:t>
      </w:r>
    </w:p>
    <w:p w14:paraId="5BA0ACA3" w14:textId="77777777" w:rsidR="0039382F" w:rsidRPr="0039382F" w:rsidRDefault="0039382F" w:rsidP="0039382F">
      <w:pPr>
        <w:spacing w:line="360" w:lineRule="auto"/>
        <w:jc w:val="both"/>
        <w:rPr>
          <w:rFonts w:ascii="Century Gothic" w:hAnsi="Century Gothic"/>
          <w:bCs/>
          <w:sz w:val="22"/>
          <w:szCs w:val="22"/>
        </w:rPr>
      </w:pPr>
      <w:r w:rsidRPr="0039382F">
        <w:rPr>
          <w:rFonts w:ascii="Century Gothic" w:hAnsi="Century Gothic"/>
          <w:bCs/>
          <w:sz w:val="22"/>
          <w:szCs w:val="22"/>
        </w:rPr>
        <w:t xml:space="preserve">• Transversalidad. Establece la congregación de diversos sectores, a fin de crear una dimensión integral para el cumplimiento de los elementos estratégicos en el proceso de evaluación. </w:t>
      </w:r>
    </w:p>
    <w:p w14:paraId="2FAFE734" w14:textId="6BC40DFE" w:rsidR="001A3040" w:rsidRDefault="0039382F" w:rsidP="0039382F">
      <w:pPr>
        <w:spacing w:after="160" w:line="360" w:lineRule="auto"/>
        <w:jc w:val="both"/>
        <w:rPr>
          <w:rFonts w:ascii="Century Gothic" w:hAnsi="Century Gothic"/>
          <w:bCs/>
          <w:sz w:val="22"/>
          <w:szCs w:val="22"/>
        </w:rPr>
      </w:pPr>
      <w:r w:rsidRPr="0039382F">
        <w:rPr>
          <w:rFonts w:ascii="Century Gothic" w:hAnsi="Century Gothic"/>
          <w:bCs/>
          <w:sz w:val="22"/>
          <w:szCs w:val="22"/>
        </w:rPr>
        <w:t>• Eficiencia. Representa una herramienta de referencia para el análisis del ejercicio de los recursos financieros utilizados en la evaluación programática-presupuestal; desde el punto de vista operativo en la implementación de los elementos estratégicos del PDM mediante los PbRM y los programas anuales de evaluación.</w:t>
      </w:r>
    </w:p>
    <w:p w14:paraId="5B59C01C" w14:textId="77777777" w:rsidR="001A3040" w:rsidRDefault="001A3040">
      <w:pPr>
        <w:rPr>
          <w:rFonts w:ascii="Century Gothic" w:hAnsi="Century Gothic"/>
          <w:bCs/>
          <w:sz w:val="22"/>
          <w:szCs w:val="22"/>
        </w:rPr>
      </w:pPr>
      <w:r>
        <w:rPr>
          <w:rFonts w:ascii="Century Gothic" w:hAnsi="Century Gothic"/>
          <w:bCs/>
          <w:sz w:val="22"/>
          <w:szCs w:val="22"/>
        </w:rPr>
        <w:br w:type="page"/>
      </w:r>
    </w:p>
    <w:p w14:paraId="34BCDB13" w14:textId="77777777" w:rsidR="001A3040" w:rsidRDefault="001A3040" w:rsidP="0039382F">
      <w:pPr>
        <w:spacing w:after="160" w:line="360" w:lineRule="auto"/>
        <w:jc w:val="both"/>
        <w:rPr>
          <w:rFonts w:ascii="Century Gothic" w:hAnsi="Century Gothic"/>
          <w:b/>
          <w:bCs/>
          <w:color w:val="025850"/>
          <w:sz w:val="22"/>
          <w:szCs w:val="22"/>
        </w:rPr>
        <w:sectPr w:rsidR="001A3040" w:rsidSect="0039382F">
          <w:pgSz w:w="15840" w:h="12240" w:orient="landscape"/>
          <w:pgMar w:top="1440" w:right="1440" w:bottom="1440" w:left="1440" w:header="709" w:footer="709" w:gutter="0"/>
          <w:cols w:num="2" w:space="708"/>
          <w:docGrid w:linePitch="360"/>
        </w:sectPr>
      </w:pPr>
    </w:p>
    <w:p w14:paraId="7B015894" w14:textId="77777777" w:rsidR="001A3040" w:rsidRPr="001A3040" w:rsidRDefault="001A3040" w:rsidP="001A3040">
      <w:pPr>
        <w:spacing w:line="259" w:lineRule="auto"/>
        <w:rPr>
          <w:rFonts w:ascii="Century Gothic" w:hAnsi="Century Gothic"/>
          <w:b/>
          <w:bCs/>
          <w:color w:val="025850"/>
          <w:sz w:val="22"/>
          <w:szCs w:val="22"/>
        </w:rPr>
      </w:pPr>
      <w:r w:rsidRPr="001A3040">
        <w:rPr>
          <w:rFonts w:ascii="Century Gothic" w:hAnsi="Century Gothic"/>
          <w:b/>
          <w:bCs/>
          <w:color w:val="025850"/>
          <w:sz w:val="22"/>
          <w:szCs w:val="22"/>
        </w:rPr>
        <w:lastRenderedPageBreak/>
        <w:t>Esquema para la Integración del Proceso de Evaluación del PDM</w:t>
      </w:r>
    </w:p>
    <w:tbl>
      <w:tblPr>
        <w:tblStyle w:val="Tablaconcuadrcula4-nfasis2"/>
        <w:tblW w:w="5000" w:type="pct"/>
        <w:tblLook w:val="04A0" w:firstRow="1" w:lastRow="0" w:firstColumn="1" w:lastColumn="0" w:noHBand="0" w:noVBand="1"/>
      </w:tblPr>
      <w:tblGrid>
        <w:gridCol w:w="3823"/>
        <w:gridCol w:w="9127"/>
      </w:tblGrid>
      <w:tr w:rsidR="001A3040" w:rsidRPr="001A3040" w14:paraId="561E0C63" w14:textId="77777777" w:rsidTr="001A30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10CFE9F4" w14:textId="77777777" w:rsidR="001A3040" w:rsidRPr="001A3040" w:rsidRDefault="001A3040" w:rsidP="001A3040">
            <w:pPr>
              <w:spacing w:line="259" w:lineRule="auto"/>
              <w:jc w:val="center"/>
              <w:rPr>
                <w:rFonts w:ascii="Century Gothic" w:hAnsi="Century Gothic"/>
                <w:bCs w:val="0"/>
                <w:sz w:val="20"/>
                <w:szCs w:val="20"/>
              </w:rPr>
            </w:pPr>
            <w:r w:rsidRPr="001A3040">
              <w:rPr>
                <w:rFonts w:ascii="Century Gothic" w:hAnsi="Century Gothic"/>
                <w:bCs w:val="0"/>
                <w:sz w:val="20"/>
                <w:szCs w:val="20"/>
              </w:rPr>
              <w:t>Planeación Estratégica</w:t>
            </w:r>
          </w:p>
        </w:tc>
        <w:tc>
          <w:tcPr>
            <w:tcW w:w="3524" w:type="pct"/>
          </w:tcPr>
          <w:p w14:paraId="134EEE70" w14:textId="77777777" w:rsidR="001A3040" w:rsidRPr="001A3040" w:rsidRDefault="001A3040" w:rsidP="00A604C7">
            <w:pPr>
              <w:spacing w:line="259"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bCs w:val="0"/>
                <w:sz w:val="20"/>
                <w:szCs w:val="20"/>
              </w:rPr>
            </w:pPr>
            <w:r w:rsidRPr="001A3040">
              <w:rPr>
                <w:rFonts w:ascii="Century Gothic" w:hAnsi="Century Gothic"/>
                <w:bCs w:val="0"/>
                <w:sz w:val="20"/>
                <w:szCs w:val="20"/>
              </w:rPr>
              <w:t>Funciones</w:t>
            </w:r>
          </w:p>
        </w:tc>
      </w:tr>
      <w:tr w:rsidR="001A3040" w:rsidRPr="001A3040" w14:paraId="04D4D5D5" w14:textId="77777777" w:rsidTr="001A3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555C5C22" w14:textId="77777777" w:rsidR="001A3040" w:rsidRPr="001A3040" w:rsidRDefault="001A3040" w:rsidP="001A3040">
            <w:pPr>
              <w:spacing w:line="259" w:lineRule="auto"/>
              <w:rPr>
                <w:rFonts w:ascii="Century Gothic" w:hAnsi="Century Gothic"/>
                <w:b w:val="0"/>
                <w:bCs w:val="0"/>
                <w:sz w:val="20"/>
                <w:szCs w:val="20"/>
              </w:rPr>
            </w:pPr>
          </w:p>
          <w:p w14:paraId="53477737" w14:textId="77777777" w:rsidR="001A3040" w:rsidRPr="001A3040" w:rsidRDefault="001A3040" w:rsidP="001A3040">
            <w:pPr>
              <w:spacing w:line="259" w:lineRule="auto"/>
              <w:jc w:val="center"/>
              <w:rPr>
                <w:rFonts w:ascii="Century Gothic" w:hAnsi="Century Gothic"/>
                <w:sz w:val="20"/>
                <w:szCs w:val="20"/>
              </w:rPr>
            </w:pPr>
            <w:r w:rsidRPr="001A3040">
              <w:rPr>
                <w:rFonts w:ascii="Century Gothic" w:hAnsi="Century Gothic"/>
                <w:sz w:val="20"/>
                <w:szCs w:val="20"/>
              </w:rPr>
              <w:t>Evaluación en la planeación</w:t>
            </w:r>
          </w:p>
        </w:tc>
        <w:tc>
          <w:tcPr>
            <w:tcW w:w="3524" w:type="pct"/>
          </w:tcPr>
          <w:p w14:paraId="77B56446" w14:textId="77777777" w:rsidR="001A3040" w:rsidRPr="001A3040" w:rsidRDefault="001A3040" w:rsidP="00A604C7">
            <w:pPr>
              <w:spacing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Requiere de los resultados para diseñar las estrategias y objetivos del ejercicio presupuestal siguiente, proceso que se inicia con la formulación de diagnósticos FODA para reflejar la situación en que se encuentran los programas, el cumplimiento de objetivos, metas y el impacto en la creación de valor público, asimismo, el uso de las MIR apoya el proceso de evaluación para corregir desviaciones y poder dar cumplimiento a los objetivos.</w:t>
            </w:r>
          </w:p>
        </w:tc>
      </w:tr>
      <w:tr w:rsidR="001A3040" w:rsidRPr="001A3040" w14:paraId="2626F090" w14:textId="77777777" w:rsidTr="001A3040">
        <w:tc>
          <w:tcPr>
            <w:cnfStyle w:val="001000000000" w:firstRow="0" w:lastRow="0" w:firstColumn="1" w:lastColumn="0" w:oddVBand="0" w:evenVBand="0" w:oddHBand="0" w:evenHBand="0" w:firstRowFirstColumn="0" w:firstRowLastColumn="0" w:lastRowFirstColumn="0" w:lastRowLastColumn="0"/>
            <w:tcW w:w="1476" w:type="pct"/>
          </w:tcPr>
          <w:p w14:paraId="3999D929" w14:textId="77777777" w:rsidR="001A3040" w:rsidRPr="001A3040" w:rsidRDefault="001A3040" w:rsidP="001A3040">
            <w:pPr>
              <w:spacing w:line="259" w:lineRule="auto"/>
              <w:rPr>
                <w:rFonts w:ascii="Century Gothic" w:hAnsi="Century Gothic"/>
                <w:bCs w:val="0"/>
                <w:sz w:val="20"/>
                <w:szCs w:val="20"/>
              </w:rPr>
            </w:pPr>
          </w:p>
          <w:p w14:paraId="5E2CCEA3" w14:textId="77777777" w:rsidR="001A3040" w:rsidRPr="001A3040" w:rsidRDefault="001A3040" w:rsidP="001A3040">
            <w:pPr>
              <w:spacing w:line="259" w:lineRule="auto"/>
              <w:jc w:val="center"/>
              <w:rPr>
                <w:rFonts w:ascii="Century Gothic" w:hAnsi="Century Gothic"/>
                <w:sz w:val="20"/>
                <w:szCs w:val="20"/>
              </w:rPr>
            </w:pPr>
            <w:r w:rsidRPr="001A3040">
              <w:rPr>
                <w:rFonts w:ascii="Century Gothic" w:hAnsi="Century Gothic"/>
                <w:sz w:val="20"/>
                <w:szCs w:val="20"/>
              </w:rPr>
              <w:t>Programación</w:t>
            </w:r>
          </w:p>
          <w:p w14:paraId="78002DC3" w14:textId="77777777" w:rsidR="001A3040" w:rsidRPr="001A3040" w:rsidRDefault="001A3040" w:rsidP="001A3040">
            <w:pPr>
              <w:spacing w:line="259" w:lineRule="auto"/>
              <w:jc w:val="center"/>
              <w:rPr>
                <w:rFonts w:ascii="Century Gothic" w:hAnsi="Century Gothic"/>
                <w:bCs w:val="0"/>
                <w:sz w:val="20"/>
                <w:szCs w:val="20"/>
              </w:rPr>
            </w:pPr>
          </w:p>
        </w:tc>
        <w:tc>
          <w:tcPr>
            <w:tcW w:w="3524" w:type="pct"/>
          </w:tcPr>
          <w:p w14:paraId="39E876EB" w14:textId="77777777" w:rsidR="001A3040" w:rsidRPr="001A3040" w:rsidRDefault="001A3040" w:rsidP="00A604C7">
            <w:pPr>
              <w:spacing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La evaluación apoya para dimensionar con mayor certidumbre la programación o compromiso que se tomará, y es aquí donde se definen programas y proyectos presupuestarios mediante el establecimiento de metas e indicadores e identificación del recurso que para ello se requiere.</w:t>
            </w:r>
          </w:p>
        </w:tc>
      </w:tr>
      <w:tr w:rsidR="001A3040" w:rsidRPr="001A3040" w14:paraId="7E82A73E" w14:textId="77777777" w:rsidTr="001A3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6CB1BB4D" w14:textId="77777777" w:rsidR="001A3040" w:rsidRPr="001A3040" w:rsidRDefault="001A3040" w:rsidP="001A3040">
            <w:pPr>
              <w:spacing w:line="259" w:lineRule="auto"/>
              <w:rPr>
                <w:rFonts w:ascii="Century Gothic" w:hAnsi="Century Gothic"/>
                <w:bCs w:val="0"/>
                <w:sz w:val="20"/>
                <w:szCs w:val="20"/>
              </w:rPr>
            </w:pPr>
          </w:p>
          <w:p w14:paraId="796B786C" w14:textId="77777777" w:rsidR="001A3040" w:rsidRPr="001A3040" w:rsidRDefault="001A3040" w:rsidP="001A3040">
            <w:pPr>
              <w:spacing w:line="259" w:lineRule="auto"/>
              <w:jc w:val="center"/>
              <w:rPr>
                <w:rFonts w:ascii="Century Gothic" w:hAnsi="Century Gothic"/>
                <w:bCs w:val="0"/>
                <w:sz w:val="20"/>
                <w:szCs w:val="20"/>
              </w:rPr>
            </w:pPr>
            <w:r w:rsidRPr="001A3040">
              <w:rPr>
                <w:rFonts w:ascii="Century Gothic" w:hAnsi="Century Gothic"/>
                <w:sz w:val="20"/>
                <w:szCs w:val="20"/>
              </w:rPr>
              <w:t>Presupuesto</w:t>
            </w:r>
          </w:p>
        </w:tc>
        <w:tc>
          <w:tcPr>
            <w:tcW w:w="3524" w:type="pct"/>
          </w:tcPr>
          <w:p w14:paraId="2AF7C664" w14:textId="77777777" w:rsidR="001A3040" w:rsidRPr="001A3040" w:rsidRDefault="001A3040" w:rsidP="00A604C7">
            <w:pPr>
              <w:spacing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En esta etapa, es asignado presupuesto a programas y proyectos con base a resultados a través de la identificación de metas e indicadores, para lo cual, el resultado y expectativa de logros y alcances de estos, por lo que es un elemento eficaz para la asignación del gasto.</w:t>
            </w:r>
          </w:p>
        </w:tc>
      </w:tr>
      <w:tr w:rsidR="001A3040" w:rsidRPr="001A3040" w14:paraId="6254B506" w14:textId="77777777" w:rsidTr="001A3040">
        <w:tc>
          <w:tcPr>
            <w:cnfStyle w:val="001000000000" w:firstRow="0" w:lastRow="0" w:firstColumn="1" w:lastColumn="0" w:oddVBand="0" w:evenVBand="0" w:oddHBand="0" w:evenHBand="0" w:firstRowFirstColumn="0" w:firstRowLastColumn="0" w:lastRowFirstColumn="0" w:lastRowLastColumn="0"/>
            <w:tcW w:w="1476" w:type="pct"/>
          </w:tcPr>
          <w:p w14:paraId="2A61E63E" w14:textId="77777777" w:rsidR="001A3040" w:rsidRPr="001A3040" w:rsidRDefault="001A3040" w:rsidP="001A3040">
            <w:pPr>
              <w:spacing w:line="259" w:lineRule="auto"/>
              <w:rPr>
                <w:rFonts w:ascii="Century Gothic" w:hAnsi="Century Gothic"/>
                <w:bCs w:val="0"/>
                <w:sz w:val="20"/>
                <w:szCs w:val="20"/>
              </w:rPr>
            </w:pPr>
            <w:r w:rsidRPr="001A3040">
              <w:rPr>
                <w:rFonts w:ascii="Century Gothic" w:hAnsi="Century Gothic"/>
                <w:sz w:val="20"/>
                <w:szCs w:val="20"/>
              </w:rPr>
              <w:t>Ejercicio de los recursos y programas</w:t>
            </w:r>
          </w:p>
        </w:tc>
        <w:tc>
          <w:tcPr>
            <w:tcW w:w="3524" w:type="pct"/>
          </w:tcPr>
          <w:p w14:paraId="08CAACD2" w14:textId="77777777" w:rsidR="001A3040" w:rsidRPr="001A3040" w:rsidRDefault="001A3040" w:rsidP="00A604C7">
            <w:pPr>
              <w:spacing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La evaluación en esta etapa contribuye a hacer flexible la reorientación de los recursos cuando los hallazgos dan evidencia de la inefectividad de las políticas públicas, fomentando el cambio de la cultura hacia resultados, la satisfacción de beneficiarios y la evaluación de costos.</w:t>
            </w:r>
          </w:p>
        </w:tc>
      </w:tr>
      <w:tr w:rsidR="001A3040" w:rsidRPr="001A3040" w14:paraId="6ADB77E5" w14:textId="77777777" w:rsidTr="001A3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48133069" w14:textId="77777777" w:rsidR="001A3040" w:rsidRPr="001A3040" w:rsidRDefault="001A3040" w:rsidP="001A3040">
            <w:pPr>
              <w:spacing w:line="259" w:lineRule="auto"/>
              <w:rPr>
                <w:rFonts w:ascii="Century Gothic" w:hAnsi="Century Gothic"/>
                <w:bCs w:val="0"/>
                <w:sz w:val="20"/>
                <w:szCs w:val="20"/>
              </w:rPr>
            </w:pPr>
          </w:p>
          <w:p w14:paraId="23351652" w14:textId="77777777" w:rsidR="001A3040" w:rsidRPr="001A3040" w:rsidRDefault="001A3040" w:rsidP="001A3040">
            <w:pPr>
              <w:spacing w:line="259" w:lineRule="auto"/>
              <w:jc w:val="center"/>
              <w:rPr>
                <w:rFonts w:ascii="Century Gothic" w:hAnsi="Century Gothic"/>
                <w:bCs w:val="0"/>
                <w:sz w:val="20"/>
                <w:szCs w:val="20"/>
              </w:rPr>
            </w:pPr>
            <w:r w:rsidRPr="001A3040">
              <w:rPr>
                <w:rFonts w:ascii="Century Gothic" w:hAnsi="Century Gothic"/>
                <w:sz w:val="20"/>
                <w:szCs w:val="20"/>
              </w:rPr>
              <w:t>Seguimiento y control</w:t>
            </w:r>
          </w:p>
        </w:tc>
        <w:tc>
          <w:tcPr>
            <w:tcW w:w="3524" w:type="pct"/>
          </w:tcPr>
          <w:p w14:paraId="46A60A07" w14:textId="77777777" w:rsidR="001A3040" w:rsidRPr="001A3040" w:rsidRDefault="001A3040" w:rsidP="00A604C7">
            <w:pPr>
              <w:spacing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Se monitorean avances en los indicadores y metas que permitan aplicar medidas preventivas o en su caso correctivas, para dar cumplimiento a lo establecido en la planeación.</w:t>
            </w:r>
          </w:p>
        </w:tc>
      </w:tr>
      <w:tr w:rsidR="001A3040" w:rsidRPr="001A3040" w14:paraId="67CC1CEE" w14:textId="77777777" w:rsidTr="001A3040">
        <w:tc>
          <w:tcPr>
            <w:cnfStyle w:val="001000000000" w:firstRow="0" w:lastRow="0" w:firstColumn="1" w:lastColumn="0" w:oddVBand="0" w:evenVBand="0" w:oddHBand="0" w:evenHBand="0" w:firstRowFirstColumn="0" w:firstRowLastColumn="0" w:lastRowFirstColumn="0" w:lastRowLastColumn="0"/>
            <w:tcW w:w="1476" w:type="pct"/>
          </w:tcPr>
          <w:p w14:paraId="009385BB" w14:textId="77777777" w:rsidR="001A3040" w:rsidRPr="001A3040" w:rsidRDefault="001A3040" w:rsidP="001A3040">
            <w:pPr>
              <w:spacing w:line="259" w:lineRule="auto"/>
              <w:jc w:val="center"/>
              <w:rPr>
                <w:rFonts w:ascii="Century Gothic" w:hAnsi="Century Gothic"/>
                <w:bCs w:val="0"/>
                <w:sz w:val="20"/>
                <w:szCs w:val="20"/>
              </w:rPr>
            </w:pPr>
          </w:p>
          <w:p w14:paraId="367DFC06" w14:textId="77777777" w:rsidR="001A3040" w:rsidRPr="001A3040" w:rsidRDefault="001A3040" w:rsidP="001A3040">
            <w:pPr>
              <w:spacing w:line="259" w:lineRule="auto"/>
              <w:jc w:val="center"/>
              <w:rPr>
                <w:rFonts w:ascii="Century Gothic" w:hAnsi="Century Gothic"/>
                <w:sz w:val="20"/>
                <w:szCs w:val="20"/>
              </w:rPr>
            </w:pPr>
            <w:r w:rsidRPr="001A3040">
              <w:rPr>
                <w:rFonts w:ascii="Century Gothic" w:hAnsi="Century Gothic"/>
                <w:sz w:val="20"/>
                <w:szCs w:val="20"/>
              </w:rPr>
              <w:t>Evaluación</w:t>
            </w:r>
          </w:p>
          <w:p w14:paraId="1A3A48A7" w14:textId="77777777" w:rsidR="001A3040" w:rsidRPr="001A3040" w:rsidRDefault="001A3040" w:rsidP="001A3040">
            <w:pPr>
              <w:spacing w:line="259" w:lineRule="auto"/>
              <w:jc w:val="center"/>
              <w:rPr>
                <w:rFonts w:ascii="Century Gothic" w:hAnsi="Century Gothic"/>
                <w:bCs w:val="0"/>
                <w:sz w:val="20"/>
                <w:szCs w:val="20"/>
              </w:rPr>
            </w:pPr>
          </w:p>
        </w:tc>
        <w:tc>
          <w:tcPr>
            <w:tcW w:w="3524" w:type="pct"/>
          </w:tcPr>
          <w:p w14:paraId="4901DEC6" w14:textId="77777777" w:rsidR="001A3040" w:rsidRPr="001A3040" w:rsidRDefault="001A3040" w:rsidP="00A604C7">
            <w:pPr>
              <w:spacing w:line="259" w:lineRule="auto"/>
              <w:jc w:val="both"/>
              <w:cnfStyle w:val="000000000000" w:firstRow="0" w:lastRow="0" w:firstColumn="0" w:lastColumn="0" w:oddVBand="0" w:evenVBand="0" w:oddHBand="0"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Su perspectiva o enfoque, valora el cumplimiento de objetivos y metas, así como el impacto en la creación de valor público.</w:t>
            </w:r>
          </w:p>
        </w:tc>
      </w:tr>
      <w:tr w:rsidR="001A3040" w:rsidRPr="001A3040" w14:paraId="4091D0CB" w14:textId="77777777" w:rsidTr="001A30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tcPr>
          <w:p w14:paraId="3659BA78" w14:textId="77777777" w:rsidR="001A3040" w:rsidRPr="001A3040" w:rsidRDefault="001A3040" w:rsidP="001A3040">
            <w:pPr>
              <w:spacing w:line="259" w:lineRule="auto"/>
              <w:rPr>
                <w:rFonts w:ascii="Century Gothic" w:hAnsi="Century Gothic"/>
                <w:bCs w:val="0"/>
                <w:sz w:val="20"/>
                <w:szCs w:val="20"/>
              </w:rPr>
            </w:pPr>
          </w:p>
          <w:p w14:paraId="2B5366E9" w14:textId="77777777" w:rsidR="001A3040" w:rsidRPr="001A3040" w:rsidRDefault="001A3040" w:rsidP="001A3040">
            <w:pPr>
              <w:spacing w:line="259" w:lineRule="auto"/>
              <w:jc w:val="center"/>
              <w:rPr>
                <w:rFonts w:ascii="Century Gothic" w:hAnsi="Century Gothic"/>
                <w:bCs w:val="0"/>
                <w:sz w:val="20"/>
                <w:szCs w:val="20"/>
              </w:rPr>
            </w:pPr>
            <w:r w:rsidRPr="001A3040">
              <w:rPr>
                <w:rFonts w:ascii="Century Gothic" w:hAnsi="Century Gothic"/>
                <w:sz w:val="20"/>
                <w:szCs w:val="20"/>
              </w:rPr>
              <w:t>Rendición de Cuentas</w:t>
            </w:r>
          </w:p>
        </w:tc>
        <w:tc>
          <w:tcPr>
            <w:tcW w:w="3524" w:type="pct"/>
          </w:tcPr>
          <w:p w14:paraId="399FBFE7" w14:textId="77777777" w:rsidR="001A3040" w:rsidRPr="001A3040" w:rsidRDefault="001A3040" w:rsidP="00A604C7">
            <w:pPr>
              <w:spacing w:line="259"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bCs/>
                <w:sz w:val="20"/>
                <w:szCs w:val="20"/>
              </w:rPr>
            </w:pPr>
            <w:r w:rsidRPr="001A3040">
              <w:rPr>
                <w:rFonts w:ascii="Century Gothic" w:hAnsi="Century Gothic"/>
                <w:bCs/>
                <w:sz w:val="20"/>
                <w:szCs w:val="20"/>
              </w:rPr>
              <w:t>En el marco de la nueva gestión pública, la transparencia de la aplicación de los recursos públicos debe orientar sus esfuerzos, al ejercicio de una administración eficiente y eficaz en los gobiernos municipales, para informar a la población del actuar de su gestión, y con ello dar cumplimiento a la normatividad establecida en materia de rendición de cuentas.</w:t>
            </w:r>
          </w:p>
        </w:tc>
      </w:tr>
    </w:tbl>
    <w:p w14:paraId="03E46359" w14:textId="41BE8C2E" w:rsidR="001A3040" w:rsidRDefault="001A3040" w:rsidP="0039382F">
      <w:pPr>
        <w:spacing w:after="160" w:line="360" w:lineRule="auto"/>
        <w:jc w:val="both"/>
        <w:rPr>
          <w:rFonts w:ascii="Century Gothic" w:hAnsi="Century Gothic"/>
          <w:b/>
          <w:bCs/>
          <w:color w:val="025850"/>
          <w:sz w:val="22"/>
          <w:szCs w:val="22"/>
        </w:rPr>
      </w:pPr>
    </w:p>
    <w:p w14:paraId="461497B4" w14:textId="77777777" w:rsidR="001A3040" w:rsidRDefault="001A3040">
      <w:pPr>
        <w:rPr>
          <w:rFonts w:ascii="Century Gothic" w:hAnsi="Century Gothic"/>
          <w:b/>
          <w:bCs/>
          <w:color w:val="025850"/>
          <w:sz w:val="22"/>
          <w:szCs w:val="22"/>
        </w:rPr>
      </w:pPr>
      <w:r>
        <w:rPr>
          <w:rFonts w:ascii="Century Gothic" w:hAnsi="Century Gothic"/>
          <w:b/>
          <w:bCs/>
          <w:color w:val="025850"/>
          <w:sz w:val="22"/>
          <w:szCs w:val="22"/>
        </w:rPr>
        <w:br w:type="page"/>
      </w:r>
    </w:p>
    <w:tbl>
      <w:tblPr>
        <w:tblStyle w:val="Tablaconcuadrcula4-nfasis2"/>
        <w:tblW w:w="12016" w:type="dxa"/>
        <w:jc w:val="center"/>
        <w:tblLayout w:type="fixed"/>
        <w:tblLook w:val="01E0" w:firstRow="1" w:lastRow="1" w:firstColumn="1" w:lastColumn="1" w:noHBand="0" w:noVBand="0"/>
      </w:tblPr>
      <w:tblGrid>
        <w:gridCol w:w="5947"/>
        <w:gridCol w:w="3072"/>
        <w:gridCol w:w="2997"/>
      </w:tblGrid>
      <w:tr w:rsidR="001A3040" w:rsidRPr="001A3040" w14:paraId="75953EC9" w14:textId="77777777" w:rsidTr="001A3040">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5947" w:type="dxa"/>
          </w:tcPr>
          <w:p w14:paraId="1F0CA9D0" w14:textId="77777777" w:rsidR="001A3040" w:rsidRPr="001A3040" w:rsidRDefault="001A3040" w:rsidP="001A3040">
            <w:pPr>
              <w:spacing w:line="259" w:lineRule="auto"/>
              <w:jc w:val="center"/>
              <w:rPr>
                <w:rFonts w:ascii="Century Gothic" w:hAnsi="Century Gothic"/>
                <w:sz w:val="22"/>
                <w:szCs w:val="22"/>
              </w:rPr>
            </w:pPr>
            <w:r w:rsidRPr="001A3040">
              <w:rPr>
                <w:rFonts w:ascii="Century Gothic" w:hAnsi="Century Gothic"/>
                <w:sz w:val="22"/>
                <w:szCs w:val="22"/>
              </w:rPr>
              <w:lastRenderedPageBreak/>
              <w:t>Documento</w:t>
            </w:r>
          </w:p>
        </w:tc>
        <w:tc>
          <w:tcPr>
            <w:cnfStyle w:val="000010000000" w:firstRow="0" w:lastRow="0" w:firstColumn="0" w:lastColumn="0" w:oddVBand="1" w:evenVBand="0" w:oddHBand="0" w:evenHBand="0" w:firstRowFirstColumn="0" w:firstRowLastColumn="0" w:lastRowFirstColumn="0" w:lastRowLastColumn="0"/>
            <w:tcW w:w="3072" w:type="dxa"/>
          </w:tcPr>
          <w:p w14:paraId="43DB46BC" w14:textId="77777777" w:rsidR="001A3040" w:rsidRPr="001A3040" w:rsidRDefault="001A3040" w:rsidP="001A3040">
            <w:pPr>
              <w:spacing w:line="259" w:lineRule="auto"/>
              <w:jc w:val="center"/>
              <w:rPr>
                <w:rFonts w:ascii="Century Gothic" w:hAnsi="Century Gothic"/>
                <w:sz w:val="22"/>
                <w:szCs w:val="22"/>
              </w:rPr>
            </w:pPr>
            <w:r w:rsidRPr="001A3040">
              <w:rPr>
                <w:rFonts w:ascii="Century Gothic" w:hAnsi="Century Gothic"/>
                <w:sz w:val="22"/>
                <w:szCs w:val="22"/>
              </w:rPr>
              <w:t>Responsable</w:t>
            </w:r>
          </w:p>
        </w:tc>
        <w:tc>
          <w:tcPr>
            <w:cnfStyle w:val="000100000000" w:firstRow="0" w:lastRow="0" w:firstColumn="0" w:lastColumn="1" w:oddVBand="0" w:evenVBand="0" w:oddHBand="0" w:evenHBand="0" w:firstRowFirstColumn="0" w:firstRowLastColumn="0" w:lastRowFirstColumn="0" w:lastRowLastColumn="0"/>
            <w:tcW w:w="2997" w:type="dxa"/>
          </w:tcPr>
          <w:p w14:paraId="4E3580A6" w14:textId="77777777" w:rsidR="001A3040" w:rsidRPr="001A3040" w:rsidRDefault="001A3040" w:rsidP="001A3040">
            <w:pPr>
              <w:spacing w:line="259" w:lineRule="auto"/>
              <w:jc w:val="center"/>
              <w:rPr>
                <w:rFonts w:ascii="Century Gothic" w:hAnsi="Century Gothic"/>
                <w:sz w:val="22"/>
                <w:szCs w:val="22"/>
              </w:rPr>
            </w:pPr>
            <w:r w:rsidRPr="001A3040">
              <w:rPr>
                <w:rFonts w:ascii="Century Gothic" w:hAnsi="Century Gothic"/>
                <w:sz w:val="22"/>
                <w:szCs w:val="22"/>
              </w:rPr>
              <w:t>Fecha de entrega</w:t>
            </w:r>
          </w:p>
        </w:tc>
      </w:tr>
      <w:tr w:rsidR="001A3040" w:rsidRPr="001A3040" w14:paraId="13A4B2A8" w14:textId="77777777" w:rsidTr="001A3040">
        <w:trPr>
          <w:cnfStyle w:val="000000100000" w:firstRow="0" w:lastRow="0" w:firstColumn="0" w:lastColumn="0" w:oddVBand="0" w:evenVBand="0" w:oddHBand="1" w:evenHBand="0" w:firstRowFirstColumn="0" w:firstRowLastColumn="0" w:lastRowFirstColumn="0" w:lastRowLastColumn="0"/>
          <w:trHeight w:val="603"/>
          <w:jc w:val="center"/>
        </w:trPr>
        <w:tc>
          <w:tcPr>
            <w:cnfStyle w:val="001000000000" w:firstRow="0" w:lastRow="0" w:firstColumn="1" w:lastColumn="0" w:oddVBand="0" w:evenVBand="0" w:oddHBand="0" w:evenHBand="0" w:firstRowFirstColumn="0" w:firstRowLastColumn="0" w:lastRowFirstColumn="0" w:lastRowLastColumn="0"/>
            <w:tcW w:w="5947" w:type="dxa"/>
          </w:tcPr>
          <w:p w14:paraId="7996A718"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Informe de Gobierno Municipal.</w:t>
            </w:r>
          </w:p>
        </w:tc>
        <w:tc>
          <w:tcPr>
            <w:cnfStyle w:val="000010000000" w:firstRow="0" w:lastRow="0" w:firstColumn="0" w:lastColumn="0" w:oddVBand="1" w:evenVBand="0" w:oddHBand="0" w:evenHBand="0" w:firstRowFirstColumn="0" w:firstRowLastColumn="0" w:lastRowFirstColumn="0" w:lastRowLastColumn="0"/>
            <w:tcW w:w="3072" w:type="dxa"/>
          </w:tcPr>
          <w:p w14:paraId="23952A26"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UIPPE</w:t>
            </w:r>
          </w:p>
        </w:tc>
        <w:tc>
          <w:tcPr>
            <w:cnfStyle w:val="000100000000" w:firstRow="0" w:lastRow="0" w:firstColumn="0" w:lastColumn="1" w:oddVBand="0" w:evenVBand="0" w:oddHBand="0" w:evenHBand="0" w:firstRowFirstColumn="0" w:firstRowLastColumn="0" w:lastRowFirstColumn="0" w:lastRowLastColumn="0"/>
            <w:tcW w:w="2997" w:type="dxa"/>
          </w:tcPr>
          <w:p w14:paraId="2C7EB2F9"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5 de diciembre</w:t>
            </w:r>
          </w:p>
        </w:tc>
      </w:tr>
      <w:tr w:rsidR="001A3040" w:rsidRPr="001A3040" w14:paraId="3528F660" w14:textId="77777777" w:rsidTr="001A3040">
        <w:trPr>
          <w:trHeight w:val="908"/>
          <w:jc w:val="center"/>
        </w:trPr>
        <w:tc>
          <w:tcPr>
            <w:cnfStyle w:val="001000000000" w:firstRow="0" w:lastRow="0" w:firstColumn="1" w:lastColumn="0" w:oddVBand="0" w:evenVBand="0" w:oddHBand="0" w:evenHBand="0" w:firstRowFirstColumn="0" w:firstRowLastColumn="0" w:lastRowFirstColumn="0" w:lastRowLastColumn="0"/>
            <w:tcW w:w="5947" w:type="dxa"/>
          </w:tcPr>
          <w:p w14:paraId="3066935A"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Informe Anual</w:t>
            </w:r>
            <w:r w:rsidRPr="001A3040">
              <w:rPr>
                <w:rFonts w:ascii="Century Gothic" w:hAnsi="Century Gothic"/>
                <w:b w:val="0"/>
                <w:bCs w:val="0"/>
                <w:sz w:val="22"/>
                <w:szCs w:val="22"/>
              </w:rPr>
              <w:tab/>
              <w:t>de ejecución del Plan de Desarrollo Municipal.</w:t>
            </w:r>
          </w:p>
        </w:tc>
        <w:tc>
          <w:tcPr>
            <w:cnfStyle w:val="000010000000" w:firstRow="0" w:lastRow="0" w:firstColumn="0" w:lastColumn="0" w:oddVBand="1" w:evenVBand="0" w:oddHBand="0" w:evenHBand="0" w:firstRowFirstColumn="0" w:firstRowLastColumn="0" w:lastRowFirstColumn="0" w:lastRowLastColumn="0"/>
            <w:tcW w:w="3072" w:type="dxa"/>
          </w:tcPr>
          <w:p w14:paraId="6A2F9FA3"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UIPPE</w:t>
            </w:r>
          </w:p>
          <w:p w14:paraId="400C160B"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Comité de Planeación Municipal</w:t>
            </w:r>
          </w:p>
        </w:tc>
        <w:tc>
          <w:tcPr>
            <w:cnfStyle w:val="000100000000" w:firstRow="0" w:lastRow="0" w:firstColumn="0" w:lastColumn="1" w:oddVBand="0" w:evenVBand="0" w:oddHBand="0" w:evenHBand="0" w:firstRowFirstColumn="0" w:firstRowLastColumn="0" w:lastRowFirstColumn="0" w:lastRowLastColumn="0"/>
            <w:tcW w:w="2997" w:type="dxa"/>
          </w:tcPr>
          <w:p w14:paraId="2AB67811"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15 de diciembre</w:t>
            </w:r>
          </w:p>
        </w:tc>
      </w:tr>
      <w:tr w:rsidR="001A3040" w:rsidRPr="001A3040" w14:paraId="3A9940FA" w14:textId="77777777" w:rsidTr="001A3040">
        <w:trPr>
          <w:cnfStyle w:val="000000100000" w:firstRow="0" w:lastRow="0" w:firstColumn="0" w:lastColumn="0" w:oddVBand="0" w:evenVBand="0" w:oddHBand="1" w:evenHBand="0" w:firstRowFirstColumn="0" w:firstRowLastColumn="0" w:lastRowFirstColumn="0" w:lastRowLastColumn="0"/>
          <w:trHeight w:val="908"/>
          <w:jc w:val="center"/>
        </w:trPr>
        <w:tc>
          <w:tcPr>
            <w:cnfStyle w:val="001000000000" w:firstRow="0" w:lastRow="0" w:firstColumn="1" w:lastColumn="0" w:oddVBand="0" w:evenVBand="0" w:oddHBand="0" w:evenHBand="0" w:firstRowFirstColumn="0" w:firstRowLastColumn="0" w:lastRowFirstColumn="0" w:lastRowLastColumn="0"/>
            <w:tcW w:w="5947" w:type="dxa"/>
          </w:tcPr>
          <w:p w14:paraId="7F807E50"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Presupuesto de Egresos.</w:t>
            </w:r>
          </w:p>
        </w:tc>
        <w:tc>
          <w:tcPr>
            <w:cnfStyle w:val="000010000000" w:firstRow="0" w:lastRow="0" w:firstColumn="0" w:lastColumn="0" w:oddVBand="1" w:evenVBand="0" w:oddHBand="0" w:evenHBand="0" w:firstRowFirstColumn="0" w:firstRowLastColumn="0" w:lastRowFirstColumn="0" w:lastRowLastColumn="0"/>
            <w:tcW w:w="3072" w:type="dxa"/>
          </w:tcPr>
          <w:p w14:paraId="7F7AC12A"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UIPPE</w:t>
            </w:r>
          </w:p>
          <w:p w14:paraId="23515D13"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Tesorería</w:t>
            </w:r>
          </w:p>
          <w:p w14:paraId="036C5C47"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Áreas Administrativas</w:t>
            </w:r>
          </w:p>
        </w:tc>
        <w:tc>
          <w:tcPr>
            <w:cnfStyle w:val="000100000000" w:firstRow="0" w:lastRow="0" w:firstColumn="0" w:lastColumn="1" w:oddVBand="0" w:evenVBand="0" w:oddHBand="0" w:evenHBand="0" w:firstRowFirstColumn="0" w:firstRowLastColumn="0" w:lastRowFirstColumn="0" w:lastRowLastColumn="0"/>
            <w:tcW w:w="2997" w:type="dxa"/>
          </w:tcPr>
          <w:p w14:paraId="6F1CB002"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25 de febrero</w:t>
            </w:r>
          </w:p>
        </w:tc>
      </w:tr>
      <w:tr w:rsidR="001A3040" w:rsidRPr="001A3040" w14:paraId="74B826CF" w14:textId="77777777" w:rsidTr="001A3040">
        <w:trPr>
          <w:trHeight w:val="1209"/>
          <w:jc w:val="center"/>
        </w:trPr>
        <w:tc>
          <w:tcPr>
            <w:cnfStyle w:val="001000000000" w:firstRow="0" w:lastRow="0" w:firstColumn="1" w:lastColumn="0" w:oddVBand="0" w:evenVBand="0" w:oddHBand="0" w:evenHBand="0" w:firstRowFirstColumn="0" w:firstRowLastColumn="0" w:lastRowFirstColumn="0" w:lastRowLastColumn="0"/>
            <w:tcW w:w="5947" w:type="dxa"/>
          </w:tcPr>
          <w:p w14:paraId="245E813A"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Reporte Trimestral del Presupuesto Basado en Resultados Municipal</w:t>
            </w:r>
          </w:p>
        </w:tc>
        <w:tc>
          <w:tcPr>
            <w:cnfStyle w:val="000010000000" w:firstRow="0" w:lastRow="0" w:firstColumn="0" w:lastColumn="0" w:oddVBand="1" w:evenVBand="0" w:oddHBand="0" w:evenHBand="0" w:firstRowFirstColumn="0" w:firstRowLastColumn="0" w:lastRowFirstColumn="0" w:lastRowLastColumn="0"/>
            <w:tcW w:w="3072" w:type="dxa"/>
          </w:tcPr>
          <w:p w14:paraId="58904FB5"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UIPPE</w:t>
            </w:r>
          </w:p>
          <w:p w14:paraId="334EB117"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Tesorería</w:t>
            </w:r>
          </w:p>
          <w:p w14:paraId="6CEC8D21" w14:textId="77777777" w:rsidR="001A3040" w:rsidRPr="001A3040" w:rsidRDefault="001A3040" w:rsidP="001A3040">
            <w:pPr>
              <w:spacing w:line="259" w:lineRule="auto"/>
              <w:jc w:val="both"/>
              <w:rPr>
                <w:rFonts w:ascii="Century Gothic" w:hAnsi="Century Gothic"/>
                <w:bCs/>
                <w:sz w:val="22"/>
                <w:szCs w:val="22"/>
              </w:rPr>
            </w:pPr>
            <w:r w:rsidRPr="001A3040">
              <w:rPr>
                <w:rFonts w:ascii="Century Gothic" w:hAnsi="Century Gothic"/>
                <w:bCs/>
                <w:sz w:val="22"/>
                <w:szCs w:val="22"/>
              </w:rPr>
              <w:t>Áreas Administrativas</w:t>
            </w:r>
          </w:p>
        </w:tc>
        <w:tc>
          <w:tcPr>
            <w:cnfStyle w:val="000100000000" w:firstRow="0" w:lastRow="0" w:firstColumn="0" w:lastColumn="1" w:oddVBand="0" w:evenVBand="0" w:oddHBand="0" w:evenHBand="0" w:firstRowFirstColumn="0" w:firstRowLastColumn="0" w:lastRowFirstColumn="0" w:lastRowLastColumn="0"/>
            <w:tcW w:w="2997" w:type="dxa"/>
          </w:tcPr>
          <w:p w14:paraId="49EF19A8" w14:textId="77777777" w:rsidR="001A3040" w:rsidRPr="001A3040" w:rsidRDefault="001A3040" w:rsidP="001A3040">
            <w:pPr>
              <w:spacing w:line="259" w:lineRule="auto"/>
              <w:jc w:val="both"/>
              <w:rPr>
                <w:rFonts w:ascii="Century Gothic" w:hAnsi="Century Gothic"/>
                <w:b w:val="0"/>
                <w:bCs w:val="0"/>
                <w:sz w:val="22"/>
                <w:szCs w:val="22"/>
              </w:rPr>
            </w:pPr>
            <w:proofErr w:type="gramStart"/>
            <w:r w:rsidRPr="001A3040">
              <w:rPr>
                <w:rFonts w:ascii="Century Gothic" w:hAnsi="Century Gothic"/>
                <w:b w:val="0"/>
                <w:bCs w:val="0"/>
                <w:sz w:val="22"/>
                <w:szCs w:val="22"/>
              </w:rPr>
              <w:t>De acuerdo a</w:t>
            </w:r>
            <w:proofErr w:type="gramEnd"/>
            <w:r w:rsidRPr="001A3040">
              <w:rPr>
                <w:rFonts w:ascii="Century Gothic" w:hAnsi="Century Gothic"/>
                <w:b w:val="0"/>
                <w:bCs w:val="0"/>
                <w:sz w:val="22"/>
                <w:szCs w:val="22"/>
              </w:rPr>
              <w:t xml:space="preserve"> la calendarización del OSFEM</w:t>
            </w:r>
          </w:p>
        </w:tc>
      </w:tr>
      <w:tr w:rsidR="001A3040" w:rsidRPr="001A3040" w14:paraId="7B2F6E88" w14:textId="77777777" w:rsidTr="001A3040">
        <w:trPr>
          <w:cnfStyle w:val="010000000000" w:firstRow="0" w:lastRow="1" w:firstColumn="0" w:lastColumn="0" w:oddVBand="0" w:evenVBand="0" w:oddHBand="0" w:evenHBand="0" w:firstRowFirstColumn="0" w:firstRowLastColumn="0" w:lastRowFirstColumn="0" w:lastRowLastColumn="0"/>
          <w:trHeight w:val="1203"/>
          <w:jc w:val="center"/>
        </w:trPr>
        <w:tc>
          <w:tcPr>
            <w:cnfStyle w:val="001000000000" w:firstRow="0" w:lastRow="0" w:firstColumn="1" w:lastColumn="0" w:oddVBand="0" w:evenVBand="0" w:oddHBand="0" w:evenHBand="0" w:firstRowFirstColumn="0" w:firstRowLastColumn="0" w:lastRowFirstColumn="0" w:lastRowLastColumn="0"/>
            <w:tcW w:w="5947" w:type="dxa"/>
          </w:tcPr>
          <w:p w14:paraId="57B5B8CD"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Reporte Trimestral en el Sistema Integral de Monitoreo y Evaluación del Desarrollo (SIMED-EDOMEX)</w:t>
            </w:r>
          </w:p>
        </w:tc>
        <w:tc>
          <w:tcPr>
            <w:cnfStyle w:val="000010000000" w:firstRow="0" w:lastRow="0" w:firstColumn="0" w:lastColumn="0" w:oddVBand="1" w:evenVBand="0" w:oddHBand="0" w:evenHBand="0" w:firstRowFirstColumn="0" w:firstRowLastColumn="0" w:lastRowFirstColumn="0" w:lastRowLastColumn="0"/>
            <w:tcW w:w="3072" w:type="dxa"/>
          </w:tcPr>
          <w:p w14:paraId="717F75FF"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UIPPE</w:t>
            </w:r>
          </w:p>
          <w:p w14:paraId="41DEBC8F"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Áreas Administrativas</w:t>
            </w:r>
          </w:p>
        </w:tc>
        <w:tc>
          <w:tcPr>
            <w:cnfStyle w:val="000100000000" w:firstRow="0" w:lastRow="0" w:firstColumn="0" w:lastColumn="1" w:oddVBand="0" w:evenVBand="0" w:oddHBand="0" w:evenHBand="0" w:firstRowFirstColumn="0" w:firstRowLastColumn="0" w:lastRowFirstColumn="0" w:lastRowLastColumn="0"/>
            <w:tcW w:w="2997" w:type="dxa"/>
          </w:tcPr>
          <w:p w14:paraId="18F49CC8" w14:textId="77777777" w:rsidR="001A3040" w:rsidRPr="001A3040" w:rsidRDefault="001A3040" w:rsidP="001A3040">
            <w:pPr>
              <w:spacing w:line="259" w:lineRule="auto"/>
              <w:jc w:val="both"/>
              <w:rPr>
                <w:rFonts w:ascii="Century Gothic" w:hAnsi="Century Gothic"/>
                <w:b w:val="0"/>
                <w:bCs w:val="0"/>
                <w:sz w:val="22"/>
                <w:szCs w:val="22"/>
              </w:rPr>
            </w:pPr>
            <w:r w:rsidRPr="001A3040">
              <w:rPr>
                <w:rFonts w:ascii="Century Gothic" w:hAnsi="Century Gothic"/>
                <w:b w:val="0"/>
                <w:bCs w:val="0"/>
                <w:sz w:val="22"/>
                <w:szCs w:val="22"/>
              </w:rPr>
              <w:t>De acuerdo con la calendarización del COPLADEM</w:t>
            </w:r>
          </w:p>
        </w:tc>
      </w:tr>
    </w:tbl>
    <w:p w14:paraId="7FF3A99B" w14:textId="275B6F02" w:rsidR="0039382F" w:rsidRDefault="0039382F" w:rsidP="0039382F">
      <w:pPr>
        <w:spacing w:after="160" w:line="360" w:lineRule="auto"/>
        <w:jc w:val="both"/>
        <w:rPr>
          <w:rFonts w:ascii="Century Gothic" w:hAnsi="Century Gothic"/>
          <w:b/>
          <w:bCs/>
          <w:color w:val="025850"/>
          <w:sz w:val="22"/>
          <w:szCs w:val="22"/>
        </w:rPr>
      </w:pPr>
    </w:p>
    <w:p w14:paraId="79BE64CF" w14:textId="182E452C" w:rsidR="001A3040" w:rsidRDefault="001A3040">
      <w:pPr>
        <w:rPr>
          <w:rFonts w:ascii="Century Gothic" w:hAnsi="Century Gothic"/>
          <w:b/>
          <w:bCs/>
          <w:color w:val="025850"/>
          <w:sz w:val="22"/>
          <w:szCs w:val="22"/>
        </w:rPr>
      </w:pPr>
      <w:r>
        <w:rPr>
          <w:rFonts w:ascii="Century Gothic" w:hAnsi="Century Gothic"/>
          <w:b/>
          <w:bCs/>
          <w:color w:val="025850"/>
          <w:sz w:val="22"/>
          <w:szCs w:val="22"/>
        </w:rPr>
        <w:br w:type="page"/>
      </w:r>
    </w:p>
    <w:p w14:paraId="42207915" w14:textId="6B147BAE" w:rsidR="001A3040" w:rsidRDefault="001A3040" w:rsidP="0039382F">
      <w:pPr>
        <w:spacing w:after="160" w:line="360" w:lineRule="auto"/>
        <w:jc w:val="both"/>
        <w:rPr>
          <w:rFonts w:ascii="Century Gothic" w:hAnsi="Century Gothic"/>
          <w:b/>
          <w:bCs/>
          <w:color w:val="025850"/>
          <w:sz w:val="22"/>
          <w:szCs w:val="22"/>
        </w:rPr>
      </w:pPr>
      <w:r>
        <w:rPr>
          <w:rFonts w:ascii="Century Gothic" w:hAnsi="Century Gothic"/>
          <w:b/>
          <w:bCs/>
          <w:color w:val="025850"/>
          <w:sz w:val="22"/>
          <w:szCs w:val="22"/>
        </w:rPr>
        <w:lastRenderedPageBreak/>
        <w:t xml:space="preserve">ANEXOS </w:t>
      </w:r>
    </w:p>
    <w:p w14:paraId="19ED3A7F" w14:textId="4DC79B69" w:rsidR="001A3040" w:rsidRDefault="00BB1EBC" w:rsidP="00BB1EBC">
      <w:pPr>
        <w:spacing w:after="160" w:line="360" w:lineRule="auto"/>
        <w:jc w:val="center"/>
        <w:rPr>
          <w:rFonts w:ascii="Century Gothic" w:hAnsi="Century Gothic"/>
          <w:b/>
          <w:bCs/>
          <w:color w:val="025850"/>
          <w:sz w:val="22"/>
          <w:szCs w:val="22"/>
        </w:rPr>
      </w:pPr>
      <w:r>
        <w:rPr>
          <w:rFonts w:ascii="Century Gothic" w:hAnsi="Century Gothic"/>
          <w:b/>
          <w:bCs/>
          <w:noProof/>
          <w:color w:val="025850"/>
          <w:sz w:val="22"/>
          <w:szCs w:val="22"/>
        </w:rPr>
        <w:drawing>
          <wp:inline distT="0" distB="0" distL="0" distR="0" wp14:anchorId="21CCACA6" wp14:editId="0FCCD32D">
            <wp:extent cx="6159500" cy="4927179"/>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160865" cy="4928271"/>
                    </a:xfrm>
                    <a:prstGeom prst="rect">
                      <a:avLst/>
                    </a:prstGeom>
                  </pic:spPr>
                </pic:pic>
              </a:graphicData>
            </a:graphic>
          </wp:inline>
        </w:drawing>
      </w:r>
    </w:p>
    <w:p w14:paraId="71F1C127" w14:textId="628BD825" w:rsidR="001A3040" w:rsidRDefault="001A3040">
      <w:pPr>
        <w:rPr>
          <w:rFonts w:ascii="Century Gothic" w:hAnsi="Century Gothic"/>
          <w:b/>
          <w:bCs/>
          <w:color w:val="025850"/>
          <w:sz w:val="22"/>
          <w:szCs w:val="22"/>
        </w:rPr>
      </w:pPr>
      <w:r>
        <w:rPr>
          <w:rFonts w:ascii="Century Gothic" w:hAnsi="Century Gothic"/>
          <w:b/>
          <w:bCs/>
          <w:color w:val="025850"/>
          <w:sz w:val="22"/>
          <w:szCs w:val="22"/>
        </w:rPr>
        <w:br w:type="page"/>
      </w:r>
    </w:p>
    <w:p w14:paraId="29F001B2" w14:textId="7550272D" w:rsidR="001A3040" w:rsidRDefault="001A3040" w:rsidP="0039382F">
      <w:pPr>
        <w:spacing w:after="160" w:line="360" w:lineRule="auto"/>
        <w:jc w:val="both"/>
        <w:rPr>
          <w:rFonts w:ascii="Century Gothic" w:hAnsi="Century Gothic"/>
          <w:b/>
          <w:bCs/>
          <w:color w:val="025850"/>
          <w:sz w:val="22"/>
          <w:szCs w:val="22"/>
        </w:rPr>
      </w:pPr>
      <w:r>
        <w:rPr>
          <w:rFonts w:ascii="Century Gothic" w:hAnsi="Century Gothic"/>
          <w:b/>
          <w:bCs/>
          <w:color w:val="025850"/>
          <w:sz w:val="22"/>
          <w:szCs w:val="22"/>
        </w:rPr>
        <w:lastRenderedPageBreak/>
        <w:t xml:space="preserve">FUENTES DE CONSULTA </w:t>
      </w:r>
    </w:p>
    <w:p w14:paraId="5E267B4F"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Comité de Planeación para el Desarrollo del Estado de México (COPLADEM) (2021). Manual para la elaboración de los Planes de Desarrollo Municipal, Primera edición: Gobierno del Estado de México, Disponible en: https:// copladem.edomex.gob.mx/sites/copladem.edomex.gob.mx/fles/fles/pdf/</w:t>
      </w:r>
    </w:p>
    <w:p w14:paraId="05556E87"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 xml:space="preserve">Constitución Política de los Estados Unidos Mexicanos (06 de junio de 2023). Recuperado de: </w:t>
      </w:r>
      <w:hyperlink r:id="rId75" w:history="1">
        <w:r w:rsidRPr="001A3040">
          <w:rPr>
            <w:rStyle w:val="Hipervnculo"/>
            <w:rFonts w:ascii="Century Gothic" w:hAnsi="Century Gothic"/>
            <w:sz w:val="20"/>
            <w:szCs w:val="20"/>
          </w:rPr>
          <w:t>https://www.diputados.gob.mx/LeyesBiblio/pdf/CPEUM.pdf</w:t>
        </w:r>
      </w:hyperlink>
    </w:p>
    <w:p w14:paraId="397DE8F1"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 xml:space="preserve">Constitución Política del Estados Libre y Soberano de México (28 de abril de 2023). Recuperado de: </w:t>
      </w:r>
      <w:hyperlink r:id="rId76" w:history="1">
        <w:r w:rsidRPr="001A3040">
          <w:rPr>
            <w:rStyle w:val="Hipervnculo"/>
            <w:rFonts w:ascii="Century Gothic" w:hAnsi="Century Gothic"/>
            <w:sz w:val="20"/>
            <w:szCs w:val="20"/>
          </w:rPr>
          <w:t>https://legislacion.edomex.gob.mx/sites/legislacion. edomex.gob.mx/</w:t>
        </w:r>
        <w:proofErr w:type="spellStart"/>
        <w:r w:rsidRPr="001A3040">
          <w:rPr>
            <w:rStyle w:val="Hipervnculo"/>
            <w:rFonts w:ascii="Century Gothic" w:hAnsi="Century Gothic"/>
            <w:sz w:val="20"/>
            <w:szCs w:val="20"/>
          </w:rPr>
          <w:t>fles</w:t>
        </w:r>
        <w:proofErr w:type="spellEnd"/>
        <w:r w:rsidRPr="001A3040">
          <w:rPr>
            <w:rStyle w:val="Hipervnculo"/>
            <w:rFonts w:ascii="Century Gothic" w:hAnsi="Century Gothic"/>
            <w:sz w:val="20"/>
            <w:szCs w:val="20"/>
          </w:rPr>
          <w:t>/</w:t>
        </w:r>
        <w:proofErr w:type="spellStart"/>
        <w:r w:rsidRPr="001A3040">
          <w:rPr>
            <w:rStyle w:val="Hipervnculo"/>
            <w:rFonts w:ascii="Century Gothic" w:hAnsi="Century Gothic"/>
            <w:sz w:val="20"/>
            <w:szCs w:val="20"/>
          </w:rPr>
          <w:t>fles</w:t>
        </w:r>
        <w:proofErr w:type="spellEnd"/>
        <w:r w:rsidRPr="001A3040">
          <w:rPr>
            <w:rStyle w:val="Hipervnculo"/>
            <w:rFonts w:ascii="Century Gothic" w:hAnsi="Century Gothic"/>
            <w:sz w:val="20"/>
            <w:szCs w:val="20"/>
          </w:rPr>
          <w:t>/</w:t>
        </w:r>
        <w:proofErr w:type="spellStart"/>
        <w:r w:rsidRPr="001A3040">
          <w:rPr>
            <w:rStyle w:val="Hipervnculo"/>
            <w:rFonts w:ascii="Century Gothic" w:hAnsi="Century Gothic"/>
            <w:sz w:val="20"/>
            <w:szCs w:val="20"/>
          </w:rPr>
          <w:t>pdf</w:t>
        </w:r>
        <w:proofErr w:type="spellEnd"/>
        <w:r w:rsidRPr="001A3040">
          <w:rPr>
            <w:rStyle w:val="Hipervnculo"/>
            <w:rFonts w:ascii="Century Gothic" w:hAnsi="Century Gothic"/>
            <w:sz w:val="20"/>
            <w:szCs w:val="20"/>
          </w:rPr>
          <w:t>/ley/</w:t>
        </w:r>
        <w:proofErr w:type="spellStart"/>
        <w:r w:rsidRPr="001A3040">
          <w:rPr>
            <w:rStyle w:val="Hipervnculo"/>
            <w:rFonts w:ascii="Century Gothic" w:hAnsi="Century Gothic"/>
            <w:sz w:val="20"/>
            <w:szCs w:val="20"/>
          </w:rPr>
          <w:t>vig</w:t>
        </w:r>
        <w:proofErr w:type="spellEnd"/>
        <w:r w:rsidRPr="001A3040">
          <w:rPr>
            <w:rStyle w:val="Hipervnculo"/>
            <w:rFonts w:ascii="Century Gothic" w:hAnsi="Century Gothic"/>
            <w:sz w:val="20"/>
            <w:szCs w:val="20"/>
          </w:rPr>
          <w:t>/leyvig001.pdf</w:t>
        </w:r>
      </w:hyperlink>
    </w:p>
    <w:p w14:paraId="2E5E2C5C"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 xml:space="preserve">Instituto Nacional de Estadística y Geografía (INEGI) (2020). Censo de Población y Vivienda 2020. Disponible en: </w:t>
      </w:r>
      <w:hyperlink r:id="rId77" w:history="1">
        <w:r w:rsidRPr="001A3040">
          <w:rPr>
            <w:rStyle w:val="Hipervnculo"/>
            <w:rFonts w:ascii="Century Gothic" w:hAnsi="Century Gothic"/>
            <w:sz w:val="20"/>
            <w:szCs w:val="20"/>
          </w:rPr>
          <w:t>https://www.inegi.org.mx/programas/ccpv/2020/</w:t>
        </w:r>
      </w:hyperlink>
    </w:p>
    <w:p w14:paraId="6DD891D9"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Ley de Planeación (08 de mayo de 2023). Recuperado de: https://www. diputados.gob.mx/</w:t>
      </w:r>
      <w:proofErr w:type="spellStart"/>
      <w:r w:rsidRPr="001A3040">
        <w:rPr>
          <w:rFonts w:ascii="Century Gothic" w:hAnsi="Century Gothic"/>
          <w:sz w:val="20"/>
          <w:szCs w:val="20"/>
        </w:rPr>
        <w:t>LeyesBiblio</w:t>
      </w:r>
      <w:proofErr w:type="spellEnd"/>
      <w:r w:rsidRPr="001A3040">
        <w:rPr>
          <w:rFonts w:ascii="Century Gothic" w:hAnsi="Century Gothic"/>
          <w:sz w:val="20"/>
          <w:szCs w:val="20"/>
        </w:rPr>
        <w:t>/</w:t>
      </w:r>
      <w:proofErr w:type="spellStart"/>
      <w:r w:rsidRPr="001A3040">
        <w:rPr>
          <w:rFonts w:ascii="Century Gothic" w:hAnsi="Century Gothic"/>
          <w:sz w:val="20"/>
          <w:szCs w:val="20"/>
        </w:rPr>
        <w:t>pdf</w:t>
      </w:r>
      <w:proofErr w:type="spellEnd"/>
      <w:r w:rsidRPr="001A3040">
        <w:rPr>
          <w:rFonts w:ascii="Century Gothic" w:hAnsi="Century Gothic"/>
          <w:sz w:val="20"/>
          <w:szCs w:val="20"/>
        </w:rPr>
        <w:t>/LPlan.pdf</w:t>
      </w:r>
    </w:p>
    <w:p w14:paraId="2860162A"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Ley de Planeación del Estado de México y Municipios (22 de junio de 2023). Recuperado de: https://legislacion.edomex.gob.mx/sites/legislacion.edomex. gob.mx/</w:t>
      </w:r>
      <w:proofErr w:type="spellStart"/>
      <w:r w:rsidRPr="001A3040">
        <w:rPr>
          <w:rFonts w:ascii="Century Gothic" w:hAnsi="Century Gothic"/>
          <w:sz w:val="20"/>
          <w:szCs w:val="20"/>
        </w:rPr>
        <w:t>fles</w:t>
      </w:r>
      <w:proofErr w:type="spellEnd"/>
      <w:r w:rsidRPr="001A3040">
        <w:rPr>
          <w:rFonts w:ascii="Century Gothic" w:hAnsi="Century Gothic"/>
          <w:sz w:val="20"/>
          <w:szCs w:val="20"/>
        </w:rPr>
        <w:t>/</w:t>
      </w:r>
      <w:proofErr w:type="spellStart"/>
      <w:r w:rsidRPr="001A3040">
        <w:rPr>
          <w:rFonts w:ascii="Century Gothic" w:hAnsi="Century Gothic"/>
          <w:sz w:val="20"/>
          <w:szCs w:val="20"/>
        </w:rPr>
        <w:t>fles</w:t>
      </w:r>
      <w:proofErr w:type="spellEnd"/>
      <w:r w:rsidRPr="001A3040">
        <w:rPr>
          <w:rFonts w:ascii="Century Gothic" w:hAnsi="Century Gothic"/>
          <w:sz w:val="20"/>
          <w:szCs w:val="20"/>
        </w:rPr>
        <w:t>/</w:t>
      </w:r>
      <w:proofErr w:type="spellStart"/>
      <w:r w:rsidRPr="001A3040">
        <w:rPr>
          <w:rFonts w:ascii="Century Gothic" w:hAnsi="Century Gothic"/>
          <w:sz w:val="20"/>
          <w:szCs w:val="20"/>
        </w:rPr>
        <w:t>pdf</w:t>
      </w:r>
      <w:proofErr w:type="spellEnd"/>
      <w:r w:rsidRPr="001A3040">
        <w:rPr>
          <w:rFonts w:ascii="Century Gothic" w:hAnsi="Century Gothic"/>
          <w:sz w:val="20"/>
          <w:szCs w:val="20"/>
        </w:rPr>
        <w:t>/ley/</w:t>
      </w:r>
      <w:proofErr w:type="spellStart"/>
      <w:r w:rsidRPr="001A3040">
        <w:rPr>
          <w:rFonts w:ascii="Century Gothic" w:hAnsi="Century Gothic"/>
          <w:sz w:val="20"/>
          <w:szCs w:val="20"/>
        </w:rPr>
        <w:t>vig</w:t>
      </w:r>
      <w:proofErr w:type="spellEnd"/>
      <w:r w:rsidRPr="001A3040">
        <w:rPr>
          <w:rFonts w:ascii="Century Gothic" w:hAnsi="Century Gothic"/>
          <w:sz w:val="20"/>
          <w:szCs w:val="20"/>
        </w:rPr>
        <w:t>/leyvig087.pdf Naciones Unidas (UN) (2015). Asamblea General. 70/1. Transformar nuestro mundo.</w:t>
      </w:r>
    </w:p>
    <w:p w14:paraId="093F0521"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 xml:space="preserve">Oficina de la Presidencia de la República (OPR), Instituto Nacional para el Federalismo y Desarrollo Municipal, </w:t>
      </w:r>
      <w:proofErr w:type="spellStart"/>
      <w:r w:rsidRPr="001A3040">
        <w:rPr>
          <w:rFonts w:ascii="Century Gothic" w:hAnsi="Century Gothic"/>
          <w:sz w:val="20"/>
          <w:szCs w:val="20"/>
        </w:rPr>
        <w:t>et.al</w:t>
      </w:r>
      <w:proofErr w:type="spellEnd"/>
      <w:r w:rsidRPr="001A3040">
        <w:rPr>
          <w:rFonts w:ascii="Century Gothic" w:hAnsi="Century Gothic"/>
          <w:sz w:val="20"/>
          <w:szCs w:val="20"/>
        </w:rPr>
        <w:t xml:space="preserve">. (2020). La Agenda 2030 y el desarrollo municipal sostenible Guía para la elaboración de Planes Municipales de Desarrollo con el enfoque de la Agenda 2030. Obtenido de: </w:t>
      </w:r>
      <w:hyperlink r:id="rId78" w:history="1">
        <w:r w:rsidRPr="001A3040">
          <w:rPr>
            <w:rStyle w:val="Hipervnculo"/>
            <w:rFonts w:ascii="Century Gothic" w:hAnsi="Century Gothic"/>
            <w:sz w:val="20"/>
            <w:szCs w:val="20"/>
          </w:rPr>
          <w:t>https://www.gob.mx/agenda2030/documentos/guia-para-la elaboracion-de-planes-municipales-de-desarrollo-con-el-enfoque-de-la-agenda-2030</w:t>
        </w:r>
      </w:hyperlink>
    </w:p>
    <w:p w14:paraId="51B47B7C"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Programa de las Naciones Unidas para el Desarrollo (PNUD) (2019). El Enfoque de la Agenda 2030 en planes y programas públicos: una propuesta metodológica de implementación centrada en la Gestión por Resultados para el Desarrollo. Ciudad de México, México: PNUD. Disponible en: https:// www.transparenciapresupuestaria.gob.mx/work/models/PTP/Capacitacion/ enfoques transversales/PNUD_1.pdf</w:t>
      </w:r>
    </w:p>
    <w:p w14:paraId="13F21C3E"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Programa de las Naciones Unidas para el Desarrollo (PNUD) (2002). Manual de planificación, seguimiento y evaluación de los resultados de desarrollo. New York, Estados Unidas: PNUD. Disponible en: https://procurement-notices. undp.org/</w:t>
      </w:r>
      <w:proofErr w:type="spellStart"/>
      <w:r w:rsidRPr="001A3040">
        <w:rPr>
          <w:rFonts w:ascii="Century Gothic" w:hAnsi="Century Gothic"/>
          <w:sz w:val="20"/>
          <w:szCs w:val="20"/>
        </w:rPr>
        <w:t>view_file.cfm?doc_id</w:t>
      </w:r>
      <w:proofErr w:type="spellEnd"/>
      <w:r w:rsidRPr="001A3040">
        <w:rPr>
          <w:rFonts w:ascii="Century Gothic" w:hAnsi="Century Gothic"/>
          <w:sz w:val="20"/>
          <w:szCs w:val="20"/>
        </w:rPr>
        <w:t>=134774</w:t>
      </w:r>
    </w:p>
    <w:p w14:paraId="4A3221FB"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sz w:val="20"/>
          <w:szCs w:val="20"/>
        </w:rPr>
        <w:t>Reglamento de la Ley de Planeación del Estado de México y Municipios (04 de agosto de 2017). Recuperado de: https://legislacion.edomex.gob.mx/sites/ legislacion.edomex.gob.mx/</w:t>
      </w:r>
      <w:proofErr w:type="spellStart"/>
      <w:r w:rsidRPr="001A3040">
        <w:rPr>
          <w:rFonts w:ascii="Century Gothic" w:hAnsi="Century Gothic"/>
          <w:sz w:val="20"/>
          <w:szCs w:val="20"/>
        </w:rPr>
        <w:t>fles</w:t>
      </w:r>
      <w:proofErr w:type="spellEnd"/>
      <w:r w:rsidRPr="001A3040">
        <w:rPr>
          <w:rFonts w:ascii="Century Gothic" w:hAnsi="Century Gothic"/>
          <w:sz w:val="20"/>
          <w:szCs w:val="20"/>
        </w:rPr>
        <w:t>/</w:t>
      </w:r>
      <w:proofErr w:type="spellStart"/>
      <w:r w:rsidRPr="001A3040">
        <w:rPr>
          <w:rFonts w:ascii="Century Gothic" w:hAnsi="Century Gothic"/>
          <w:sz w:val="20"/>
          <w:szCs w:val="20"/>
        </w:rPr>
        <w:t>fles</w:t>
      </w:r>
      <w:proofErr w:type="spellEnd"/>
      <w:r w:rsidRPr="001A3040">
        <w:rPr>
          <w:rFonts w:ascii="Century Gothic" w:hAnsi="Century Gothic"/>
          <w:sz w:val="20"/>
          <w:szCs w:val="20"/>
        </w:rPr>
        <w:t>/rglvig044.pdf</w:t>
      </w:r>
    </w:p>
    <w:p w14:paraId="004E8184"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color w:val="000000" w:themeColor="text1"/>
          <w:sz w:val="20"/>
          <w:szCs w:val="20"/>
        </w:rPr>
        <w:t>Ley Orgánica Municipal del Estado de México. Toluca, Estado de México: Periódico Oficial.</w:t>
      </w:r>
    </w:p>
    <w:p w14:paraId="5ECB4492" w14:textId="77777777" w:rsidR="001A3040" w:rsidRPr="001A3040" w:rsidRDefault="001A3040" w:rsidP="00820DCC">
      <w:pPr>
        <w:pStyle w:val="Prrafodelista"/>
        <w:widowControl w:val="0"/>
        <w:numPr>
          <w:ilvl w:val="0"/>
          <w:numId w:val="84"/>
        </w:numPr>
        <w:autoSpaceDE w:val="0"/>
        <w:autoSpaceDN w:val="0"/>
        <w:spacing w:after="0" w:line="240" w:lineRule="auto"/>
        <w:jc w:val="both"/>
        <w:rPr>
          <w:rFonts w:ascii="Century Gothic" w:hAnsi="Century Gothic"/>
          <w:color w:val="000000" w:themeColor="text1"/>
          <w:sz w:val="20"/>
          <w:szCs w:val="20"/>
        </w:rPr>
      </w:pPr>
      <w:r w:rsidRPr="001A3040">
        <w:rPr>
          <w:rFonts w:ascii="Century Gothic" w:hAnsi="Century Gothic"/>
          <w:color w:val="000000" w:themeColor="text1"/>
          <w:sz w:val="20"/>
          <w:szCs w:val="20"/>
        </w:rPr>
        <w:t>Manual para la Planeación, Programación y Presupuesto de Egresos Municipales.</w:t>
      </w:r>
    </w:p>
    <w:p w14:paraId="1EFBD76B" w14:textId="3EBEF0BB" w:rsidR="001A3040" w:rsidRPr="0039382F" w:rsidRDefault="001A3040" w:rsidP="0039382F">
      <w:pPr>
        <w:spacing w:after="160" w:line="360" w:lineRule="auto"/>
        <w:jc w:val="both"/>
        <w:rPr>
          <w:rFonts w:ascii="Century Gothic" w:hAnsi="Century Gothic"/>
          <w:b/>
          <w:bCs/>
          <w:color w:val="025850"/>
          <w:sz w:val="22"/>
          <w:szCs w:val="22"/>
        </w:rPr>
      </w:pPr>
    </w:p>
    <w:sectPr w:rsidR="001A3040" w:rsidRPr="0039382F" w:rsidSect="001A3040">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4F0B0A" w14:textId="77777777" w:rsidR="00D9792F" w:rsidRDefault="00D9792F" w:rsidP="00647A25">
      <w:pPr>
        <w:spacing w:after="0" w:line="240" w:lineRule="auto"/>
      </w:pPr>
      <w:r>
        <w:separator/>
      </w:r>
    </w:p>
  </w:endnote>
  <w:endnote w:type="continuationSeparator" w:id="0">
    <w:p w14:paraId="47A6238E" w14:textId="77777777" w:rsidR="00D9792F" w:rsidRDefault="00D9792F" w:rsidP="0064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C72C4" w14:textId="77777777" w:rsidR="00D9792F" w:rsidRDefault="00D9792F" w:rsidP="00647A25">
      <w:pPr>
        <w:spacing w:after="0" w:line="240" w:lineRule="auto"/>
      </w:pPr>
      <w:r>
        <w:separator/>
      </w:r>
    </w:p>
  </w:footnote>
  <w:footnote w:type="continuationSeparator" w:id="0">
    <w:p w14:paraId="72A3D50F" w14:textId="77777777" w:rsidR="00D9792F" w:rsidRDefault="00D9792F" w:rsidP="00647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BF270" w14:textId="6A9D4DA3" w:rsidR="00647A25" w:rsidRDefault="004840EA">
    <w:pPr>
      <w:pStyle w:val="Encabezado"/>
    </w:pPr>
    <w:r>
      <w:rPr>
        <w:noProof/>
      </w:rPr>
      <w:drawing>
        <wp:anchor distT="0" distB="0" distL="114300" distR="114300" simplePos="0" relativeHeight="251659264" behindDoc="1" locked="0" layoutInCell="1" allowOverlap="1" wp14:anchorId="03102C41" wp14:editId="2FB84A78">
          <wp:simplePos x="0" y="0"/>
          <wp:positionH relativeFrom="margin">
            <wp:align>center</wp:align>
          </wp:positionH>
          <wp:positionV relativeFrom="margin">
            <wp:align>center</wp:align>
          </wp:positionV>
          <wp:extent cx="10124501" cy="7820230"/>
          <wp:effectExtent l="0" t="0" r="0" b="9525"/>
          <wp:wrapNone/>
          <wp:docPr id="2821517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24501" cy="7820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F7606"/>
    <w:multiLevelType w:val="hybridMultilevel"/>
    <w:tmpl w:val="1FE28F8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7C25EE"/>
    <w:multiLevelType w:val="hybridMultilevel"/>
    <w:tmpl w:val="90FA38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985882"/>
    <w:multiLevelType w:val="hybridMultilevel"/>
    <w:tmpl w:val="44BC65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87849"/>
    <w:multiLevelType w:val="multilevel"/>
    <w:tmpl w:val="C8A8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562A75"/>
    <w:multiLevelType w:val="hybridMultilevel"/>
    <w:tmpl w:val="ABE4C6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79E5C4E"/>
    <w:multiLevelType w:val="hybridMultilevel"/>
    <w:tmpl w:val="B8B0B0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B23DC4"/>
    <w:multiLevelType w:val="hybridMultilevel"/>
    <w:tmpl w:val="6C521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8B81BC4"/>
    <w:multiLevelType w:val="hybridMultilevel"/>
    <w:tmpl w:val="EA1E0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969251B"/>
    <w:multiLevelType w:val="multilevel"/>
    <w:tmpl w:val="618C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827BC3"/>
    <w:multiLevelType w:val="hybridMultilevel"/>
    <w:tmpl w:val="6B3E8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A343132"/>
    <w:multiLevelType w:val="hybridMultilevel"/>
    <w:tmpl w:val="FC423030"/>
    <w:lvl w:ilvl="0" w:tplc="6F7205EA">
      <w:start w:val="1"/>
      <w:numFmt w:val="upperRoman"/>
      <w:lvlText w:val="%1."/>
      <w:lvlJc w:val="left"/>
      <w:pPr>
        <w:ind w:left="720" w:hanging="360"/>
      </w:pPr>
      <w:rPr>
        <w:rFonts w:ascii="Verdana" w:eastAsia="Verdana" w:hAnsi="Verdana" w:cs="Verdana" w:hint="default"/>
        <w:b w:val="0"/>
        <w:bCs w:val="0"/>
        <w:i w:val="0"/>
        <w:iCs w:val="0"/>
        <w:spacing w:val="0"/>
        <w:w w:val="53"/>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B1E21EB"/>
    <w:multiLevelType w:val="multilevel"/>
    <w:tmpl w:val="BD68B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212A0D"/>
    <w:multiLevelType w:val="multilevel"/>
    <w:tmpl w:val="E8767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D80BEC"/>
    <w:multiLevelType w:val="hybridMultilevel"/>
    <w:tmpl w:val="CC22B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CE26B5B"/>
    <w:multiLevelType w:val="multilevel"/>
    <w:tmpl w:val="89D4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A307FC"/>
    <w:multiLevelType w:val="hybridMultilevel"/>
    <w:tmpl w:val="81681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FC41808"/>
    <w:multiLevelType w:val="hybridMultilevel"/>
    <w:tmpl w:val="E84A21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11C027A6"/>
    <w:multiLevelType w:val="hybridMultilevel"/>
    <w:tmpl w:val="9F3C2D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2B72031"/>
    <w:multiLevelType w:val="multilevel"/>
    <w:tmpl w:val="3F283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3FE3233"/>
    <w:multiLevelType w:val="hybridMultilevel"/>
    <w:tmpl w:val="2E1EA6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448420C"/>
    <w:multiLevelType w:val="hybridMultilevel"/>
    <w:tmpl w:val="62A84E56"/>
    <w:lvl w:ilvl="0" w:tplc="243803BA">
      <w:start w:val="1"/>
      <w:numFmt w:val="upperLetter"/>
      <w:lvlText w:val="%1)"/>
      <w:lvlJc w:val="left"/>
      <w:pPr>
        <w:ind w:left="765" w:hanging="4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47E6178"/>
    <w:multiLevelType w:val="hybridMultilevel"/>
    <w:tmpl w:val="06C4C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59411B7"/>
    <w:multiLevelType w:val="hybridMultilevel"/>
    <w:tmpl w:val="99329CC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6F61099"/>
    <w:multiLevelType w:val="hybridMultilevel"/>
    <w:tmpl w:val="D92635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7170DE1"/>
    <w:multiLevelType w:val="hybridMultilevel"/>
    <w:tmpl w:val="74F42240"/>
    <w:lvl w:ilvl="0" w:tplc="080A0001">
      <w:start w:val="1"/>
      <w:numFmt w:val="bullet"/>
      <w:lvlText w:val=""/>
      <w:lvlJc w:val="left"/>
      <w:pPr>
        <w:ind w:left="720" w:hanging="360"/>
      </w:pPr>
      <w:rPr>
        <w:rFonts w:ascii="Symbol" w:hAnsi="Symbol" w:hint="default"/>
      </w:rPr>
    </w:lvl>
    <w:lvl w:ilvl="1" w:tplc="5A6445B2">
      <w:numFmt w:val="bullet"/>
      <w:lvlText w:val="•"/>
      <w:lvlJc w:val="left"/>
      <w:pPr>
        <w:ind w:left="1785" w:hanging="705"/>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8FA775F"/>
    <w:multiLevelType w:val="hybridMultilevel"/>
    <w:tmpl w:val="7B5877B6"/>
    <w:lvl w:ilvl="0" w:tplc="FFFFFFFF">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1BCF1A25"/>
    <w:multiLevelType w:val="hybridMultilevel"/>
    <w:tmpl w:val="75F839E8"/>
    <w:lvl w:ilvl="0" w:tplc="6F7205EA">
      <w:start w:val="1"/>
      <w:numFmt w:val="upperRoman"/>
      <w:lvlText w:val="%1."/>
      <w:lvlJc w:val="left"/>
      <w:pPr>
        <w:ind w:left="720" w:hanging="360"/>
      </w:pPr>
      <w:rPr>
        <w:rFonts w:ascii="Verdana" w:eastAsia="Verdana" w:hAnsi="Verdana" w:cs="Verdana" w:hint="default"/>
        <w:b w:val="0"/>
        <w:bCs w:val="0"/>
        <w:i w:val="0"/>
        <w:iCs w:val="0"/>
        <w:spacing w:val="0"/>
        <w:w w:val="53"/>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C60457B"/>
    <w:multiLevelType w:val="hybridMultilevel"/>
    <w:tmpl w:val="A4E207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CD30A19"/>
    <w:multiLevelType w:val="hybridMultilevel"/>
    <w:tmpl w:val="39B40380"/>
    <w:lvl w:ilvl="0" w:tplc="C5AC0808">
      <w:start w:val="1"/>
      <w:numFmt w:val="bullet"/>
      <w:lvlText w:val=""/>
      <w:lvlJc w:val="left"/>
      <w:pPr>
        <w:ind w:left="720" w:hanging="360"/>
      </w:pPr>
      <w:rPr>
        <w:rFonts w:ascii="Symbol" w:hAnsi="Symbol" w:hint="default"/>
        <w:color w:val="4EA72E" w:themeColor="accent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1D2B3EF4"/>
    <w:multiLevelType w:val="hybridMultilevel"/>
    <w:tmpl w:val="BBDC6DE0"/>
    <w:lvl w:ilvl="0" w:tplc="6F7205EA">
      <w:start w:val="1"/>
      <w:numFmt w:val="upperRoman"/>
      <w:lvlText w:val="%1."/>
      <w:lvlJc w:val="left"/>
      <w:pPr>
        <w:ind w:left="720" w:hanging="360"/>
      </w:pPr>
      <w:rPr>
        <w:rFonts w:ascii="Verdana" w:eastAsia="Verdana" w:hAnsi="Verdana" w:cs="Verdana" w:hint="default"/>
        <w:b w:val="0"/>
        <w:bCs w:val="0"/>
        <w:i w:val="0"/>
        <w:iCs w:val="0"/>
        <w:spacing w:val="0"/>
        <w:w w:val="53"/>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F262AE5"/>
    <w:multiLevelType w:val="multilevel"/>
    <w:tmpl w:val="91D061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23C1EA7"/>
    <w:multiLevelType w:val="hybridMultilevel"/>
    <w:tmpl w:val="369088B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34F3D08"/>
    <w:multiLevelType w:val="multilevel"/>
    <w:tmpl w:val="1578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3A82A71"/>
    <w:multiLevelType w:val="hybridMultilevel"/>
    <w:tmpl w:val="D0CEF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23BC0F3A"/>
    <w:multiLevelType w:val="hybridMultilevel"/>
    <w:tmpl w:val="106A1E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23F52429"/>
    <w:multiLevelType w:val="multilevel"/>
    <w:tmpl w:val="03A41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6066973"/>
    <w:multiLevelType w:val="multilevel"/>
    <w:tmpl w:val="38D2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342B50"/>
    <w:multiLevelType w:val="multilevel"/>
    <w:tmpl w:val="B66E46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C963B9E"/>
    <w:multiLevelType w:val="multilevel"/>
    <w:tmpl w:val="BB682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C980B58"/>
    <w:multiLevelType w:val="hybridMultilevel"/>
    <w:tmpl w:val="C1D4573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2CF142A7"/>
    <w:multiLevelType w:val="multilevel"/>
    <w:tmpl w:val="80F4AA4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2179E3"/>
    <w:multiLevelType w:val="multilevel"/>
    <w:tmpl w:val="79DA2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8D33DA"/>
    <w:multiLevelType w:val="hybridMultilevel"/>
    <w:tmpl w:val="C8061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1F36BC0"/>
    <w:multiLevelType w:val="hybridMultilevel"/>
    <w:tmpl w:val="C2D857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29665F7"/>
    <w:multiLevelType w:val="hybridMultilevel"/>
    <w:tmpl w:val="1994C3E6"/>
    <w:lvl w:ilvl="0" w:tplc="6F7205EA">
      <w:start w:val="1"/>
      <w:numFmt w:val="upperRoman"/>
      <w:lvlText w:val="%1."/>
      <w:lvlJc w:val="left"/>
      <w:pPr>
        <w:ind w:left="720" w:hanging="360"/>
      </w:pPr>
      <w:rPr>
        <w:rFonts w:ascii="Verdana" w:eastAsia="Verdana" w:hAnsi="Verdana" w:cs="Verdana" w:hint="default"/>
        <w:b w:val="0"/>
        <w:bCs w:val="0"/>
        <w:i w:val="0"/>
        <w:iCs w:val="0"/>
        <w:spacing w:val="0"/>
        <w:w w:val="53"/>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4334493"/>
    <w:multiLevelType w:val="multilevel"/>
    <w:tmpl w:val="B9F8C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63E1894"/>
    <w:multiLevelType w:val="multilevel"/>
    <w:tmpl w:val="3B8E3A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7E63E09"/>
    <w:multiLevelType w:val="hybridMultilevel"/>
    <w:tmpl w:val="479A6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930224F"/>
    <w:multiLevelType w:val="hybridMultilevel"/>
    <w:tmpl w:val="F3603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A964A19"/>
    <w:multiLevelType w:val="hybridMultilevel"/>
    <w:tmpl w:val="BF7203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3A9F255F"/>
    <w:multiLevelType w:val="multilevel"/>
    <w:tmpl w:val="B9F8CD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AD66DD4"/>
    <w:multiLevelType w:val="hybridMultilevel"/>
    <w:tmpl w:val="6B2AB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3B8D52FD"/>
    <w:multiLevelType w:val="hybridMultilevel"/>
    <w:tmpl w:val="20165FE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3BC24B71"/>
    <w:multiLevelType w:val="multilevel"/>
    <w:tmpl w:val="3CF6193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FBD04F8"/>
    <w:multiLevelType w:val="multilevel"/>
    <w:tmpl w:val="F782CF8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0646CD4"/>
    <w:multiLevelType w:val="hybridMultilevel"/>
    <w:tmpl w:val="8938BD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408862DA"/>
    <w:multiLevelType w:val="hybridMultilevel"/>
    <w:tmpl w:val="0B8EC8B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40B22012"/>
    <w:multiLevelType w:val="multilevel"/>
    <w:tmpl w:val="2B10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1325F1B"/>
    <w:multiLevelType w:val="hybridMultilevel"/>
    <w:tmpl w:val="AFCC91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41B624D1"/>
    <w:multiLevelType w:val="hybridMultilevel"/>
    <w:tmpl w:val="5B6A4C4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425D1935"/>
    <w:multiLevelType w:val="multilevel"/>
    <w:tmpl w:val="7D8CEE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3347445"/>
    <w:multiLevelType w:val="hybridMultilevel"/>
    <w:tmpl w:val="8574516E"/>
    <w:lvl w:ilvl="0" w:tplc="6F7205EA">
      <w:start w:val="1"/>
      <w:numFmt w:val="upperRoman"/>
      <w:lvlText w:val="%1."/>
      <w:lvlJc w:val="left"/>
      <w:pPr>
        <w:ind w:left="720" w:hanging="360"/>
      </w:pPr>
      <w:rPr>
        <w:rFonts w:ascii="Verdana" w:eastAsia="Verdana" w:hAnsi="Verdana" w:cs="Verdana" w:hint="default"/>
        <w:b w:val="0"/>
        <w:bCs w:val="0"/>
        <w:i w:val="0"/>
        <w:iCs w:val="0"/>
        <w:spacing w:val="0"/>
        <w:w w:val="53"/>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39166F6"/>
    <w:multiLevelType w:val="hybridMultilevel"/>
    <w:tmpl w:val="922AE1B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3" w15:restartNumberingAfterBreak="0">
    <w:nsid w:val="459E7A57"/>
    <w:multiLevelType w:val="hybridMultilevel"/>
    <w:tmpl w:val="611615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460C00D9"/>
    <w:multiLevelType w:val="hybridMultilevel"/>
    <w:tmpl w:val="311A38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46393246"/>
    <w:multiLevelType w:val="multilevel"/>
    <w:tmpl w:val="C338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76C30D7"/>
    <w:multiLevelType w:val="multilevel"/>
    <w:tmpl w:val="A41417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7E1555D"/>
    <w:multiLevelType w:val="hybridMultilevel"/>
    <w:tmpl w:val="1F3A5B7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491144D3"/>
    <w:multiLevelType w:val="multilevel"/>
    <w:tmpl w:val="19CCE6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B030116"/>
    <w:multiLevelType w:val="hybridMultilevel"/>
    <w:tmpl w:val="ADC62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4BF96209"/>
    <w:multiLevelType w:val="multilevel"/>
    <w:tmpl w:val="14369AA0"/>
    <w:lvl w:ilvl="0">
      <w:start w:val="1"/>
      <w:numFmt w:val="bullet"/>
      <w:lvlText w:val=""/>
      <w:lvlJc w:val="left"/>
      <w:pPr>
        <w:tabs>
          <w:tab w:val="num" w:pos="720"/>
        </w:tabs>
        <w:ind w:left="720" w:hanging="360"/>
      </w:pPr>
      <w:rPr>
        <w:rFonts w:ascii="Symbol" w:hAnsi="Symbol" w:hint="default"/>
        <w:sz w:val="20"/>
      </w:rPr>
    </w:lvl>
    <w:lvl w:ilvl="1">
      <w:start w:val="2"/>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C5350B4"/>
    <w:multiLevelType w:val="multilevel"/>
    <w:tmpl w:val="8AEE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CD25E1A"/>
    <w:multiLevelType w:val="hybridMultilevel"/>
    <w:tmpl w:val="1C6CC6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E780A36"/>
    <w:multiLevelType w:val="multilevel"/>
    <w:tmpl w:val="F1EC7A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F856240"/>
    <w:multiLevelType w:val="hybridMultilevel"/>
    <w:tmpl w:val="10C015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0714216"/>
    <w:multiLevelType w:val="hybridMultilevel"/>
    <w:tmpl w:val="2A00B0A6"/>
    <w:lvl w:ilvl="0" w:tplc="DDC0BE36">
      <w:start w:val="1"/>
      <w:numFmt w:val="upperRoman"/>
      <w:lvlText w:val="%1."/>
      <w:lvlJc w:val="left"/>
      <w:pPr>
        <w:ind w:left="720" w:hanging="360"/>
      </w:pPr>
      <w:rPr>
        <w:rFonts w:ascii="Verdana" w:eastAsia="Verdana" w:hAnsi="Verdana" w:cs="Verdana" w:hint="default"/>
        <w:b w:val="0"/>
        <w:bCs w:val="0"/>
        <w:i w:val="0"/>
        <w:iCs w:val="0"/>
        <w:spacing w:val="0"/>
        <w:w w:val="64"/>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514C0FBE"/>
    <w:multiLevelType w:val="hybridMultilevel"/>
    <w:tmpl w:val="1E528124"/>
    <w:lvl w:ilvl="0" w:tplc="DDC0BE36">
      <w:start w:val="1"/>
      <w:numFmt w:val="upperRoman"/>
      <w:lvlText w:val="%1."/>
      <w:lvlJc w:val="left"/>
      <w:pPr>
        <w:ind w:left="720" w:hanging="360"/>
      </w:pPr>
      <w:rPr>
        <w:rFonts w:ascii="Verdana" w:eastAsia="Verdana" w:hAnsi="Verdana" w:cs="Verdana" w:hint="default"/>
        <w:b w:val="0"/>
        <w:bCs w:val="0"/>
        <w:i w:val="0"/>
        <w:iCs w:val="0"/>
        <w:spacing w:val="0"/>
        <w:w w:val="64"/>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52BC4A81"/>
    <w:multiLevelType w:val="hybridMultilevel"/>
    <w:tmpl w:val="02608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37D1F23"/>
    <w:multiLevelType w:val="hybridMultilevel"/>
    <w:tmpl w:val="6D4A2A7C"/>
    <w:lvl w:ilvl="0" w:tplc="DDC0BE36">
      <w:start w:val="1"/>
      <w:numFmt w:val="upperRoman"/>
      <w:lvlText w:val="%1."/>
      <w:lvlJc w:val="left"/>
      <w:pPr>
        <w:ind w:left="720" w:hanging="360"/>
      </w:pPr>
      <w:rPr>
        <w:rFonts w:ascii="Verdana" w:eastAsia="Verdana" w:hAnsi="Verdana" w:cs="Verdana" w:hint="default"/>
        <w:b w:val="0"/>
        <w:bCs w:val="0"/>
        <w:i w:val="0"/>
        <w:iCs w:val="0"/>
        <w:spacing w:val="0"/>
        <w:w w:val="64"/>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384281F"/>
    <w:multiLevelType w:val="multilevel"/>
    <w:tmpl w:val="C88E8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6A96BB6"/>
    <w:multiLevelType w:val="hybridMultilevel"/>
    <w:tmpl w:val="FD0A05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56C80B92"/>
    <w:multiLevelType w:val="hybridMultilevel"/>
    <w:tmpl w:val="40F8F76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2" w15:restartNumberingAfterBreak="0">
    <w:nsid w:val="57A47571"/>
    <w:multiLevelType w:val="hybridMultilevel"/>
    <w:tmpl w:val="8CC6FB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57F520F7"/>
    <w:multiLevelType w:val="hybridMultilevel"/>
    <w:tmpl w:val="CCB4C4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59556696"/>
    <w:multiLevelType w:val="hybridMultilevel"/>
    <w:tmpl w:val="60B47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C600DEB"/>
    <w:multiLevelType w:val="multilevel"/>
    <w:tmpl w:val="35F8B1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D9A2BA7"/>
    <w:multiLevelType w:val="hybridMultilevel"/>
    <w:tmpl w:val="DC485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DD877E9"/>
    <w:multiLevelType w:val="hybridMultilevel"/>
    <w:tmpl w:val="0DB087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DE72D43"/>
    <w:multiLevelType w:val="hybridMultilevel"/>
    <w:tmpl w:val="523AF4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F9C3332"/>
    <w:multiLevelType w:val="hybridMultilevel"/>
    <w:tmpl w:val="858CE2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60137748"/>
    <w:multiLevelType w:val="hybridMultilevel"/>
    <w:tmpl w:val="A7481670"/>
    <w:lvl w:ilvl="0" w:tplc="65CEF9C6">
      <w:numFmt w:val="bullet"/>
      <w:lvlText w:val=""/>
      <w:lvlJc w:val="left"/>
      <w:pPr>
        <w:ind w:left="720" w:hanging="360"/>
      </w:pPr>
      <w:rPr>
        <w:rFonts w:ascii="Symbol" w:eastAsia="Verdana" w:hAnsi="Symbol" w:cs="Verdana" w:hint="default"/>
        <w:color w:val="00A4AC"/>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62603B56"/>
    <w:multiLevelType w:val="hybridMultilevel"/>
    <w:tmpl w:val="2E1EA6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648D3765"/>
    <w:multiLevelType w:val="hybridMultilevel"/>
    <w:tmpl w:val="2E1EA6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66C02679"/>
    <w:multiLevelType w:val="hybridMultilevel"/>
    <w:tmpl w:val="35E4BF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6788106B"/>
    <w:multiLevelType w:val="multilevel"/>
    <w:tmpl w:val="0EAE6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7A2071F"/>
    <w:multiLevelType w:val="multilevel"/>
    <w:tmpl w:val="ACACC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6E1F58DB"/>
    <w:multiLevelType w:val="multilevel"/>
    <w:tmpl w:val="36D86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EC70A4F"/>
    <w:multiLevelType w:val="multilevel"/>
    <w:tmpl w:val="3B94EE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EDB1DAD"/>
    <w:multiLevelType w:val="hybridMultilevel"/>
    <w:tmpl w:val="3D4CF9E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9" w15:restartNumberingAfterBreak="0">
    <w:nsid w:val="709E224B"/>
    <w:multiLevelType w:val="hybridMultilevel"/>
    <w:tmpl w:val="A2B8E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15:restartNumberingAfterBreak="0">
    <w:nsid w:val="722246CB"/>
    <w:multiLevelType w:val="hybridMultilevel"/>
    <w:tmpl w:val="0D3E5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15:restartNumberingAfterBreak="0">
    <w:nsid w:val="72ED4B7F"/>
    <w:multiLevelType w:val="hybridMultilevel"/>
    <w:tmpl w:val="FB569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15:restartNumberingAfterBreak="0">
    <w:nsid w:val="75B57B4B"/>
    <w:multiLevelType w:val="hybridMultilevel"/>
    <w:tmpl w:val="7AA20EB2"/>
    <w:lvl w:ilvl="0" w:tplc="19925530">
      <w:start w:val="1"/>
      <w:numFmt w:val="decimal"/>
      <w:lvlText w:val="%1."/>
      <w:lvlJc w:val="left"/>
      <w:pPr>
        <w:ind w:left="720" w:hanging="360"/>
      </w:pPr>
      <w:rPr>
        <w:rFonts w:ascii="Verdana" w:eastAsia="Verdana" w:hAnsi="Verdana" w:cs="Verdana" w:hint="default"/>
        <w:b w:val="0"/>
        <w:bCs w:val="0"/>
        <w:i w:val="0"/>
        <w:iCs w:val="0"/>
        <w:spacing w:val="0"/>
        <w:w w:val="72"/>
        <w:sz w:val="22"/>
        <w:szCs w:val="22"/>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764050D5"/>
    <w:multiLevelType w:val="multilevel"/>
    <w:tmpl w:val="660C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8F92E76"/>
    <w:multiLevelType w:val="multilevel"/>
    <w:tmpl w:val="2BACD1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7DA158B7"/>
    <w:multiLevelType w:val="hybridMultilevel"/>
    <w:tmpl w:val="4D229C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6" w15:restartNumberingAfterBreak="0">
    <w:nsid w:val="7E1F44BA"/>
    <w:multiLevelType w:val="hybridMultilevel"/>
    <w:tmpl w:val="B9F2EE44"/>
    <w:lvl w:ilvl="0" w:tplc="DDC0BE36">
      <w:start w:val="1"/>
      <w:numFmt w:val="upperRoman"/>
      <w:lvlText w:val="%1."/>
      <w:lvlJc w:val="left"/>
      <w:pPr>
        <w:ind w:left="720" w:hanging="360"/>
      </w:pPr>
      <w:rPr>
        <w:rFonts w:ascii="Verdana" w:eastAsia="Verdana" w:hAnsi="Verdana" w:cs="Verdana" w:hint="default"/>
        <w:b w:val="0"/>
        <w:bCs w:val="0"/>
        <w:i w:val="0"/>
        <w:iCs w:val="0"/>
        <w:spacing w:val="0"/>
        <w:w w:val="64"/>
        <w:sz w:val="24"/>
        <w:szCs w:val="24"/>
        <w:lang w:val="es-ES" w:eastAsia="en-US" w:bidi="ar-S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7EE43F36"/>
    <w:multiLevelType w:val="hybridMultilevel"/>
    <w:tmpl w:val="70EA26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8" w15:restartNumberingAfterBreak="0">
    <w:nsid w:val="7EF842B8"/>
    <w:multiLevelType w:val="hybridMultilevel"/>
    <w:tmpl w:val="84A2C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2790608">
    <w:abstractNumId w:val="57"/>
  </w:num>
  <w:num w:numId="2" w16cid:durableId="784008472">
    <w:abstractNumId w:val="61"/>
  </w:num>
  <w:num w:numId="3" w16cid:durableId="1868370249">
    <w:abstractNumId w:val="106"/>
  </w:num>
  <w:num w:numId="4" w16cid:durableId="2109693628">
    <w:abstractNumId w:val="29"/>
  </w:num>
  <w:num w:numId="5" w16cid:durableId="1068727878">
    <w:abstractNumId w:val="78"/>
  </w:num>
  <w:num w:numId="6" w16cid:durableId="1402603333">
    <w:abstractNumId w:val="26"/>
  </w:num>
  <w:num w:numId="7" w16cid:durableId="1552225140">
    <w:abstractNumId w:val="44"/>
  </w:num>
  <w:num w:numId="8" w16cid:durableId="732780990">
    <w:abstractNumId w:val="76"/>
  </w:num>
  <w:num w:numId="9" w16cid:durableId="1957827292">
    <w:abstractNumId w:val="10"/>
  </w:num>
  <w:num w:numId="10" w16cid:durableId="1251235954">
    <w:abstractNumId w:val="75"/>
  </w:num>
  <w:num w:numId="11" w16cid:durableId="1487824117">
    <w:abstractNumId w:val="4"/>
  </w:num>
  <w:num w:numId="12" w16cid:durableId="902060325">
    <w:abstractNumId w:val="51"/>
  </w:num>
  <w:num w:numId="13" w16cid:durableId="1486778920">
    <w:abstractNumId w:val="43"/>
  </w:num>
  <w:num w:numId="14" w16cid:durableId="1908766135">
    <w:abstractNumId w:val="102"/>
  </w:num>
  <w:num w:numId="15" w16cid:durableId="620187428">
    <w:abstractNumId w:val="83"/>
  </w:num>
  <w:num w:numId="16" w16cid:durableId="1289242299">
    <w:abstractNumId w:val="52"/>
  </w:num>
  <w:num w:numId="17" w16cid:durableId="390621025">
    <w:abstractNumId w:val="31"/>
  </w:num>
  <w:num w:numId="18" w16cid:durableId="10764267">
    <w:abstractNumId w:val="24"/>
  </w:num>
  <w:num w:numId="19" w16cid:durableId="1280799880">
    <w:abstractNumId w:val="67"/>
  </w:num>
  <w:num w:numId="20" w16cid:durableId="799231240">
    <w:abstractNumId w:val="27"/>
  </w:num>
  <w:num w:numId="21" w16cid:durableId="75721634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20138600">
    <w:abstractNumId w:val="89"/>
  </w:num>
  <w:num w:numId="23" w16cid:durableId="882139209">
    <w:abstractNumId w:val="39"/>
  </w:num>
  <w:num w:numId="24" w16cid:durableId="1967855288">
    <w:abstractNumId w:val="56"/>
  </w:num>
  <w:num w:numId="25" w16cid:durableId="1141574380">
    <w:abstractNumId w:val="13"/>
  </w:num>
  <w:num w:numId="26" w16cid:durableId="1251086238">
    <w:abstractNumId w:val="17"/>
  </w:num>
  <w:num w:numId="27" w16cid:durableId="580990261">
    <w:abstractNumId w:val="64"/>
  </w:num>
  <w:num w:numId="28" w16cid:durableId="529338952">
    <w:abstractNumId w:val="8"/>
  </w:num>
  <w:num w:numId="29" w16cid:durableId="553393157">
    <w:abstractNumId w:val="70"/>
  </w:num>
  <w:num w:numId="30" w16cid:durableId="1032219975">
    <w:abstractNumId w:val="53"/>
  </w:num>
  <w:num w:numId="31" w16cid:durableId="977419725">
    <w:abstractNumId w:val="54"/>
  </w:num>
  <w:num w:numId="32" w16cid:durableId="1652833284">
    <w:abstractNumId w:val="32"/>
  </w:num>
  <w:num w:numId="33" w16cid:durableId="1786844309">
    <w:abstractNumId w:val="80"/>
  </w:num>
  <w:num w:numId="34" w16cid:durableId="1863207504">
    <w:abstractNumId w:val="108"/>
  </w:num>
  <w:num w:numId="35" w16cid:durableId="781992736">
    <w:abstractNumId w:val="72"/>
  </w:num>
  <w:num w:numId="36" w16cid:durableId="1436635121">
    <w:abstractNumId w:val="42"/>
  </w:num>
  <w:num w:numId="37" w16cid:durableId="1437755021">
    <w:abstractNumId w:val="59"/>
  </w:num>
  <w:num w:numId="38" w16cid:durableId="668946421">
    <w:abstractNumId w:val="47"/>
  </w:num>
  <w:num w:numId="39" w16cid:durableId="2071145672">
    <w:abstractNumId w:val="101"/>
  </w:num>
  <w:num w:numId="40" w16cid:durableId="1496528683">
    <w:abstractNumId w:val="48"/>
  </w:num>
  <w:num w:numId="41" w16cid:durableId="186064836">
    <w:abstractNumId w:val="74"/>
  </w:num>
  <w:num w:numId="42" w16cid:durableId="312875798">
    <w:abstractNumId w:val="77"/>
  </w:num>
  <w:num w:numId="43" w16cid:durableId="587546994">
    <w:abstractNumId w:val="41"/>
  </w:num>
  <w:num w:numId="44" w16cid:durableId="1687361664">
    <w:abstractNumId w:val="40"/>
  </w:num>
  <w:num w:numId="45" w16cid:durableId="288439909">
    <w:abstractNumId w:val="65"/>
  </w:num>
  <w:num w:numId="46" w16cid:durableId="1539387983">
    <w:abstractNumId w:val="0"/>
  </w:num>
  <w:num w:numId="47" w16cid:durableId="26569177">
    <w:abstractNumId w:val="15"/>
  </w:num>
  <w:num w:numId="48" w16cid:durableId="1211459373">
    <w:abstractNumId w:val="69"/>
  </w:num>
  <w:num w:numId="49" w16cid:durableId="1045106141">
    <w:abstractNumId w:val="33"/>
  </w:num>
  <w:num w:numId="50" w16cid:durableId="479469468">
    <w:abstractNumId w:val="9"/>
  </w:num>
  <w:num w:numId="51" w16cid:durableId="661936227">
    <w:abstractNumId w:val="28"/>
  </w:num>
  <w:num w:numId="52" w16cid:durableId="920600827">
    <w:abstractNumId w:val="49"/>
  </w:num>
  <w:num w:numId="53" w16cid:durableId="598754045">
    <w:abstractNumId w:val="55"/>
  </w:num>
  <w:num w:numId="54" w16cid:durableId="2057579578">
    <w:abstractNumId w:val="87"/>
  </w:num>
  <w:num w:numId="55" w16cid:durableId="1076391621">
    <w:abstractNumId w:val="1"/>
  </w:num>
  <w:num w:numId="56" w16cid:durableId="724136103">
    <w:abstractNumId w:val="82"/>
  </w:num>
  <w:num w:numId="57" w16cid:durableId="1459495910">
    <w:abstractNumId w:val="21"/>
  </w:num>
  <w:num w:numId="58" w16cid:durableId="36005486">
    <w:abstractNumId w:val="84"/>
  </w:num>
  <w:num w:numId="59" w16cid:durableId="967010068">
    <w:abstractNumId w:val="100"/>
  </w:num>
  <w:num w:numId="60" w16cid:durableId="1556161882">
    <w:abstractNumId w:val="63"/>
  </w:num>
  <w:num w:numId="61" w16cid:durableId="1414661150">
    <w:abstractNumId w:val="22"/>
  </w:num>
  <w:num w:numId="62" w16cid:durableId="2092726856">
    <w:abstractNumId w:val="98"/>
  </w:num>
  <w:num w:numId="63" w16cid:durableId="1359703185">
    <w:abstractNumId w:val="35"/>
  </w:num>
  <w:num w:numId="64" w16cid:durableId="1948734114">
    <w:abstractNumId w:val="5"/>
  </w:num>
  <w:num w:numId="65" w16cid:durableId="1907840481">
    <w:abstractNumId w:val="7"/>
  </w:num>
  <w:num w:numId="66" w16cid:durableId="24528765">
    <w:abstractNumId w:val="2"/>
  </w:num>
  <w:num w:numId="67" w16cid:durableId="415058410">
    <w:abstractNumId w:val="58"/>
  </w:num>
  <w:num w:numId="68" w16cid:durableId="992217249">
    <w:abstractNumId w:val="23"/>
  </w:num>
  <w:num w:numId="69" w16cid:durableId="1035235588">
    <w:abstractNumId w:val="88"/>
  </w:num>
  <w:num w:numId="70" w16cid:durableId="286283404">
    <w:abstractNumId w:val="86"/>
  </w:num>
  <w:num w:numId="71" w16cid:durableId="1970629088">
    <w:abstractNumId w:val="99"/>
  </w:num>
  <w:num w:numId="72" w16cid:durableId="707878888">
    <w:abstractNumId w:val="6"/>
  </w:num>
  <w:num w:numId="73" w16cid:durableId="8583989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708529159">
    <w:abstractNumId w:val="16"/>
  </w:num>
  <w:num w:numId="75" w16cid:durableId="30233314">
    <w:abstractNumId w:val="62"/>
  </w:num>
  <w:num w:numId="76" w16cid:durableId="695931262">
    <w:abstractNumId w:val="94"/>
  </w:num>
  <w:num w:numId="77" w16cid:durableId="538472374">
    <w:abstractNumId w:val="37"/>
  </w:num>
  <w:num w:numId="78" w16cid:durableId="1201742241">
    <w:abstractNumId w:val="103"/>
  </w:num>
  <w:num w:numId="79" w16cid:durableId="100760254">
    <w:abstractNumId w:val="38"/>
  </w:num>
  <w:num w:numId="80" w16cid:durableId="1248271353">
    <w:abstractNumId w:val="14"/>
  </w:num>
  <w:num w:numId="81" w16cid:durableId="35588927">
    <w:abstractNumId w:val="93"/>
  </w:num>
  <w:num w:numId="82" w16cid:durableId="63183183">
    <w:abstractNumId w:val="105"/>
  </w:num>
  <w:num w:numId="83" w16cid:durableId="508325838">
    <w:abstractNumId w:val="107"/>
  </w:num>
  <w:num w:numId="84" w16cid:durableId="1442606267">
    <w:abstractNumId w:val="90"/>
  </w:num>
  <w:num w:numId="85" w16cid:durableId="46540764">
    <w:abstractNumId w:val="20"/>
  </w:num>
  <w:num w:numId="86" w16cid:durableId="2009821379">
    <w:abstractNumId w:val="92"/>
  </w:num>
  <w:num w:numId="87" w16cid:durableId="797797754">
    <w:abstractNumId w:val="104"/>
  </w:num>
  <w:num w:numId="88" w16cid:durableId="616915630">
    <w:abstractNumId w:val="66"/>
  </w:num>
  <w:num w:numId="89" w16cid:durableId="1229606918">
    <w:abstractNumId w:val="97"/>
  </w:num>
  <w:num w:numId="90" w16cid:durableId="1758942045">
    <w:abstractNumId w:val="85"/>
  </w:num>
  <w:num w:numId="91" w16cid:durableId="817235086">
    <w:abstractNumId w:val="30"/>
  </w:num>
  <w:num w:numId="92" w16cid:durableId="911738206">
    <w:abstractNumId w:val="68"/>
  </w:num>
  <w:num w:numId="93" w16cid:durableId="1701005742">
    <w:abstractNumId w:val="60"/>
  </w:num>
  <w:num w:numId="94" w16cid:durableId="2050298881">
    <w:abstractNumId w:val="73"/>
  </w:num>
  <w:num w:numId="95" w16cid:durableId="1182007791">
    <w:abstractNumId w:val="91"/>
  </w:num>
  <w:num w:numId="96" w16cid:durableId="327681797">
    <w:abstractNumId w:val="19"/>
  </w:num>
  <w:num w:numId="97" w16cid:durableId="1405686147">
    <w:abstractNumId w:val="50"/>
  </w:num>
  <w:num w:numId="98" w16cid:durableId="371618796">
    <w:abstractNumId w:val="45"/>
  </w:num>
  <w:num w:numId="99" w16cid:durableId="1883249326">
    <w:abstractNumId w:val="36"/>
  </w:num>
  <w:num w:numId="100" w16cid:durableId="487791590">
    <w:abstractNumId w:val="71"/>
  </w:num>
  <w:num w:numId="101" w16cid:durableId="1943222035">
    <w:abstractNumId w:val="12"/>
  </w:num>
  <w:num w:numId="102" w16cid:durableId="272902845">
    <w:abstractNumId w:val="95"/>
  </w:num>
  <w:num w:numId="103" w16cid:durableId="1688020321">
    <w:abstractNumId w:val="3"/>
  </w:num>
  <w:num w:numId="104" w16cid:durableId="1285309985">
    <w:abstractNumId w:val="18"/>
  </w:num>
  <w:num w:numId="105" w16cid:durableId="1230850152">
    <w:abstractNumId w:val="96"/>
  </w:num>
  <w:num w:numId="106" w16cid:durableId="245652847">
    <w:abstractNumId w:val="79"/>
  </w:num>
  <w:num w:numId="107" w16cid:durableId="1528833104">
    <w:abstractNumId w:val="11"/>
  </w:num>
  <w:num w:numId="108" w16cid:durableId="551622490">
    <w:abstractNumId w:val="46"/>
  </w:num>
  <w:num w:numId="109" w16cid:durableId="959803238">
    <w:abstractNumId w:val="34"/>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A25"/>
    <w:rsid w:val="00005299"/>
    <w:rsid w:val="00010650"/>
    <w:rsid w:val="00070C29"/>
    <w:rsid w:val="0008767B"/>
    <w:rsid w:val="000B531E"/>
    <w:rsid w:val="000C2949"/>
    <w:rsid w:val="000D3365"/>
    <w:rsid w:val="000D3D0E"/>
    <w:rsid w:val="000D726B"/>
    <w:rsid w:val="00114376"/>
    <w:rsid w:val="00150CE2"/>
    <w:rsid w:val="001A3040"/>
    <w:rsid w:val="00203CA0"/>
    <w:rsid w:val="00255FBA"/>
    <w:rsid w:val="002657E4"/>
    <w:rsid w:val="00282B40"/>
    <w:rsid w:val="002B42C1"/>
    <w:rsid w:val="00393302"/>
    <w:rsid w:val="0039382F"/>
    <w:rsid w:val="00446C98"/>
    <w:rsid w:val="004511C5"/>
    <w:rsid w:val="0046755E"/>
    <w:rsid w:val="004840EA"/>
    <w:rsid w:val="00484D4F"/>
    <w:rsid w:val="004A2000"/>
    <w:rsid w:val="004A7C99"/>
    <w:rsid w:val="00504564"/>
    <w:rsid w:val="005213E8"/>
    <w:rsid w:val="005360AF"/>
    <w:rsid w:val="00555985"/>
    <w:rsid w:val="00557C34"/>
    <w:rsid w:val="00567E93"/>
    <w:rsid w:val="005722A1"/>
    <w:rsid w:val="005A1ADF"/>
    <w:rsid w:val="005E5347"/>
    <w:rsid w:val="005F5483"/>
    <w:rsid w:val="0062495D"/>
    <w:rsid w:val="00647A25"/>
    <w:rsid w:val="006E1C87"/>
    <w:rsid w:val="006F2E7F"/>
    <w:rsid w:val="00725254"/>
    <w:rsid w:val="00791DC6"/>
    <w:rsid w:val="007C27F6"/>
    <w:rsid w:val="007C62C8"/>
    <w:rsid w:val="007D0D49"/>
    <w:rsid w:val="007E0016"/>
    <w:rsid w:val="00820DCC"/>
    <w:rsid w:val="00860F2F"/>
    <w:rsid w:val="00876FF4"/>
    <w:rsid w:val="008B2A01"/>
    <w:rsid w:val="008C35FB"/>
    <w:rsid w:val="008E7568"/>
    <w:rsid w:val="00900D40"/>
    <w:rsid w:val="00907363"/>
    <w:rsid w:val="00943466"/>
    <w:rsid w:val="0097693A"/>
    <w:rsid w:val="00A00C4A"/>
    <w:rsid w:val="00A10A60"/>
    <w:rsid w:val="00A529EF"/>
    <w:rsid w:val="00A54E2E"/>
    <w:rsid w:val="00AA77F0"/>
    <w:rsid w:val="00B011C3"/>
    <w:rsid w:val="00B30646"/>
    <w:rsid w:val="00B42001"/>
    <w:rsid w:val="00BB1EBC"/>
    <w:rsid w:val="00BD10A4"/>
    <w:rsid w:val="00BD2112"/>
    <w:rsid w:val="00C43EE2"/>
    <w:rsid w:val="00C51FAD"/>
    <w:rsid w:val="00CB51E9"/>
    <w:rsid w:val="00CD1C55"/>
    <w:rsid w:val="00CD5EC0"/>
    <w:rsid w:val="00CE2573"/>
    <w:rsid w:val="00CE2E14"/>
    <w:rsid w:val="00CF7753"/>
    <w:rsid w:val="00D313D5"/>
    <w:rsid w:val="00D343CF"/>
    <w:rsid w:val="00D9792F"/>
    <w:rsid w:val="00DD1E72"/>
    <w:rsid w:val="00DF5DAD"/>
    <w:rsid w:val="00E019D1"/>
    <w:rsid w:val="00E12B50"/>
    <w:rsid w:val="00E30B91"/>
    <w:rsid w:val="00E331C8"/>
    <w:rsid w:val="00E36018"/>
    <w:rsid w:val="00E50CE9"/>
    <w:rsid w:val="00EB7548"/>
    <w:rsid w:val="00EC0C54"/>
    <w:rsid w:val="00F17759"/>
    <w:rsid w:val="00F2263F"/>
    <w:rsid w:val="00F62E14"/>
    <w:rsid w:val="00F63DDB"/>
    <w:rsid w:val="00F707BF"/>
    <w:rsid w:val="00F75EBA"/>
    <w:rsid w:val="00F94661"/>
    <w:rsid w:val="00FC7D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D3245D"/>
  <w15:chartTrackingRefBased/>
  <w15:docId w15:val="{AC1CC613-F55C-43F5-AB70-857D8376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s-MX"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2E14"/>
  </w:style>
  <w:style w:type="paragraph" w:styleId="Ttulo1">
    <w:name w:val="heading 1"/>
    <w:basedOn w:val="Normal"/>
    <w:next w:val="Normal"/>
    <w:link w:val="Ttulo1Car"/>
    <w:uiPriority w:val="9"/>
    <w:qFormat/>
    <w:rsid w:val="00CE2E14"/>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Ttulo2">
    <w:name w:val="heading 2"/>
    <w:basedOn w:val="Normal"/>
    <w:next w:val="Normal"/>
    <w:link w:val="Ttulo2Car"/>
    <w:uiPriority w:val="9"/>
    <w:semiHidden/>
    <w:unhideWhenUsed/>
    <w:qFormat/>
    <w:rsid w:val="00CE2E14"/>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Ttulo3">
    <w:name w:val="heading 3"/>
    <w:basedOn w:val="Normal"/>
    <w:next w:val="Normal"/>
    <w:link w:val="Ttulo3Car"/>
    <w:uiPriority w:val="9"/>
    <w:semiHidden/>
    <w:unhideWhenUsed/>
    <w:qFormat/>
    <w:rsid w:val="00CE2E14"/>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Ttulo4">
    <w:name w:val="heading 4"/>
    <w:basedOn w:val="Normal"/>
    <w:next w:val="Normal"/>
    <w:link w:val="Ttulo4Car"/>
    <w:uiPriority w:val="9"/>
    <w:semiHidden/>
    <w:unhideWhenUsed/>
    <w:qFormat/>
    <w:rsid w:val="00CE2E14"/>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Ttulo5">
    <w:name w:val="heading 5"/>
    <w:basedOn w:val="Normal"/>
    <w:next w:val="Normal"/>
    <w:link w:val="Ttulo5Car"/>
    <w:uiPriority w:val="9"/>
    <w:semiHidden/>
    <w:unhideWhenUsed/>
    <w:qFormat/>
    <w:rsid w:val="00CE2E14"/>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Ttulo6">
    <w:name w:val="heading 6"/>
    <w:basedOn w:val="Normal"/>
    <w:next w:val="Normal"/>
    <w:link w:val="Ttulo6Car"/>
    <w:uiPriority w:val="9"/>
    <w:semiHidden/>
    <w:unhideWhenUsed/>
    <w:qFormat/>
    <w:rsid w:val="00CE2E14"/>
    <w:pPr>
      <w:keepNext/>
      <w:keepLines/>
      <w:spacing w:before="40" w:after="0"/>
      <w:outlineLvl w:val="5"/>
    </w:pPr>
    <w:rPr>
      <w:rFonts w:asciiTheme="majorHAnsi" w:eastAsiaTheme="majorEastAsia" w:hAnsiTheme="majorHAnsi" w:cstheme="majorBidi"/>
      <w:color w:val="4EA72E" w:themeColor="accent6"/>
    </w:rPr>
  </w:style>
  <w:style w:type="paragraph" w:styleId="Ttulo7">
    <w:name w:val="heading 7"/>
    <w:basedOn w:val="Normal"/>
    <w:next w:val="Normal"/>
    <w:link w:val="Ttulo7Car"/>
    <w:uiPriority w:val="9"/>
    <w:semiHidden/>
    <w:unhideWhenUsed/>
    <w:qFormat/>
    <w:rsid w:val="00CE2E14"/>
    <w:pPr>
      <w:keepNext/>
      <w:keepLines/>
      <w:spacing w:before="40" w:after="0"/>
      <w:outlineLvl w:val="6"/>
    </w:pPr>
    <w:rPr>
      <w:rFonts w:asciiTheme="majorHAnsi" w:eastAsiaTheme="majorEastAsia" w:hAnsiTheme="majorHAnsi" w:cstheme="majorBidi"/>
      <w:b/>
      <w:bCs/>
      <w:color w:val="4EA72E" w:themeColor="accent6"/>
    </w:rPr>
  </w:style>
  <w:style w:type="paragraph" w:styleId="Ttulo8">
    <w:name w:val="heading 8"/>
    <w:basedOn w:val="Normal"/>
    <w:next w:val="Normal"/>
    <w:link w:val="Ttulo8Car"/>
    <w:uiPriority w:val="9"/>
    <w:semiHidden/>
    <w:unhideWhenUsed/>
    <w:qFormat/>
    <w:rsid w:val="00CE2E14"/>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Ttulo9">
    <w:name w:val="heading 9"/>
    <w:basedOn w:val="Normal"/>
    <w:next w:val="Normal"/>
    <w:link w:val="Ttulo9Car"/>
    <w:uiPriority w:val="9"/>
    <w:semiHidden/>
    <w:unhideWhenUsed/>
    <w:qFormat/>
    <w:rsid w:val="00CE2E14"/>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E2E14"/>
    <w:rPr>
      <w:rFonts w:asciiTheme="majorHAnsi" w:eastAsiaTheme="majorEastAsia" w:hAnsiTheme="majorHAnsi" w:cstheme="majorBidi"/>
      <w:color w:val="3A7C22" w:themeColor="accent6" w:themeShade="BF"/>
      <w:sz w:val="40"/>
      <w:szCs w:val="40"/>
    </w:rPr>
  </w:style>
  <w:style w:type="character" w:customStyle="1" w:styleId="Ttulo2Car">
    <w:name w:val="Título 2 Car"/>
    <w:basedOn w:val="Fuentedeprrafopredeter"/>
    <w:link w:val="Ttulo2"/>
    <w:uiPriority w:val="9"/>
    <w:semiHidden/>
    <w:rsid w:val="00CE2E14"/>
    <w:rPr>
      <w:rFonts w:asciiTheme="majorHAnsi" w:eastAsiaTheme="majorEastAsia" w:hAnsiTheme="majorHAnsi" w:cstheme="majorBidi"/>
      <w:color w:val="3A7C22" w:themeColor="accent6" w:themeShade="BF"/>
      <w:sz w:val="28"/>
      <w:szCs w:val="28"/>
    </w:rPr>
  </w:style>
  <w:style w:type="character" w:customStyle="1" w:styleId="Ttulo3Car">
    <w:name w:val="Título 3 Car"/>
    <w:basedOn w:val="Fuentedeprrafopredeter"/>
    <w:link w:val="Ttulo3"/>
    <w:uiPriority w:val="9"/>
    <w:semiHidden/>
    <w:rsid w:val="00CE2E14"/>
    <w:rPr>
      <w:rFonts w:asciiTheme="majorHAnsi" w:eastAsiaTheme="majorEastAsia" w:hAnsiTheme="majorHAnsi" w:cstheme="majorBidi"/>
      <w:color w:val="3A7C22" w:themeColor="accent6" w:themeShade="BF"/>
      <w:sz w:val="24"/>
      <w:szCs w:val="24"/>
    </w:rPr>
  </w:style>
  <w:style w:type="character" w:customStyle="1" w:styleId="Ttulo4Car">
    <w:name w:val="Título 4 Car"/>
    <w:basedOn w:val="Fuentedeprrafopredeter"/>
    <w:link w:val="Ttulo4"/>
    <w:uiPriority w:val="9"/>
    <w:semiHidden/>
    <w:rsid w:val="00CE2E14"/>
    <w:rPr>
      <w:rFonts w:asciiTheme="majorHAnsi" w:eastAsiaTheme="majorEastAsia" w:hAnsiTheme="majorHAnsi" w:cstheme="majorBidi"/>
      <w:color w:val="4EA72E" w:themeColor="accent6"/>
      <w:sz w:val="22"/>
      <w:szCs w:val="22"/>
    </w:rPr>
  </w:style>
  <w:style w:type="character" w:customStyle="1" w:styleId="Ttulo5Car">
    <w:name w:val="Título 5 Car"/>
    <w:basedOn w:val="Fuentedeprrafopredeter"/>
    <w:link w:val="Ttulo5"/>
    <w:uiPriority w:val="9"/>
    <w:semiHidden/>
    <w:rsid w:val="00CE2E14"/>
    <w:rPr>
      <w:rFonts w:asciiTheme="majorHAnsi" w:eastAsiaTheme="majorEastAsia" w:hAnsiTheme="majorHAnsi" w:cstheme="majorBidi"/>
      <w:i/>
      <w:iCs/>
      <w:color w:val="4EA72E" w:themeColor="accent6"/>
      <w:sz w:val="22"/>
      <w:szCs w:val="22"/>
    </w:rPr>
  </w:style>
  <w:style w:type="character" w:customStyle="1" w:styleId="Ttulo6Car">
    <w:name w:val="Título 6 Car"/>
    <w:basedOn w:val="Fuentedeprrafopredeter"/>
    <w:link w:val="Ttulo6"/>
    <w:uiPriority w:val="9"/>
    <w:semiHidden/>
    <w:rsid w:val="00CE2E14"/>
    <w:rPr>
      <w:rFonts w:asciiTheme="majorHAnsi" w:eastAsiaTheme="majorEastAsia" w:hAnsiTheme="majorHAnsi" w:cstheme="majorBidi"/>
      <w:color w:val="4EA72E" w:themeColor="accent6"/>
    </w:rPr>
  </w:style>
  <w:style w:type="character" w:customStyle="1" w:styleId="Ttulo7Car">
    <w:name w:val="Título 7 Car"/>
    <w:basedOn w:val="Fuentedeprrafopredeter"/>
    <w:link w:val="Ttulo7"/>
    <w:uiPriority w:val="9"/>
    <w:semiHidden/>
    <w:rsid w:val="00CE2E14"/>
    <w:rPr>
      <w:rFonts w:asciiTheme="majorHAnsi" w:eastAsiaTheme="majorEastAsia" w:hAnsiTheme="majorHAnsi" w:cstheme="majorBidi"/>
      <w:b/>
      <w:bCs/>
      <w:color w:val="4EA72E" w:themeColor="accent6"/>
    </w:rPr>
  </w:style>
  <w:style w:type="character" w:customStyle="1" w:styleId="Ttulo8Car">
    <w:name w:val="Título 8 Car"/>
    <w:basedOn w:val="Fuentedeprrafopredeter"/>
    <w:link w:val="Ttulo8"/>
    <w:uiPriority w:val="9"/>
    <w:semiHidden/>
    <w:rsid w:val="00CE2E14"/>
    <w:rPr>
      <w:rFonts w:asciiTheme="majorHAnsi" w:eastAsiaTheme="majorEastAsia" w:hAnsiTheme="majorHAnsi" w:cstheme="majorBidi"/>
      <w:b/>
      <w:bCs/>
      <w:i/>
      <w:iCs/>
      <w:color w:val="4EA72E" w:themeColor="accent6"/>
      <w:sz w:val="20"/>
      <w:szCs w:val="20"/>
    </w:rPr>
  </w:style>
  <w:style w:type="character" w:customStyle="1" w:styleId="Ttulo9Car">
    <w:name w:val="Título 9 Car"/>
    <w:basedOn w:val="Fuentedeprrafopredeter"/>
    <w:link w:val="Ttulo9"/>
    <w:uiPriority w:val="9"/>
    <w:semiHidden/>
    <w:rsid w:val="00CE2E14"/>
    <w:rPr>
      <w:rFonts w:asciiTheme="majorHAnsi" w:eastAsiaTheme="majorEastAsia" w:hAnsiTheme="majorHAnsi" w:cstheme="majorBidi"/>
      <w:i/>
      <w:iCs/>
      <w:color w:val="4EA72E" w:themeColor="accent6"/>
      <w:sz w:val="20"/>
      <w:szCs w:val="20"/>
    </w:rPr>
  </w:style>
  <w:style w:type="paragraph" w:styleId="Ttulo">
    <w:name w:val="Title"/>
    <w:basedOn w:val="Normal"/>
    <w:next w:val="Normal"/>
    <w:link w:val="TtuloCar"/>
    <w:uiPriority w:val="10"/>
    <w:qFormat/>
    <w:rsid w:val="00CE2E1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CE2E14"/>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CE2E14"/>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CE2E14"/>
    <w:rPr>
      <w:rFonts w:asciiTheme="majorHAnsi" w:eastAsiaTheme="majorEastAsia" w:hAnsiTheme="majorHAnsi" w:cstheme="majorBidi"/>
      <w:sz w:val="30"/>
      <w:szCs w:val="30"/>
    </w:rPr>
  </w:style>
  <w:style w:type="paragraph" w:styleId="Cita">
    <w:name w:val="Quote"/>
    <w:basedOn w:val="Normal"/>
    <w:next w:val="Normal"/>
    <w:link w:val="CitaCar"/>
    <w:uiPriority w:val="29"/>
    <w:qFormat/>
    <w:rsid w:val="00CE2E14"/>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CE2E14"/>
    <w:rPr>
      <w:i/>
      <w:iCs/>
      <w:color w:val="262626" w:themeColor="text1" w:themeTint="D9"/>
    </w:rPr>
  </w:style>
  <w:style w:type="paragraph" w:styleId="Prrafodelista">
    <w:name w:val="List Paragraph"/>
    <w:basedOn w:val="Normal"/>
    <w:uiPriority w:val="34"/>
    <w:qFormat/>
    <w:rsid w:val="00647A25"/>
    <w:pPr>
      <w:ind w:left="720"/>
      <w:contextualSpacing/>
    </w:pPr>
  </w:style>
  <w:style w:type="character" w:styleId="nfasisintenso">
    <w:name w:val="Intense Emphasis"/>
    <w:basedOn w:val="Fuentedeprrafopredeter"/>
    <w:uiPriority w:val="21"/>
    <w:qFormat/>
    <w:rsid w:val="00CE2E14"/>
    <w:rPr>
      <w:b/>
      <w:bCs/>
      <w:i/>
      <w:iCs/>
    </w:rPr>
  </w:style>
  <w:style w:type="paragraph" w:styleId="Citadestacada">
    <w:name w:val="Intense Quote"/>
    <w:basedOn w:val="Normal"/>
    <w:next w:val="Normal"/>
    <w:link w:val="CitadestacadaCar"/>
    <w:uiPriority w:val="30"/>
    <w:qFormat/>
    <w:rsid w:val="00CE2E14"/>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CitadestacadaCar">
    <w:name w:val="Cita destacada Car"/>
    <w:basedOn w:val="Fuentedeprrafopredeter"/>
    <w:link w:val="Citadestacada"/>
    <w:uiPriority w:val="30"/>
    <w:rsid w:val="00CE2E14"/>
    <w:rPr>
      <w:rFonts w:asciiTheme="majorHAnsi" w:eastAsiaTheme="majorEastAsia" w:hAnsiTheme="majorHAnsi" w:cstheme="majorBidi"/>
      <w:i/>
      <w:iCs/>
      <w:color w:val="4EA72E" w:themeColor="accent6"/>
      <w:sz w:val="32"/>
      <w:szCs w:val="32"/>
    </w:rPr>
  </w:style>
  <w:style w:type="character" w:styleId="Referenciaintensa">
    <w:name w:val="Intense Reference"/>
    <w:basedOn w:val="Fuentedeprrafopredeter"/>
    <w:uiPriority w:val="32"/>
    <w:qFormat/>
    <w:rsid w:val="00CE2E14"/>
    <w:rPr>
      <w:b/>
      <w:bCs/>
      <w:smallCaps/>
      <w:color w:val="4EA72E" w:themeColor="accent6"/>
    </w:rPr>
  </w:style>
  <w:style w:type="paragraph" w:styleId="Encabezado">
    <w:name w:val="header"/>
    <w:basedOn w:val="Normal"/>
    <w:link w:val="EncabezadoCar"/>
    <w:uiPriority w:val="99"/>
    <w:unhideWhenUsed/>
    <w:rsid w:val="00647A25"/>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7A25"/>
  </w:style>
  <w:style w:type="paragraph" w:styleId="Piedepgina">
    <w:name w:val="footer"/>
    <w:basedOn w:val="Normal"/>
    <w:link w:val="PiedepginaCar"/>
    <w:uiPriority w:val="99"/>
    <w:unhideWhenUsed/>
    <w:rsid w:val="00647A25"/>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7A25"/>
  </w:style>
  <w:style w:type="paragraph" w:styleId="Sinespaciado">
    <w:name w:val="No Spacing"/>
    <w:link w:val="SinespaciadoCar"/>
    <w:uiPriority w:val="1"/>
    <w:qFormat/>
    <w:rsid w:val="00CE2E14"/>
    <w:pPr>
      <w:spacing w:after="0" w:line="240" w:lineRule="auto"/>
    </w:pPr>
  </w:style>
  <w:style w:type="character" w:customStyle="1" w:styleId="SinespaciadoCar">
    <w:name w:val="Sin espaciado Car"/>
    <w:basedOn w:val="Fuentedeprrafopredeter"/>
    <w:link w:val="Sinespaciado"/>
    <w:uiPriority w:val="1"/>
    <w:rsid w:val="00647A25"/>
  </w:style>
  <w:style w:type="table" w:styleId="Tablaconcuadrcula6concolores-nfasis5">
    <w:name w:val="Grid Table 6 Colorful Accent 5"/>
    <w:basedOn w:val="Tablanormal"/>
    <w:uiPriority w:val="51"/>
    <w:rsid w:val="00557C34"/>
    <w:pPr>
      <w:spacing w:after="0" w:line="240" w:lineRule="auto"/>
    </w:pPr>
    <w:rPr>
      <w:color w:val="77206D" w:themeColor="accent5" w:themeShade="BF"/>
      <w:sz w:val="22"/>
      <w:szCs w:val="22"/>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Tablaconcuadrcula4-nfasis5">
    <w:name w:val="Grid Table 4 Accent 5"/>
    <w:basedOn w:val="Tablanormal"/>
    <w:uiPriority w:val="49"/>
    <w:rsid w:val="00557C34"/>
    <w:pPr>
      <w:spacing w:after="0" w:line="240" w:lineRule="auto"/>
    </w:p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customStyle="1" w:styleId="Estilo1">
    <w:name w:val="Estilo1"/>
    <w:basedOn w:val="Tablanormal"/>
    <w:uiPriority w:val="99"/>
    <w:rsid w:val="00557C34"/>
    <w:pPr>
      <w:spacing w:after="0" w:line="240" w:lineRule="auto"/>
    </w:pPr>
    <w:tblPr/>
    <w:tcPr>
      <w:shd w:val="clear" w:color="auto" w:fill="FFFF00"/>
    </w:tcPr>
  </w:style>
  <w:style w:type="table" w:styleId="Tablaconcuadrcula5oscura-nfasis2">
    <w:name w:val="Grid Table 5 Dark Accent 2"/>
    <w:basedOn w:val="Tablanormal"/>
    <w:uiPriority w:val="50"/>
    <w:rsid w:val="00557C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Tablaconcuadrcula4-nfasis2">
    <w:name w:val="Grid Table 4 Accent 2"/>
    <w:basedOn w:val="Tablanormal"/>
    <w:uiPriority w:val="49"/>
    <w:rsid w:val="00557C34"/>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concuadrcula4-nfasis1">
    <w:name w:val="Grid Table 4 Accent 1"/>
    <w:basedOn w:val="Tablanormal"/>
    <w:uiPriority w:val="49"/>
    <w:rsid w:val="00E019D1"/>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aconcuadrcula">
    <w:name w:val="Table Grid"/>
    <w:basedOn w:val="Tablanormal"/>
    <w:uiPriority w:val="59"/>
    <w:rsid w:val="00282B40"/>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4">
    <w:name w:val="Grid Table 4 Accent 4"/>
    <w:basedOn w:val="Tablanormal"/>
    <w:uiPriority w:val="49"/>
    <w:rsid w:val="00F75EBA"/>
    <w:pPr>
      <w:spacing w:after="0" w:line="240" w:lineRule="auto"/>
    </w:pPr>
    <w:rPr>
      <w:sz w:val="22"/>
      <w:szCs w:val="22"/>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NormalWeb">
    <w:name w:val="Normal (Web)"/>
    <w:basedOn w:val="Normal"/>
    <w:uiPriority w:val="99"/>
    <w:unhideWhenUsed/>
    <w:rsid w:val="00F75EBA"/>
    <w:pPr>
      <w:spacing w:before="100" w:beforeAutospacing="1" w:after="100" w:afterAutospacing="1" w:line="240" w:lineRule="auto"/>
    </w:pPr>
    <w:rPr>
      <w:rFonts w:ascii="Times New Roman" w:eastAsia="Times New Roman" w:hAnsi="Times New Roman" w:cs="Times New Roman"/>
      <w:lang w:eastAsia="es-MX"/>
    </w:rPr>
  </w:style>
  <w:style w:type="character" w:styleId="Textoennegrita">
    <w:name w:val="Strong"/>
    <w:basedOn w:val="Fuentedeprrafopredeter"/>
    <w:uiPriority w:val="22"/>
    <w:qFormat/>
    <w:rsid w:val="00CE2E14"/>
    <w:rPr>
      <w:b/>
      <w:bCs/>
    </w:rPr>
  </w:style>
  <w:style w:type="paragraph" w:styleId="Textoindependiente">
    <w:name w:val="Body Text"/>
    <w:basedOn w:val="Normal"/>
    <w:link w:val="TextoindependienteCar"/>
    <w:uiPriority w:val="1"/>
    <w:rsid w:val="00907363"/>
    <w:pPr>
      <w:widowControl w:val="0"/>
      <w:autoSpaceDE w:val="0"/>
      <w:autoSpaceDN w:val="0"/>
      <w:spacing w:after="0" w:line="240" w:lineRule="auto"/>
    </w:pPr>
    <w:rPr>
      <w:rFonts w:ascii="Verdana" w:eastAsia="Verdana" w:hAnsi="Verdana" w:cs="Verdana"/>
      <w:lang w:val="es-ES"/>
    </w:rPr>
  </w:style>
  <w:style w:type="character" w:customStyle="1" w:styleId="TextoindependienteCar">
    <w:name w:val="Texto independiente Car"/>
    <w:basedOn w:val="Fuentedeprrafopredeter"/>
    <w:link w:val="Textoindependiente"/>
    <w:uiPriority w:val="1"/>
    <w:rsid w:val="00907363"/>
    <w:rPr>
      <w:rFonts w:ascii="Verdana" w:eastAsia="Verdana" w:hAnsi="Verdana" w:cs="Verdana"/>
      <w:kern w:val="0"/>
      <w:lang w:val="es-ES"/>
      <w14:ligatures w14:val="none"/>
    </w:rPr>
  </w:style>
  <w:style w:type="table" w:styleId="Tablaconcuadrcula1Claro-nfasis2">
    <w:name w:val="Grid Table 1 Light Accent 2"/>
    <w:basedOn w:val="Tablanormal"/>
    <w:uiPriority w:val="46"/>
    <w:rsid w:val="006E1C87"/>
    <w:pPr>
      <w:spacing w:after="0" w:line="240" w:lineRule="auto"/>
    </w:pPr>
    <w:rPr>
      <w:sz w:val="22"/>
      <w:szCs w:val="22"/>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97693A"/>
    <w:pPr>
      <w:widowControl w:val="0"/>
      <w:autoSpaceDE w:val="0"/>
      <w:autoSpaceDN w:val="0"/>
      <w:spacing w:after="0" w:line="240" w:lineRule="auto"/>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693A"/>
    <w:pPr>
      <w:widowControl w:val="0"/>
      <w:autoSpaceDE w:val="0"/>
      <w:autoSpaceDN w:val="0"/>
      <w:spacing w:after="0" w:line="240" w:lineRule="auto"/>
    </w:pPr>
    <w:rPr>
      <w:rFonts w:ascii="Verdana" w:eastAsia="Verdana" w:hAnsi="Verdana" w:cs="Verdana"/>
      <w:sz w:val="22"/>
      <w:szCs w:val="22"/>
      <w:lang w:val="es-ES"/>
    </w:rPr>
  </w:style>
  <w:style w:type="table" w:styleId="Tablaconcuadrcula4-nfasis6">
    <w:name w:val="Grid Table 4 Accent 6"/>
    <w:basedOn w:val="Tablanormal"/>
    <w:uiPriority w:val="49"/>
    <w:rsid w:val="00A10A60"/>
    <w:pPr>
      <w:spacing w:after="0" w:line="240" w:lineRule="auto"/>
    </w:pPr>
    <w:rPr>
      <w:sz w:val="22"/>
      <w:szCs w:val="22"/>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customStyle="1" w:styleId="Tablaconcuadrcula5oscura-nfasis22">
    <w:name w:val="Tabla con cuadrícula 5 oscura - Énfasis 22"/>
    <w:basedOn w:val="Tablanormal"/>
    <w:next w:val="Tablaconcuadrcula5oscura-nfasis2"/>
    <w:uiPriority w:val="50"/>
    <w:rsid w:val="00255FBA"/>
    <w:pPr>
      <w:spacing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paragraph" w:styleId="Descripcin">
    <w:name w:val="caption"/>
    <w:basedOn w:val="Normal"/>
    <w:next w:val="Normal"/>
    <w:uiPriority w:val="35"/>
    <w:unhideWhenUsed/>
    <w:qFormat/>
    <w:rsid w:val="00CE2E14"/>
    <w:pPr>
      <w:spacing w:line="240" w:lineRule="auto"/>
    </w:pPr>
    <w:rPr>
      <w:b/>
      <w:bCs/>
      <w:smallCaps/>
      <w:color w:val="595959" w:themeColor="text1" w:themeTint="A6"/>
    </w:rPr>
  </w:style>
  <w:style w:type="table" w:customStyle="1" w:styleId="Tablaconcuadrcula4-nfasis61">
    <w:name w:val="Tabla con cuadrícula 4 - Énfasis 61"/>
    <w:basedOn w:val="Tablanormal"/>
    <w:next w:val="Tablaconcuadrcula4-nfasis6"/>
    <w:uiPriority w:val="49"/>
    <w:rsid w:val="00860F2F"/>
    <w:pPr>
      <w:spacing w:after="0" w:line="240" w:lineRule="auto"/>
    </w:pPr>
    <w:rPr>
      <w:sz w:val="22"/>
      <w:szCs w:val="22"/>
    </w:rPr>
    <w:tblPr>
      <w:tblStyleRowBandSize w:val="1"/>
      <w:tblStyleColBandSize w:val="1"/>
      <w:tblBorders>
        <w:top w:val="single" w:sz="4" w:space="0" w:color="00A4AC"/>
        <w:left w:val="single" w:sz="4" w:space="0" w:color="00A4AC"/>
        <w:bottom w:val="single" w:sz="4" w:space="0" w:color="00A4AC"/>
        <w:right w:val="single" w:sz="4" w:space="0" w:color="00A4AC"/>
        <w:insideH w:val="single" w:sz="4" w:space="0" w:color="00A4AC"/>
        <w:insideV w:val="single" w:sz="4" w:space="0" w:color="00A4AC"/>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concuadrcula6concolores-nfasis1">
    <w:name w:val="Grid Table 6 Colorful Accent 1"/>
    <w:basedOn w:val="Tablanormal"/>
    <w:uiPriority w:val="51"/>
    <w:rsid w:val="00BD2112"/>
    <w:pPr>
      <w:spacing w:after="0" w:line="240" w:lineRule="auto"/>
    </w:pPr>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styleId="nfasis">
    <w:name w:val="Emphasis"/>
    <w:basedOn w:val="Fuentedeprrafopredeter"/>
    <w:uiPriority w:val="20"/>
    <w:qFormat/>
    <w:rsid w:val="00CE2E14"/>
    <w:rPr>
      <w:i/>
      <w:iCs/>
      <w:color w:val="4EA72E" w:themeColor="accent6"/>
    </w:rPr>
  </w:style>
  <w:style w:type="character" w:styleId="nfasissutil">
    <w:name w:val="Subtle Emphasis"/>
    <w:basedOn w:val="Fuentedeprrafopredeter"/>
    <w:uiPriority w:val="19"/>
    <w:qFormat/>
    <w:rsid w:val="00CE2E14"/>
    <w:rPr>
      <w:i/>
      <w:iCs/>
    </w:rPr>
  </w:style>
  <w:style w:type="character" w:styleId="Referenciasutil">
    <w:name w:val="Subtle Reference"/>
    <w:basedOn w:val="Fuentedeprrafopredeter"/>
    <w:uiPriority w:val="31"/>
    <w:qFormat/>
    <w:rsid w:val="00CE2E14"/>
    <w:rPr>
      <w:smallCaps/>
      <w:color w:val="595959" w:themeColor="text1" w:themeTint="A6"/>
    </w:rPr>
  </w:style>
  <w:style w:type="character" w:styleId="Ttulodellibro">
    <w:name w:val="Book Title"/>
    <w:basedOn w:val="Fuentedeprrafopredeter"/>
    <w:uiPriority w:val="33"/>
    <w:qFormat/>
    <w:rsid w:val="00CE2E14"/>
    <w:rPr>
      <w:b/>
      <w:bCs/>
      <w:caps w:val="0"/>
      <w:smallCaps/>
      <w:spacing w:val="7"/>
      <w:sz w:val="21"/>
      <w:szCs w:val="21"/>
    </w:rPr>
  </w:style>
  <w:style w:type="paragraph" w:styleId="TtuloTDC">
    <w:name w:val="TOC Heading"/>
    <w:basedOn w:val="Ttulo1"/>
    <w:next w:val="Normal"/>
    <w:uiPriority w:val="39"/>
    <w:semiHidden/>
    <w:unhideWhenUsed/>
    <w:qFormat/>
    <w:rsid w:val="00CE2E14"/>
    <w:pPr>
      <w:outlineLvl w:val="9"/>
    </w:pPr>
  </w:style>
  <w:style w:type="table" w:styleId="Tabladelista3-nfasis6">
    <w:name w:val="List Table 3 Accent 6"/>
    <w:basedOn w:val="Tablanormal"/>
    <w:uiPriority w:val="48"/>
    <w:rsid w:val="000D3365"/>
    <w:pPr>
      <w:spacing w:after="0" w:line="240" w:lineRule="auto"/>
    </w:pPr>
    <w:rPr>
      <w:rFonts w:eastAsiaTheme="minorHAnsi"/>
      <w:sz w:val="22"/>
      <w:szCs w:val="22"/>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Tabladelista3-nfasis2">
    <w:name w:val="List Table 3 Accent 2"/>
    <w:basedOn w:val="Tablanormal"/>
    <w:uiPriority w:val="48"/>
    <w:rsid w:val="007E0016"/>
    <w:pPr>
      <w:spacing w:after="0" w:line="240" w:lineRule="auto"/>
    </w:pPr>
    <w:rPr>
      <w:rFonts w:eastAsiaTheme="minorHAnsi"/>
      <w:kern w:val="2"/>
      <w:sz w:val="24"/>
      <w:szCs w:val="24"/>
      <w14:ligatures w14:val="standardContextual"/>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character" w:styleId="Hipervnculo">
    <w:name w:val="Hyperlink"/>
    <w:basedOn w:val="Fuentedeprrafopredeter"/>
    <w:uiPriority w:val="99"/>
    <w:unhideWhenUsed/>
    <w:rsid w:val="007E0016"/>
    <w:rPr>
      <w:color w:val="467886" w:themeColor="hyperlink"/>
      <w:u w:val="single"/>
    </w:rPr>
  </w:style>
  <w:style w:type="table" w:styleId="Tablaconcuadrcula6concolores-nfasis6">
    <w:name w:val="Grid Table 6 Colorful Accent 6"/>
    <w:basedOn w:val="Tablanormal"/>
    <w:uiPriority w:val="51"/>
    <w:rsid w:val="001A3040"/>
    <w:pPr>
      <w:spacing w:after="0" w:line="240" w:lineRule="auto"/>
    </w:pPr>
    <w:rPr>
      <w:rFonts w:eastAsiaTheme="minorHAnsi"/>
      <w:color w:val="3A7C22" w:themeColor="accent6" w:themeShade="BF"/>
      <w:sz w:val="22"/>
      <w:szCs w:val="22"/>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character" w:styleId="Mencinsinresolver">
    <w:name w:val="Unresolved Mention"/>
    <w:basedOn w:val="Fuentedeprrafopredeter"/>
    <w:uiPriority w:val="99"/>
    <w:semiHidden/>
    <w:unhideWhenUsed/>
    <w:rsid w:val="001A3040"/>
    <w:rPr>
      <w:color w:val="605E5C"/>
      <w:shd w:val="clear" w:color="auto" w:fill="E1DFDD"/>
    </w:rPr>
  </w:style>
  <w:style w:type="table" w:styleId="Tabladelista4-nfasis2">
    <w:name w:val="List Table 4 Accent 2"/>
    <w:basedOn w:val="Tablanormal"/>
    <w:uiPriority w:val="49"/>
    <w:rsid w:val="007C27F6"/>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7451099">
      <w:bodyDiv w:val="1"/>
      <w:marLeft w:val="0"/>
      <w:marRight w:val="0"/>
      <w:marTop w:val="0"/>
      <w:marBottom w:val="0"/>
      <w:divBdr>
        <w:top w:val="none" w:sz="0" w:space="0" w:color="auto"/>
        <w:left w:val="none" w:sz="0" w:space="0" w:color="auto"/>
        <w:bottom w:val="none" w:sz="0" w:space="0" w:color="auto"/>
        <w:right w:val="none" w:sz="0" w:space="0" w:color="auto"/>
      </w:divBdr>
    </w:div>
    <w:div w:id="1629316696">
      <w:bodyDiv w:val="1"/>
      <w:marLeft w:val="0"/>
      <w:marRight w:val="0"/>
      <w:marTop w:val="0"/>
      <w:marBottom w:val="0"/>
      <w:divBdr>
        <w:top w:val="none" w:sz="0" w:space="0" w:color="auto"/>
        <w:left w:val="none" w:sz="0" w:space="0" w:color="auto"/>
        <w:bottom w:val="none" w:sz="0" w:space="0" w:color="auto"/>
        <w:right w:val="none" w:sz="0" w:space="0" w:color="auto"/>
      </w:divBdr>
    </w:div>
    <w:div w:id="1739786252">
      <w:bodyDiv w:val="1"/>
      <w:marLeft w:val="0"/>
      <w:marRight w:val="0"/>
      <w:marTop w:val="0"/>
      <w:marBottom w:val="0"/>
      <w:divBdr>
        <w:top w:val="none" w:sz="0" w:space="0" w:color="auto"/>
        <w:left w:val="none" w:sz="0" w:space="0" w:color="auto"/>
        <w:bottom w:val="none" w:sz="0" w:space="0" w:color="auto"/>
        <w:right w:val="none" w:sz="0" w:space="0" w:color="auto"/>
      </w:divBdr>
    </w:div>
    <w:div w:id="1789927006">
      <w:bodyDiv w:val="1"/>
      <w:marLeft w:val="0"/>
      <w:marRight w:val="0"/>
      <w:marTop w:val="0"/>
      <w:marBottom w:val="0"/>
      <w:divBdr>
        <w:top w:val="none" w:sz="0" w:space="0" w:color="auto"/>
        <w:left w:val="none" w:sz="0" w:space="0" w:color="auto"/>
        <w:bottom w:val="none" w:sz="0" w:space="0" w:color="auto"/>
        <w:right w:val="none" w:sz="0" w:space="0" w:color="auto"/>
      </w:divBdr>
    </w:div>
    <w:div w:id="197474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22.png"/><Relationship Id="rId47" Type="http://schemas.openxmlformats.org/officeDocument/2006/relationships/image" Target="media/image24.png"/><Relationship Id="rId63" Type="http://schemas.openxmlformats.org/officeDocument/2006/relationships/image" Target="media/image35.jpeg"/><Relationship Id="rId68" Type="http://schemas.openxmlformats.org/officeDocument/2006/relationships/hyperlink" Target="https://wbl.worldbank.org/en/wbl" TargetMode="External"/><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image" Target="media/image21.png"/><Relationship Id="rId45" Type="http://schemas.openxmlformats.org/officeDocument/2006/relationships/chart" Target="charts/chart15.xml"/><Relationship Id="rId53" Type="http://schemas.openxmlformats.org/officeDocument/2006/relationships/chart" Target="charts/chart18.xml"/><Relationship Id="rId58" Type="http://schemas.openxmlformats.org/officeDocument/2006/relationships/image" Target="media/image32.jpeg"/><Relationship Id="rId66" Type="http://schemas.openxmlformats.org/officeDocument/2006/relationships/chart" Target="charts/chart22.xml"/><Relationship Id="rId74" Type="http://schemas.openxmlformats.org/officeDocument/2006/relationships/image" Target="media/image42.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chart" Target="charts/chart14.xml"/><Relationship Id="rId48" Type="http://schemas.openxmlformats.org/officeDocument/2006/relationships/image" Target="media/image25.png"/><Relationship Id="rId56" Type="http://schemas.openxmlformats.org/officeDocument/2006/relationships/image" Target="media/image30.png"/><Relationship Id="rId64" Type="http://schemas.openxmlformats.org/officeDocument/2006/relationships/image" Target="media/image36.jpeg"/><Relationship Id="rId69" Type="http://schemas.openxmlformats.org/officeDocument/2006/relationships/chart" Target="charts/chart24.xml"/><Relationship Id="rId77" Type="http://schemas.openxmlformats.org/officeDocument/2006/relationships/hyperlink" Target="https://www.inegi.org.mx/programas/ccpv/2020/" TargetMode="External"/><Relationship Id="rId8" Type="http://schemas.openxmlformats.org/officeDocument/2006/relationships/image" Target="media/image1.jpeg"/><Relationship Id="rId51" Type="http://schemas.openxmlformats.org/officeDocument/2006/relationships/image" Target="media/image28.jpeg"/><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chart" Target="charts/chart16.xml"/><Relationship Id="rId59" Type="http://schemas.openxmlformats.org/officeDocument/2006/relationships/chart" Target="charts/chart20.xml"/><Relationship Id="rId67" Type="http://schemas.openxmlformats.org/officeDocument/2006/relationships/chart" Target="charts/chart23.xml"/><Relationship Id="rId20" Type="http://schemas.openxmlformats.org/officeDocument/2006/relationships/image" Target="media/image13.jpeg"/><Relationship Id="rId41" Type="http://schemas.openxmlformats.org/officeDocument/2006/relationships/chart" Target="charts/chart13.xml"/><Relationship Id="rId54" Type="http://schemas.openxmlformats.org/officeDocument/2006/relationships/chart" Target="charts/chart19.xml"/><Relationship Id="rId62" Type="http://schemas.openxmlformats.org/officeDocument/2006/relationships/image" Target="media/image34.jpeg"/><Relationship Id="rId70" Type="http://schemas.openxmlformats.org/officeDocument/2006/relationships/image" Target="media/image38.jpeg"/><Relationship Id="rId75" Type="http://schemas.openxmlformats.org/officeDocument/2006/relationships/hyperlink" Target="https://www.diputados.gob.mx/LeyesBiblio/pdf/CPEUM.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image" Target="media/image26.png"/><Relationship Id="rId57" Type="http://schemas.openxmlformats.org/officeDocument/2006/relationships/image" Target="media/image31.jpeg"/><Relationship Id="rId10" Type="http://schemas.openxmlformats.org/officeDocument/2006/relationships/image" Target="media/image3.jpeg"/><Relationship Id="rId31" Type="http://schemas.openxmlformats.org/officeDocument/2006/relationships/chart" Target="charts/chart4.xml"/><Relationship Id="rId44" Type="http://schemas.openxmlformats.org/officeDocument/2006/relationships/image" Target="media/image23.png"/><Relationship Id="rId52" Type="http://schemas.openxmlformats.org/officeDocument/2006/relationships/chart" Target="charts/chart17.xml"/><Relationship Id="rId60" Type="http://schemas.openxmlformats.org/officeDocument/2006/relationships/chart" Target="charts/chart21.xml"/><Relationship Id="rId65" Type="http://schemas.openxmlformats.org/officeDocument/2006/relationships/image" Target="media/image37.jpeg"/><Relationship Id="rId73" Type="http://schemas.openxmlformats.org/officeDocument/2006/relationships/image" Target="media/image41.jpeg"/><Relationship Id="rId78" Type="http://schemas.openxmlformats.org/officeDocument/2006/relationships/hyperlink" Target="https://www.gob.mx/agenda2030/documentos/guia-para-la%20elaboracion-de-planes-municipales-de-desarrollo-con-el-enfoque-de-la-agenda-2030"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chart" Target="charts/chart12.xml"/><Relationship Id="rId34" Type="http://schemas.openxmlformats.org/officeDocument/2006/relationships/chart" Target="charts/chart7.xml"/><Relationship Id="rId50" Type="http://schemas.openxmlformats.org/officeDocument/2006/relationships/image" Target="media/image27.jpeg"/><Relationship Id="rId55" Type="http://schemas.openxmlformats.org/officeDocument/2006/relationships/image" Target="media/image29.png"/><Relationship Id="rId76" Type="http://schemas.openxmlformats.org/officeDocument/2006/relationships/hyperlink" Target="https://legislacion.edomex.gob.mx/sites/legislacion.%20edomex.gob.mx/fles/fles/pdf/ley/vig/leyvig001.pdf" TargetMode="External"/><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ACER\Downloads\San%20Antonio%20la%20Isla%20poblaci&#243;n%201990-2020.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Libro3"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uario\Downloads\pobreza_ingresos_grafic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uario\Downloads\coeficiente_gini.xlsx" TargetMode="External"/></Relationships>
</file>

<file path=word/charts/_rels/chart22.xml.rels><?xml version="1.0" encoding="UTF-8" standalone="yes"?>
<Relationships xmlns="http://schemas.openxmlformats.org/package/2006/relationships"><Relationship Id="rId3" Type="http://schemas.openxmlformats.org/officeDocument/2006/relationships/oleObject" Target="file:///C:\Users\vazqu\Downloads\Libro2.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vazqu\Downloads\Libro2.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vazqu\Downloads\Libro2.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latin typeface="Century Gothic" panose="020B0502020202020204" pitchFamily="34" charset="0"/>
              </a:rPr>
              <a:t>Apoyo a negocios y emprendedores</a:t>
            </a:r>
            <a:r>
              <a:rPr lang="en-US">
                <a:latin typeface="Century Gothic" panose="020B0502020202020204" pitchFamily="34"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Apoyo a neogocios </c:v>
                </c:pt>
              </c:strCache>
            </c:strRef>
          </c:tx>
          <c:dPt>
            <c:idx val="0"/>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D32-4528-B3AC-23FBEB7A953C}"/>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D32-4528-B3AC-23FBEB7A953C}"/>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D32-4528-B3AC-23FBEB7A953C}"/>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3"/>
                <c:pt idx="0">
                  <c:v>Bueno</c:v>
                </c:pt>
                <c:pt idx="1">
                  <c:v>Neutral</c:v>
                </c:pt>
                <c:pt idx="2">
                  <c:v>Malo</c:v>
                </c:pt>
              </c:strCache>
              <c:extLst/>
            </c:strRef>
          </c:cat>
          <c:val>
            <c:numRef>
              <c:f>Hoja1!$B$2:$B$5</c:f>
              <c:numCache>
                <c:formatCode>General</c:formatCode>
                <c:ptCount val="3"/>
                <c:pt idx="0">
                  <c:v>553</c:v>
                </c:pt>
                <c:pt idx="1">
                  <c:v>608</c:v>
                </c:pt>
                <c:pt idx="2">
                  <c:v>289</c:v>
                </c:pt>
              </c:numCache>
              <c:extLst/>
            </c:numRef>
          </c:val>
          <c:extLst>
            <c:ext xmlns:c16="http://schemas.microsoft.com/office/drawing/2014/chart" uri="{C3380CC4-5D6E-409C-BE32-E72D297353CC}">
              <c16:uniqueId val="{00000006-6D32-4528-B3AC-23FBEB7A953C}"/>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¿Qué acciones debería priorizar el gobierno municipal?</c:v>
                </c:pt>
              </c:strCache>
            </c:strRef>
          </c:tx>
          <c:dPt>
            <c:idx val="0"/>
            <c:bubble3D val="0"/>
            <c:spPr>
              <a:solidFill>
                <a:schemeClr val="accent2">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989E-4081-A9D4-C85B37CCFB22}"/>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989E-4081-A9D4-C85B37CCFB22}"/>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989E-4081-A9D4-C85B37CCFB22}"/>
              </c:ext>
            </c:extLst>
          </c:dPt>
          <c:dPt>
            <c:idx val="3"/>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989E-4081-A9D4-C85B37CCFB22}"/>
              </c:ext>
            </c:extLst>
          </c:dPt>
          <c:dLbls>
            <c:dLbl>
              <c:idx val="0"/>
              <c:tx>
                <c:rich>
                  <a:bodyPr/>
                  <a:lstStyle/>
                  <a:p>
                    <a:r>
                      <a:rPr lang="en-US" baseline="0"/>
                      <a:t>
</a:t>
                    </a:r>
                    <a:fld id="{2A9BC8A0-FB2E-4804-8CCA-023BBAC38D91}"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89E-4081-A9D4-C85B37CCFB22}"/>
                </c:ext>
              </c:extLst>
            </c:dLbl>
            <c:dLbl>
              <c:idx val="1"/>
              <c:tx>
                <c:rich>
                  <a:bodyPr/>
                  <a:lstStyle/>
                  <a:p>
                    <a:r>
                      <a:rPr lang="en-US" baseline="0"/>
                      <a:t>
</a:t>
                    </a:r>
                    <a:fld id="{B38CB270-8409-496F-8333-186B1E2D6A09}"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89E-4081-A9D4-C85B37CCFB22}"/>
                </c:ext>
              </c:extLst>
            </c:dLbl>
            <c:dLbl>
              <c:idx val="2"/>
              <c:tx>
                <c:rich>
                  <a:bodyPr/>
                  <a:lstStyle/>
                  <a:p>
                    <a:r>
                      <a:rPr lang="en-US" baseline="0"/>
                      <a:t>
</a:t>
                    </a:r>
                    <a:fld id="{861AAE03-1849-4839-9F2C-A5C12C888AF9}"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89E-4081-A9D4-C85B37CCFB22}"/>
                </c:ext>
              </c:extLst>
            </c:dLbl>
            <c:dLbl>
              <c:idx val="3"/>
              <c:tx>
                <c:rich>
                  <a:bodyPr/>
                  <a:lstStyle/>
                  <a:p>
                    <a:r>
                      <a:rPr lang="en-US" baseline="0"/>
                      <a:t>
</a:t>
                    </a:r>
                    <a:fld id="{6F47142F-1AA2-4D90-904D-EFD51292D6A3}"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89E-4081-A9D4-C85B37CCFB2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Hoja1!$A$2:$A$6</c:f>
              <c:strCache>
                <c:ptCount val="4"/>
                <c:pt idx="0">
                  <c:v>Protección de áreas verdes</c:v>
                </c:pt>
                <c:pt idx="1">
                  <c:v>Programas de educación ambiental</c:v>
                </c:pt>
                <c:pt idx="2">
                  <c:v>Fomentar el uso de energías renovables</c:v>
                </c:pt>
                <c:pt idx="3">
                  <c:v>Sanciones estrictas por daño ambiental</c:v>
                </c:pt>
              </c:strCache>
            </c:strRef>
          </c:cat>
          <c:val>
            <c:numRef>
              <c:f>Hoja1!$B$2:$B$6</c:f>
              <c:numCache>
                <c:formatCode>General</c:formatCode>
                <c:ptCount val="4"/>
                <c:pt idx="0">
                  <c:v>308</c:v>
                </c:pt>
                <c:pt idx="1">
                  <c:v>311</c:v>
                </c:pt>
                <c:pt idx="2">
                  <c:v>194</c:v>
                </c:pt>
                <c:pt idx="3">
                  <c:v>288</c:v>
                </c:pt>
              </c:numCache>
            </c:numRef>
          </c:val>
          <c:extLst>
            <c:ext xmlns:c16="http://schemas.microsoft.com/office/drawing/2014/chart" uri="{C3380CC4-5D6E-409C-BE32-E72D297353CC}">
              <c16:uniqueId val="{00000008-989E-4081-A9D4-C85B37CCFB22}"/>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¿Los trámites en el municipio son fáciles y rápidos? </c:v>
                </c:pt>
              </c:strCache>
            </c:strRef>
          </c:tx>
          <c:dPt>
            <c:idx val="0"/>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408D-4BA0-A789-7E3533423431}"/>
              </c:ext>
            </c:extLst>
          </c:dPt>
          <c:dPt>
            <c:idx val="1"/>
            <c:bubble3D val="0"/>
            <c:spPr>
              <a:solidFill>
                <a:schemeClr val="accent1">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408D-4BA0-A789-7E3533423431}"/>
              </c:ext>
            </c:extLst>
          </c:dPt>
          <c:dPt>
            <c:idx val="2"/>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5-408D-4BA0-A789-7E3533423431}"/>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408D-4BA0-A789-7E3533423431}"/>
              </c:ext>
            </c:extLst>
          </c:dPt>
          <c:cat>
            <c:strRef>
              <c:f>Hoja1!$A$2:$A$5</c:f>
              <c:strCache>
                <c:ptCount val="2"/>
                <c:pt idx="0">
                  <c:v>Si</c:v>
                </c:pt>
                <c:pt idx="1">
                  <c:v>No</c:v>
                </c:pt>
              </c:strCache>
            </c:strRef>
          </c:cat>
          <c:val>
            <c:numRef>
              <c:f>Hoja1!$B$2:$B$5</c:f>
              <c:numCache>
                <c:formatCode>General</c:formatCode>
                <c:ptCount val="4"/>
                <c:pt idx="0">
                  <c:v>767</c:v>
                </c:pt>
                <c:pt idx="1">
                  <c:v>687</c:v>
                </c:pt>
              </c:numCache>
            </c:numRef>
          </c:val>
          <c:extLst>
            <c:ext xmlns:c16="http://schemas.microsoft.com/office/drawing/2014/chart" uri="{C3380CC4-5D6E-409C-BE32-E72D297353CC}">
              <c16:uniqueId val="{00000008-408D-4BA0-A789-7E353342343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 ¿El gobierno municipal es capaz y eficiente?</c:v>
                </c:pt>
              </c:strCache>
            </c:strRef>
          </c:tx>
          <c:dPt>
            <c:idx val="0"/>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7442-4AC2-BC44-6490D2B2A0A5}"/>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7442-4AC2-BC44-6490D2B2A0A5}"/>
              </c:ext>
            </c:extLst>
          </c:dPt>
          <c:dLbls>
            <c:dLbl>
              <c:idx val="0"/>
              <c:tx>
                <c:rich>
                  <a:bodyPr/>
                  <a:lstStyle/>
                  <a:p>
                    <a:r>
                      <a:rPr lang="en-US" baseline="0"/>
                      <a:t>
</a:t>
                    </a:r>
                    <a:fld id="{BFF54ED1-D57F-4077-A5C9-DACA48985779}"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42-4AC2-BC44-6490D2B2A0A5}"/>
                </c:ext>
              </c:extLst>
            </c:dLbl>
            <c:dLbl>
              <c:idx val="1"/>
              <c:tx>
                <c:rich>
                  <a:bodyPr/>
                  <a:lstStyle/>
                  <a:p>
                    <a:r>
                      <a:rPr lang="en-US" baseline="0"/>
                      <a:t>
</a:t>
                    </a:r>
                    <a:fld id="{1B2C64BA-9FE1-4E93-847F-1148C8FA9A50}"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442-4AC2-BC44-6490D2B2A0A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2"/>
                <c:pt idx="0">
                  <c:v>Si</c:v>
                </c:pt>
                <c:pt idx="1">
                  <c:v>No</c:v>
                </c:pt>
              </c:strCache>
            </c:strRef>
          </c:cat>
          <c:val>
            <c:numRef>
              <c:f>Hoja1!$B$2:$B$5</c:f>
              <c:numCache>
                <c:formatCode>General</c:formatCode>
                <c:ptCount val="2"/>
                <c:pt idx="0">
                  <c:v>758</c:v>
                </c:pt>
                <c:pt idx="1">
                  <c:v>696</c:v>
                </c:pt>
              </c:numCache>
            </c:numRef>
          </c:val>
          <c:extLst>
            <c:ext xmlns:c16="http://schemas.microsoft.com/office/drawing/2014/chart" uri="{C3380CC4-5D6E-409C-BE32-E72D297353CC}">
              <c16:uniqueId val="{00000004-7442-4AC2-BC44-6490D2B2A0A5}"/>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Distribución porcentual de la población por municipio </a:t>
            </a:r>
          </a:p>
          <a:p>
            <a:pPr>
              <a:defRPr/>
            </a:pPr>
            <a:r>
              <a:rPr lang="en-US"/>
              <a:t>Zona V: Valle de Toluca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Hoja1!$C$1</c:f>
              <c:strCache>
                <c:ptCount val="1"/>
                <c:pt idx="0">
                  <c:v>% de población</c:v>
                </c:pt>
              </c:strCache>
            </c:strRef>
          </c:tx>
          <c:spPr>
            <a:solidFill>
              <a:schemeClr val="accent2">
                <a:lumMod val="75000"/>
              </a:schemeClr>
            </a:solidFill>
            <a:ln>
              <a:noFill/>
            </a:ln>
            <a:effectLst/>
          </c:spPr>
          <c:invertIfNegative val="0"/>
          <c:dLbls>
            <c:dLbl>
              <c:idx val="1"/>
              <c:layout>
                <c:manualLayout>
                  <c:x val="4.4223327805417356E-3"/>
                  <c:y val="-1.0102855668884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E6-40CC-B401-EA5FA3CD45BA}"/>
                </c:ext>
              </c:extLst>
            </c:dLbl>
            <c:dLbl>
              <c:idx val="2"/>
              <c:layout>
                <c:manualLayout>
                  <c:x val="2.0268791097345261E-17"/>
                  <c:y val="1.659605065897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E6-40CC-B401-EA5FA3CD45BA}"/>
                </c:ext>
              </c:extLst>
            </c:dLbl>
            <c:dLbl>
              <c:idx val="3"/>
              <c:layout>
                <c:manualLayout>
                  <c:x val="0"/>
                  <c:y val="3.2793649304032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DE6-40CC-B401-EA5FA3CD45BA}"/>
                </c:ext>
              </c:extLst>
            </c:dLbl>
            <c:dLbl>
              <c:idx val="4"/>
              <c:layout>
                <c:manualLayout>
                  <c:x val="-4.0537582194690522E-17"/>
                  <c:y val="9.355233863807528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DE6-40CC-B401-EA5FA3CD45BA}"/>
                </c:ext>
              </c:extLst>
            </c:dLbl>
            <c:dLbl>
              <c:idx val="5"/>
              <c:layout>
                <c:manualLayout>
                  <c:x val="6.6334991708126038E-3"/>
                  <c:y val="9.93770779469136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DE6-40CC-B401-EA5FA3CD45BA}"/>
                </c:ext>
              </c:extLst>
            </c:dLbl>
            <c:dLbl>
              <c:idx val="6"/>
              <c:layout>
                <c:manualLayout>
                  <c:x val="0"/>
                  <c:y val="1.992522209112323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DE6-40CC-B401-EA5FA3CD45BA}"/>
                </c:ext>
              </c:extLst>
            </c:dLbl>
            <c:dLbl>
              <c:idx val="8"/>
              <c:layout>
                <c:manualLayout>
                  <c:x val="0"/>
                  <c:y val="-2.683259746411507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DE6-40CC-B401-EA5FA3CD45BA}"/>
                </c:ext>
              </c:extLst>
            </c:dLbl>
            <c:dLbl>
              <c:idx val="9"/>
              <c:layout>
                <c:manualLayout>
                  <c:x val="0"/>
                  <c:y val="1.992522209112329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DE6-40CC-B401-EA5FA3CD45BA}"/>
                </c:ext>
              </c:extLst>
            </c:dLbl>
            <c:dLbl>
              <c:idx val="11"/>
              <c:layout>
                <c:manualLayout>
                  <c:x val="-8.1075164389381044E-17"/>
                  <c:y val="8.86031452019430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DE6-40CC-B401-EA5FA3CD45BA}"/>
                </c:ext>
              </c:extLst>
            </c:dLbl>
            <c:dLbl>
              <c:idx val="12"/>
              <c:layout>
                <c:manualLayout>
                  <c:x val="0"/>
                  <c:y val="1.32668792268353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DE6-40CC-B401-EA5FA3CD45BA}"/>
                </c:ext>
              </c:extLst>
            </c:dLbl>
            <c:dLbl>
              <c:idx val="13"/>
              <c:layout>
                <c:manualLayout>
                  <c:x val="0"/>
                  <c:y val="1.32668792268353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DE6-40CC-B401-EA5FA3CD45BA}"/>
                </c:ext>
              </c:extLst>
            </c:dLbl>
            <c:dLbl>
              <c:idx val="15"/>
              <c:layout>
                <c:manualLayout>
                  <c:x val="0"/>
                  <c:y val="1.217244688595333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DE6-40CC-B401-EA5FA3CD45BA}"/>
                </c:ext>
              </c:extLst>
            </c:dLbl>
            <c:dLbl>
              <c:idx val="17"/>
              <c:layout>
                <c:manualLayout>
                  <c:x val="-8.1075164389381044E-17"/>
                  <c:y val="6.60853636254729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DE6-40CC-B401-EA5FA3CD45BA}"/>
                </c:ext>
              </c:extLst>
            </c:dLbl>
            <c:dLbl>
              <c:idx val="18"/>
              <c:layout>
                <c:manualLayout>
                  <c:x val="4.4223327805415734E-3"/>
                  <c:y val="6.60853636254723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DE6-40CC-B401-EA5FA3CD45BA}"/>
                </c:ext>
              </c:extLst>
            </c:dLbl>
            <c:dLbl>
              <c:idx val="19"/>
              <c:layout>
                <c:manualLayout>
                  <c:x val="4.4223327805415734E-3"/>
                  <c:y val="-8.634088146498283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DE6-40CC-B401-EA5FA3CD45BA}"/>
                </c:ext>
              </c:extLst>
            </c:dLbl>
            <c:dLbl>
              <c:idx val="21"/>
              <c:layout>
                <c:manualLayout>
                  <c:x val="0"/>
                  <c:y val="3.279364930403155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DE6-40CC-B401-EA5FA3CD45BA}"/>
                </c:ext>
              </c:extLst>
            </c:dLbl>
            <c:dLbl>
              <c:idx val="22"/>
              <c:layout>
                <c:manualLayout>
                  <c:x val="-1.6215032877876209E-16"/>
                  <c:y val="-7.228758378961017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DE6-40CC-B401-EA5FA3CD45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Hoja1!$A$2:$B$24</c:f>
              <c:multiLvlStrCache>
                <c:ptCount val="23"/>
                <c:lvl>
                  <c:pt idx="0">
                    <c:v>Isidro Fabela</c:v>
                  </c:pt>
                  <c:pt idx="1">
                    <c:v>Jilotzingo</c:v>
                  </c:pt>
                  <c:pt idx="2">
                    <c:v>Nicolás Romero</c:v>
                  </c:pt>
                  <c:pt idx="3">
                    <c:v>Otzolotepec</c:v>
                  </c:pt>
                  <c:pt idx="4">
                    <c:v>Temoaya</c:v>
                  </c:pt>
                  <c:pt idx="5">
                    <c:v>Xonacatlán</c:v>
                  </c:pt>
                  <c:pt idx="6">
                    <c:v>Almoloya de Juarez </c:v>
                  </c:pt>
                  <c:pt idx="7">
                    <c:v>Almoloya del Río</c:v>
                  </c:pt>
                  <c:pt idx="8">
                    <c:v>Calimaya</c:v>
                  </c:pt>
                  <c:pt idx="9">
                    <c:v>Metepec</c:v>
                  </c:pt>
                  <c:pt idx="10">
                    <c:v>Mexicaltzingo</c:v>
                  </c:pt>
                  <c:pt idx="11">
                    <c:v>San Mateo Atenco</c:v>
                  </c:pt>
                  <c:pt idx="12">
                    <c:v>Toluca</c:v>
                  </c:pt>
                  <c:pt idx="13">
                    <c:v>Zinacantepec</c:v>
                  </c:pt>
                  <c:pt idx="14">
                    <c:v>Atizapán</c:v>
                  </c:pt>
                  <c:pt idx="15">
                    <c:v>Capulhuac</c:v>
                  </c:pt>
                  <c:pt idx="16">
                    <c:v>Chapultepec</c:v>
                  </c:pt>
                  <c:pt idx="17">
                    <c:v>Lerma</c:v>
                  </c:pt>
                  <c:pt idx="18">
                    <c:v>Ocoyoacac</c:v>
                  </c:pt>
                  <c:pt idx="19">
                    <c:v>San Antonio la Isla</c:v>
                  </c:pt>
                  <c:pt idx="20">
                    <c:v>Texcalyacac</c:v>
                  </c:pt>
                  <c:pt idx="21">
                    <c:v>Tianguistenco </c:v>
                  </c:pt>
                  <c:pt idx="22">
                    <c:v>xalatlaco</c:v>
                  </c:pt>
                </c:lvl>
                <c:lvl>
                  <c:pt idx="0">
                    <c:v>Región 10: Nicolás Romero</c:v>
                  </c:pt>
                  <c:pt idx="6">
                    <c:v>Región 14: Toluca</c:v>
                  </c:pt>
                  <c:pt idx="14">
                    <c:v>Región 16: Lerma</c:v>
                  </c:pt>
                </c:lvl>
              </c:multiLvlStrCache>
            </c:multiLvlStrRef>
          </c:cat>
          <c:val>
            <c:numRef>
              <c:f>Hoja1!$C$2:$C$24</c:f>
              <c:numCache>
                <c:formatCode>0.00%</c:formatCode>
                <c:ptCount val="23"/>
                <c:pt idx="0">
                  <c:v>1.6799999999999999E-2</c:v>
                </c:pt>
                <c:pt idx="1">
                  <c:v>2.76E-2</c:v>
                </c:pt>
                <c:pt idx="2">
                  <c:v>0.60509999999999997</c:v>
                </c:pt>
                <c:pt idx="3">
                  <c:v>0.12479999999999999</c:v>
                </c:pt>
                <c:pt idx="4">
                  <c:v>7.6600000000000001E-2</c:v>
                </c:pt>
                <c:pt idx="5">
                  <c:v>0.14860000000000001</c:v>
                </c:pt>
                <c:pt idx="6">
                  <c:v>0.1013</c:v>
                </c:pt>
                <c:pt idx="7">
                  <c:v>7.4000000000000003E-3</c:v>
                </c:pt>
                <c:pt idx="8">
                  <c:v>3.9699999999999999E-2</c:v>
                </c:pt>
                <c:pt idx="9">
                  <c:v>0.1406</c:v>
                </c:pt>
                <c:pt idx="10">
                  <c:v>8.0000000000000002E-3</c:v>
                </c:pt>
                <c:pt idx="11">
                  <c:v>5.6500000000000002E-2</c:v>
                </c:pt>
                <c:pt idx="12">
                  <c:v>0.52829999999999999</c:v>
                </c:pt>
                <c:pt idx="13">
                  <c:v>0.1183</c:v>
                </c:pt>
                <c:pt idx="14">
                  <c:v>2.8400000000000002E-2</c:v>
                </c:pt>
                <c:pt idx="15">
                  <c:v>8.0699999999999994E-2</c:v>
                </c:pt>
                <c:pt idx="16">
                  <c:v>2.7900000000000001E-2</c:v>
                </c:pt>
                <c:pt idx="17">
                  <c:v>0.37209999999999999</c:v>
                </c:pt>
                <c:pt idx="18">
                  <c:v>0.1575</c:v>
                </c:pt>
                <c:pt idx="19">
                  <c:v>6.9800000000000001E-2</c:v>
                </c:pt>
                <c:pt idx="20">
                  <c:v>1.2500000000000001E-2</c:v>
                </c:pt>
                <c:pt idx="21">
                  <c:v>0.18410000000000001</c:v>
                </c:pt>
                <c:pt idx="22">
                  <c:v>6.7000000000000004E-2</c:v>
                </c:pt>
              </c:numCache>
            </c:numRef>
          </c:val>
          <c:extLst>
            <c:ext xmlns:c16="http://schemas.microsoft.com/office/drawing/2014/chart" uri="{C3380CC4-5D6E-409C-BE32-E72D297353CC}">
              <c16:uniqueId val="{00000011-8DE6-40CC-B401-EA5FA3CD45BA}"/>
            </c:ext>
          </c:extLst>
        </c:ser>
        <c:dLbls>
          <c:dLblPos val="inEnd"/>
          <c:showLegendKey val="0"/>
          <c:showVal val="1"/>
          <c:showCatName val="0"/>
          <c:showSerName val="0"/>
          <c:showPercent val="0"/>
          <c:showBubbleSize val="0"/>
        </c:dLbls>
        <c:gapWidth val="219"/>
        <c:overlap val="-27"/>
        <c:axId val="281506160"/>
        <c:axId val="281512400"/>
      </c:barChart>
      <c:catAx>
        <c:axId val="28150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1512400"/>
        <c:crosses val="autoZero"/>
        <c:auto val="1"/>
        <c:lblAlgn val="ctr"/>
        <c:lblOffset val="100"/>
        <c:noMultiLvlLbl val="0"/>
      </c:catAx>
      <c:valAx>
        <c:axId val="281512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150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3"/>
          <c:order val="3"/>
          <c:tx>
            <c:strRef>
              <c:f>'[San Antonio la Isla población 1990-2020.xlsx]Hoja1'!$E$2</c:f>
              <c:strCache>
                <c:ptCount val="1"/>
                <c:pt idx="0">
                  <c:v>Poblacion </c:v>
                </c:pt>
              </c:strCache>
            </c:strRef>
          </c:tx>
          <c:spPr>
            <a:ln w="28575" cap="rnd">
              <a:solidFill>
                <a:schemeClr val="accent2"/>
              </a:solidFill>
              <a:round/>
            </a:ln>
            <a:effectLst/>
          </c:spPr>
          <c:marker>
            <c:symbol val="none"/>
          </c:marker>
          <c:cat>
            <c:numRef>
              <c:f>'[San Antonio la Isla población 1990-2020.xlsx]Hoja1'!$A$3:$A$19</c:f>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Ref>
              <c:f>'[San Antonio la Isla población 1990-2020.xlsx]Hoja1'!$E$3:$E$19</c:f>
              <c:numCache>
                <c:formatCode>General</c:formatCode>
                <c:ptCount val="17"/>
                <c:pt idx="0">
                  <c:v>7321</c:v>
                </c:pt>
                <c:pt idx="1">
                  <c:v>9118</c:v>
                </c:pt>
                <c:pt idx="2">
                  <c:v>10321</c:v>
                </c:pt>
                <c:pt idx="3">
                  <c:v>11313</c:v>
                </c:pt>
                <c:pt idx="4">
                  <c:v>22152</c:v>
                </c:pt>
                <c:pt idx="5">
                  <c:v>27230</c:v>
                </c:pt>
                <c:pt idx="6">
                  <c:v>31962</c:v>
                </c:pt>
                <c:pt idx="7">
                  <c:v>41105.450219001803</c:v>
                </c:pt>
                <c:pt idx="8">
                  <c:v>47074.702460884997</c:v>
                </c:pt>
                <c:pt idx="9">
                  <c:v>52545.889403822897</c:v>
                </c:pt>
                <c:pt idx="10">
                  <c:v>57889.9401687563</c:v>
                </c:pt>
                <c:pt idx="11">
                  <c:v>62456.842365247503</c:v>
                </c:pt>
                <c:pt idx="12">
                  <c:v>66383.006156462507</c:v>
                </c:pt>
                <c:pt idx="13">
                  <c:v>69827.321843999103</c:v>
                </c:pt>
                <c:pt idx="14">
                  <c:v>72341.208679037503</c:v>
                </c:pt>
                <c:pt idx="15">
                  <c:v>74066.6932097838</c:v>
                </c:pt>
                <c:pt idx="16">
                  <c:v>75142.821117915606</c:v>
                </c:pt>
              </c:numCache>
            </c:numRef>
          </c:val>
          <c:smooth val="0"/>
          <c:extLst>
            <c:ext xmlns:c16="http://schemas.microsoft.com/office/drawing/2014/chart" uri="{C3380CC4-5D6E-409C-BE32-E72D297353CC}">
              <c16:uniqueId val="{00000000-6E52-4A19-936B-A78971CB67F8}"/>
            </c:ext>
          </c:extLst>
        </c:ser>
        <c:dLbls>
          <c:showLegendKey val="0"/>
          <c:showVal val="0"/>
          <c:showCatName val="0"/>
          <c:showSerName val="0"/>
          <c:showPercent val="0"/>
          <c:showBubbleSize val="0"/>
        </c:dLbls>
        <c:smooth val="0"/>
        <c:axId val="643132903"/>
        <c:axId val="443501219"/>
        <c:extLst>
          <c:ext xmlns:c15="http://schemas.microsoft.com/office/drawing/2012/chart" uri="{02D57815-91ED-43cb-92C2-25804820EDAC}">
            <c15:filteredLineSeries>
              <c15:ser>
                <c:idx val="0"/>
                <c:order val="0"/>
                <c:tx>
                  <c:strRef>
                    <c:extLst>
                      <c:ext uri="{02D57815-91ED-43cb-92C2-25804820EDAC}">
                        <c15:formulaRef>
                          <c15:sqref>'[San Antonio la Isla población 1990-2020.xlsx]Hoja1'!$B$2</c15:sqref>
                        </c15:formulaRef>
                      </c:ext>
                    </c:extLst>
                    <c:strCache>
                      <c:ptCount val="1"/>
                      <c:pt idx="0">
                        <c:v>Mex</c:v>
                      </c:pt>
                    </c:strCache>
                  </c:strRef>
                </c:tx>
                <c:spPr>
                  <a:ln w="28575" cap="rnd">
                    <a:solidFill>
                      <a:schemeClr val="accent2">
                        <a:shade val="47000"/>
                      </a:schemeClr>
                    </a:solidFill>
                    <a:round/>
                  </a:ln>
                  <a:effectLst/>
                </c:spPr>
                <c:marker>
                  <c:symbol val="none"/>
                </c:marker>
                <c:cat>
                  <c:numRef>
                    <c:extLst>
                      <c:ext uri="{02D57815-91ED-43cb-92C2-25804820EDAC}">
                        <c15:formulaRef>
                          <c15:sqref>'[San Antonio la Isla población 1990-2020.xlsx]Hoja1'!$A$3:$A$19</c15:sqref>
                        </c15:formulaRef>
                      </c:ext>
                    </c:extLst>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Lit>
                    <c:formatCode>General</c:formatCode>
                    <c:ptCount val="17"/>
                    <c:pt idx="0">
                      <c:v>81249645</c:v>
                    </c:pt>
                    <c:pt idx="1">
                      <c:v>91158290</c:v>
                    </c:pt>
                    <c:pt idx="2">
                      <c:v>97483412</c:v>
                    </c:pt>
                    <c:pt idx="3">
                      <c:v>103263388</c:v>
                    </c:pt>
                    <c:pt idx="4">
                      <c:v>112336538</c:v>
                    </c:pt>
                    <c:pt idx="5">
                      <c:v>119938473</c:v>
                    </c:pt>
                    <c:pt idx="6">
                      <c:v>126014024</c:v>
                    </c:pt>
                    <c:pt idx="7">
                      <c:v>133367428</c:v>
                    </c:pt>
                    <c:pt idx="8">
                      <c:v>138033990</c:v>
                    </c:pt>
                    <c:pt idx="9">
                      <c:v>141656637</c:v>
                    </c:pt>
                    <c:pt idx="10">
                      <c:v>144476530</c:v>
                    </c:pt>
                    <c:pt idx="11">
                      <c:v>146194887</c:v>
                    </c:pt>
                    <c:pt idx="12">
                      <c:v>146943948</c:v>
                    </c:pt>
                    <c:pt idx="13">
                      <c:v>146872208</c:v>
                    </c:pt>
                    <c:pt idx="14">
                      <c:v>145822700</c:v>
                    </c:pt>
                    <c:pt idx="15">
                      <c:v>143958301</c:v>
                    </c:pt>
                    <c:pt idx="16">
                      <c:v>141440479</c:v>
                    </c:pt>
                  </c:numLit>
                </c:val>
                <c:smooth val="0"/>
                <c:extLst>
                  <c:ext xmlns:c16="http://schemas.microsoft.com/office/drawing/2014/chart" uri="{C3380CC4-5D6E-409C-BE32-E72D297353CC}">
                    <c16:uniqueId val="{00000001-6E52-4A19-936B-A78971CB67F8}"/>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'[San Antonio la Isla población 1990-2020.xlsx]Hoja1'!$C$2</c15:sqref>
                        </c15:formulaRef>
                      </c:ext>
                    </c:extLst>
                    <c:strCache>
                      <c:ptCount val="1"/>
                      <c:pt idx="0">
                        <c:v>Emex</c:v>
                      </c:pt>
                    </c:strCache>
                  </c:strRef>
                </c:tx>
                <c:spPr>
                  <a:ln w="28575" cap="rnd">
                    <a:solidFill>
                      <a:schemeClr val="accent2">
                        <a:shade val="6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'[San Antonio la Isla población 1990-2020.xlsx]Hoja1'!$A$3:$A$19</c15:sqref>
                        </c15:formulaRef>
                      </c:ext>
                    </c:extLst>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Lit>
                    <c:formatCode>General</c:formatCode>
                    <c:ptCount val="17"/>
                    <c:pt idx="0">
                      <c:v>9815795</c:v>
                    </c:pt>
                    <c:pt idx="1">
                      <c:v>11707964</c:v>
                    </c:pt>
                    <c:pt idx="2">
                      <c:v>13096686</c:v>
                    </c:pt>
                    <c:pt idx="3">
                      <c:v>14007495</c:v>
                    </c:pt>
                    <c:pt idx="4">
                      <c:v>15175862</c:v>
                    </c:pt>
                    <c:pt idx="5">
                      <c:v>16187608</c:v>
                    </c:pt>
                    <c:pt idx="6">
                      <c:v>16992418</c:v>
                    </c:pt>
                    <c:pt idx="7">
                      <c:v>17723173</c:v>
                    </c:pt>
                    <c:pt idx="8">
                      <c:v>18144619</c:v>
                    </c:pt>
                    <c:pt idx="9">
                      <c:v>18389911</c:v>
                    </c:pt>
                    <c:pt idx="10">
                      <c:v>18474722</c:v>
                    </c:pt>
                    <c:pt idx="11">
                      <c:v>18398259</c:v>
                    </c:pt>
                    <c:pt idx="12">
                      <c:v>18175667</c:v>
                    </c:pt>
                    <c:pt idx="13">
                      <c:v>17823394</c:v>
                    </c:pt>
                    <c:pt idx="14">
                      <c:v>17351496</c:v>
                    </c:pt>
                    <c:pt idx="15">
                      <c:v>16781168</c:v>
                    </c:pt>
                    <c:pt idx="16">
                      <c:v>16133593</c:v>
                    </c:pt>
                  </c:numLit>
                </c:val>
                <c:smooth val="0"/>
                <c:extLst xmlns:c15="http://schemas.microsoft.com/office/drawing/2012/chart">
                  <c:ext xmlns:c16="http://schemas.microsoft.com/office/drawing/2014/chart" uri="{C3380CC4-5D6E-409C-BE32-E72D297353CC}">
                    <c16:uniqueId val="{00000002-6E52-4A19-936B-A78971CB67F8}"/>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'[San Antonio la Isla población 1990-2020.xlsx]Hoja1'!$D$2</c15:sqref>
                        </c15:formulaRef>
                      </c:ext>
                    </c:extLst>
                    <c:strCache>
                      <c:ptCount val="1"/>
                      <c:pt idx="0">
                        <c:v>Año</c:v>
                      </c:pt>
                    </c:strCache>
                  </c:strRef>
                </c:tx>
                <c:spPr>
                  <a:ln w="28575" cap="rnd">
                    <a:solidFill>
                      <a:schemeClr val="accent2">
                        <a:shade val="82000"/>
                      </a:schemeClr>
                    </a:solidFill>
                    <a:round/>
                  </a:ln>
                  <a:effectLst/>
                </c:spPr>
                <c:marker>
                  <c:symbol val="none"/>
                </c:marker>
                <c:cat>
                  <c:numRef>
                    <c:extLst xmlns:c15="http://schemas.microsoft.com/office/drawing/2012/chart">
                      <c:ext xmlns:c15="http://schemas.microsoft.com/office/drawing/2012/chart" uri="{02D57815-91ED-43cb-92C2-25804820EDAC}">
                        <c15:formulaRef>
                          <c15:sqref>'[San Antonio la Isla población 1990-2020.xlsx]Hoja1'!$A$3:$A$19</c15:sqref>
                        </c15:formulaRef>
                      </c:ext>
                    </c:extLst>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Lit>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Lit>
                </c:val>
                <c:smooth val="0"/>
                <c:extLst xmlns:c15="http://schemas.microsoft.com/office/drawing/2012/chart">
                  <c:ext xmlns:c16="http://schemas.microsoft.com/office/drawing/2014/chart" uri="{C3380CC4-5D6E-409C-BE32-E72D297353CC}">
                    <c16:uniqueId val="{00000003-6E52-4A19-936B-A78971CB67F8}"/>
                  </c:ext>
                </c:extLst>
              </c15:ser>
            </c15:filteredLineSeries>
            <c15:filteredLineSeries>
              <c15:ser>
                <c:idx val="4"/>
                <c:order val="4"/>
                <c:tx>
                  <c:strRef>
                    <c:extLst xmlns:c15="http://schemas.microsoft.com/office/drawing/2012/chart">
                      <c:ext xmlns:c15="http://schemas.microsoft.com/office/drawing/2012/chart" uri="{02D57815-91ED-43cb-92C2-25804820EDAC}">
                        <c15:formulaRef>
                          <c15:sqref>'[San Antonio la Isla población 1990-2020.xlsx]Hoja1'!$F$2</c15:sqref>
                        </c15:formulaRef>
                      </c:ext>
                    </c:extLst>
                    <c:strCache>
                      <c:ptCount val="1"/>
                      <c:pt idx="0">
                        <c:v>SALI </c:v>
                      </c:pt>
                    </c:strCache>
                  </c:strRef>
                </c:tx>
                <c:spPr>
                  <a:ln w="28575" cap="rnd">
                    <a:solidFill>
                      <a:schemeClr val="accent2">
                        <a:tint val="83000"/>
                      </a:schemeClr>
                    </a:solidFill>
                    <a:round/>
                  </a:ln>
                  <a:effectLst/>
                </c:spPr>
                <c:marker>
                  <c:symbol val="none"/>
                </c:marker>
                <c:cat>
                  <c:numRef>
                    <c:extLst xmlns:c15="http://schemas.microsoft.com/office/drawing/2012/chart">
                      <c:ext xmlns:c15="http://schemas.microsoft.com/office/drawing/2012/chart" uri="{02D57815-91ED-43cb-92C2-25804820EDAC}">
                        <c15:formulaRef>
                          <c15:sqref>'[San Antonio la Isla población 1990-2020.xlsx]Hoja1'!$A$3:$A$19</c15:sqref>
                        </c15:formulaRef>
                      </c:ext>
                    </c:extLst>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Lit>
                    <c:formatCode>General</c:formatCode>
                    <c:ptCount val="17"/>
                  </c:numLit>
                </c:val>
                <c:smooth val="0"/>
                <c:extLst xmlns:c15="http://schemas.microsoft.com/office/drawing/2012/chart">
                  <c:ext xmlns:c16="http://schemas.microsoft.com/office/drawing/2014/chart" uri="{C3380CC4-5D6E-409C-BE32-E72D297353CC}">
                    <c16:uniqueId val="{00000004-6E52-4A19-936B-A78971CB67F8}"/>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'[San Antonio la Isla población 1990-2020.xlsx]Hoja1'!$G$2</c15:sqref>
                        </c15:formulaRef>
                      </c:ext>
                    </c:extLst>
                    <c:strCache>
                      <c:ptCount val="1"/>
                      <c:pt idx="0">
                        <c:v>LIMINFPRON</c:v>
                      </c:pt>
                    </c:strCache>
                  </c:strRef>
                </c:tx>
                <c:spPr>
                  <a:ln w="28575" cap="rnd">
                    <a:solidFill>
                      <a:schemeClr val="accent2">
                        <a:tint val="65000"/>
                      </a:schemeClr>
                    </a:solidFill>
                    <a:round/>
                  </a:ln>
                  <a:effectLst/>
                </c:spPr>
                <c:marker>
                  <c:symbol val="none"/>
                </c:marker>
                <c:cat>
                  <c:numRef>
                    <c:extLst xmlns:c15="http://schemas.microsoft.com/office/drawing/2012/chart">
                      <c:ext xmlns:c15="http://schemas.microsoft.com/office/drawing/2012/chart" uri="{02D57815-91ED-43cb-92C2-25804820EDAC}">
                        <c15:formulaRef>
                          <c15:sqref>'[San Antonio la Isla población 1990-2020.xlsx]Hoja1'!$A$3:$A$19</c15:sqref>
                        </c15:formulaRef>
                      </c:ext>
                    </c:extLst>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Lit>
                    <c:formatCode>General</c:formatCode>
                    <c:ptCount val="17"/>
                    <c:pt idx="0">
                      <c:v>4079.57584253717</c:v>
                    </c:pt>
                    <c:pt idx="1">
                      <c:v>7054.4035356357199</c:v>
                    </c:pt>
                    <c:pt idx="2">
                      <c:v>6616.5693575328496</c:v>
                    </c:pt>
                    <c:pt idx="3">
                      <c:v>10064.966539644</c:v>
                    </c:pt>
                    <c:pt idx="4">
                      <c:v>18308.109839066699</c:v>
                    </c:pt>
                    <c:pt idx="5">
                      <c:v>24580.334453950902</c:v>
                    </c:pt>
                    <c:pt idx="6">
                      <c:v>29479.798036489701</c:v>
                    </c:pt>
                    <c:pt idx="7">
                      <c:v>37324.329362169898</c:v>
                    </c:pt>
                    <c:pt idx="8">
                      <c:v>42455.255920530799</c:v>
                    </c:pt>
                    <c:pt idx="9">
                      <c:v>46990.661113094298</c:v>
                    </c:pt>
                    <c:pt idx="10">
                      <c:v>51259.771822914801</c:v>
                    </c:pt>
                    <c:pt idx="11">
                      <c:v>54764.9401130568</c:v>
                    </c:pt>
                    <c:pt idx="12">
                      <c:v>57637.027969458002</c:v>
                    </c:pt>
                    <c:pt idx="13">
                      <c:v>60017.016665445299</c:v>
                    </c:pt>
                    <c:pt idx="14">
                      <c:v>61572.412488597802</c:v>
                    </c:pt>
                    <c:pt idx="15">
                      <c:v>62432.883086821901</c:v>
                    </c:pt>
                    <c:pt idx="16">
                      <c:v>62723.961223266801</c:v>
                    </c:pt>
                  </c:numLit>
                </c:val>
                <c:smooth val="0"/>
                <c:extLst xmlns:c15="http://schemas.microsoft.com/office/drawing/2012/chart">
                  <c:ext xmlns:c16="http://schemas.microsoft.com/office/drawing/2014/chart" uri="{C3380CC4-5D6E-409C-BE32-E72D297353CC}">
                    <c16:uniqueId val="{00000005-6E52-4A19-936B-A78971CB67F8}"/>
                  </c:ext>
                </c:extLst>
              </c15:ser>
            </c15:filteredLineSeries>
            <c15:filteredLineSeries>
              <c15:ser>
                <c:idx val="6"/>
                <c:order val="6"/>
                <c:tx>
                  <c:strRef>
                    <c:extLst xmlns:c15="http://schemas.microsoft.com/office/drawing/2012/chart">
                      <c:ext xmlns:c15="http://schemas.microsoft.com/office/drawing/2012/chart" uri="{02D57815-91ED-43cb-92C2-25804820EDAC}">
                        <c15:formulaRef>
                          <c15:sqref>'[San Antonio la Isla población 1990-2020.xlsx]Hoja1'!$H$2</c15:sqref>
                        </c15:formulaRef>
                      </c:ext>
                    </c:extLst>
                    <c:strCache>
                      <c:ptCount val="1"/>
                      <c:pt idx="0">
                        <c:v>LIMSUPPRON</c:v>
                      </c:pt>
                    </c:strCache>
                  </c:strRef>
                </c:tx>
                <c:spPr>
                  <a:ln w="28575" cap="rnd">
                    <a:solidFill>
                      <a:schemeClr val="accent2">
                        <a:tint val="48000"/>
                      </a:schemeClr>
                    </a:solidFill>
                    <a:round/>
                  </a:ln>
                  <a:effectLst/>
                </c:spPr>
                <c:marker>
                  <c:symbol val="none"/>
                </c:marker>
                <c:cat>
                  <c:numRef>
                    <c:extLst xmlns:c15="http://schemas.microsoft.com/office/drawing/2012/chart">
                      <c:ext xmlns:c15="http://schemas.microsoft.com/office/drawing/2012/chart" uri="{02D57815-91ED-43cb-92C2-25804820EDAC}">
                        <c15:formulaRef>
                          <c15:sqref>'[San Antonio la Isla población 1990-2020.xlsx]Hoja1'!$A$3:$A$19</c15:sqref>
                        </c15:formulaRef>
                      </c:ext>
                    </c:extLst>
                    <c:numCache>
                      <c:formatCode>General</c:formatCode>
                      <c:ptCount val="17"/>
                      <c:pt idx="0">
                        <c:v>1990</c:v>
                      </c:pt>
                      <c:pt idx="1">
                        <c:v>1995</c:v>
                      </c:pt>
                      <c:pt idx="2">
                        <c:v>2000</c:v>
                      </c:pt>
                      <c:pt idx="3">
                        <c:v>2005</c:v>
                      </c:pt>
                      <c:pt idx="4">
                        <c:v>2010</c:v>
                      </c:pt>
                      <c:pt idx="5">
                        <c:v>2015</c:v>
                      </c:pt>
                      <c:pt idx="6">
                        <c:v>2020</c:v>
                      </c:pt>
                      <c:pt idx="7">
                        <c:v>2025</c:v>
                      </c:pt>
                      <c:pt idx="8">
                        <c:v>2030</c:v>
                      </c:pt>
                      <c:pt idx="9">
                        <c:v>2035</c:v>
                      </c:pt>
                      <c:pt idx="10">
                        <c:v>2040</c:v>
                      </c:pt>
                      <c:pt idx="11">
                        <c:v>2045</c:v>
                      </c:pt>
                      <c:pt idx="12">
                        <c:v>2050</c:v>
                      </c:pt>
                      <c:pt idx="13">
                        <c:v>2055</c:v>
                      </c:pt>
                      <c:pt idx="14">
                        <c:v>2060</c:v>
                      </c:pt>
                      <c:pt idx="15">
                        <c:v>2065</c:v>
                      </c:pt>
                      <c:pt idx="16">
                        <c:v>2070</c:v>
                      </c:pt>
                    </c:numCache>
                  </c:numRef>
                </c:cat>
                <c:val>
                  <c:numLit>
                    <c:formatCode>General</c:formatCode>
                    <c:ptCount val="17"/>
                    <c:pt idx="0">
                      <c:v>10254.9211388967</c:v>
                    </c:pt>
                    <c:pt idx="1">
                      <c:v>12232.713656960001</c:v>
                    </c:pt>
                    <c:pt idx="2">
                      <c:v>12132.924449767001</c:v>
                    </c:pt>
                    <c:pt idx="3">
                      <c:v>15519.5937896948</c:v>
                    </c:pt>
                    <c:pt idx="4">
                      <c:v>23351.5790182604</c:v>
                    </c:pt>
                    <c:pt idx="5">
                      <c:v>29876.4526336813</c:v>
                    </c:pt>
                    <c:pt idx="6">
                      <c:v>35282.057707882399</c:v>
                    </c:pt>
                    <c:pt idx="7">
                      <c:v>44886.571075833701</c:v>
                    </c:pt>
                    <c:pt idx="8">
                      <c:v>51694.149001239297</c:v>
                    </c:pt>
                    <c:pt idx="9">
                      <c:v>58101.117694551402</c:v>
                    </c:pt>
                    <c:pt idx="10">
                      <c:v>64520.1085145978</c:v>
                    </c:pt>
                    <c:pt idx="11">
                      <c:v>70148.744617438104</c:v>
                    </c:pt>
                    <c:pt idx="12">
                      <c:v>75128.984343467004</c:v>
                    </c:pt>
                    <c:pt idx="13">
                      <c:v>79637.627022552799</c:v>
                    </c:pt>
                    <c:pt idx="14">
                      <c:v>83110.004869477198</c:v>
                    </c:pt>
                    <c:pt idx="15">
                      <c:v>85700.503332745706</c:v>
                    </c:pt>
                    <c:pt idx="16">
                      <c:v>87561.681012564499</c:v>
                    </c:pt>
                  </c:numLit>
                </c:val>
                <c:smooth val="0"/>
                <c:extLst xmlns:c15="http://schemas.microsoft.com/office/drawing/2012/chart">
                  <c:ext xmlns:c16="http://schemas.microsoft.com/office/drawing/2014/chart" uri="{C3380CC4-5D6E-409C-BE32-E72D297353CC}">
                    <c16:uniqueId val="{00000006-6E52-4A19-936B-A78971CB67F8}"/>
                  </c:ext>
                </c:extLst>
              </c15:ser>
            </c15:filteredLineSeries>
          </c:ext>
        </c:extLst>
      </c:lineChart>
      <c:catAx>
        <c:axId val="64313290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443501219"/>
        <c:crosses val="autoZero"/>
        <c:auto val="1"/>
        <c:lblAlgn val="ctr"/>
        <c:lblOffset val="100"/>
        <c:noMultiLvlLbl val="0"/>
      </c:catAx>
      <c:valAx>
        <c:axId val="443501219"/>
        <c:scaling>
          <c:orientation val="minMax"/>
          <c:max val="100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Habitantes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43132903"/>
        <c:crosses val="autoZero"/>
        <c:crossBetween val="between"/>
        <c:majorUnit val="100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MX" sz="1400">
                <a:solidFill>
                  <a:srgbClr val="025850"/>
                </a:solidFill>
                <a:latin typeface="Century Gothic" panose="020B0502020202020204" pitchFamily="34" charset="0"/>
              </a:rPr>
              <a:t>Mujeres por Rango Edad</a:t>
            </a:r>
          </a:p>
          <a:p>
            <a:pPr>
              <a:defRPr/>
            </a:pPr>
            <a:r>
              <a:rPr lang="es-MX" sz="1400">
                <a:solidFill>
                  <a:srgbClr val="025850"/>
                </a:solidFill>
                <a:latin typeface="Century Gothic" panose="020B0502020202020204" pitchFamily="34" charset="0"/>
              </a:rPr>
              <a:t> San Antonio la Isla</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Mujeres de San Antonio la Isla</c:v>
                </c:pt>
              </c:strCache>
            </c:strRef>
          </c:tx>
          <c:explosion val="9"/>
          <c:dPt>
            <c:idx val="0"/>
            <c:bubble3D val="0"/>
            <c:spPr>
              <a:gradFill rotWithShape="1">
                <a:gsLst>
                  <a:gs pos="0">
                    <a:schemeClr val="accent2">
                      <a:shade val="40000"/>
                      <a:satMod val="103000"/>
                      <a:lumMod val="102000"/>
                      <a:tint val="94000"/>
                    </a:schemeClr>
                  </a:gs>
                  <a:gs pos="50000">
                    <a:schemeClr val="accent2">
                      <a:shade val="40000"/>
                      <a:satMod val="110000"/>
                      <a:lumMod val="100000"/>
                      <a:shade val="100000"/>
                    </a:schemeClr>
                  </a:gs>
                  <a:gs pos="100000">
                    <a:schemeClr val="accent2">
                      <a:shade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01-F2CE-4AAE-837E-EE52173288F5}"/>
              </c:ext>
            </c:extLst>
          </c:dPt>
          <c:dPt>
            <c:idx val="1"/>
            <c:bubble3D val="0"/>
            <c:spPr>
              <a:gradFill rotWithShape="1">
                <a:gsLst>
                  <a:gs pos="0">
                    <a:schemeClr val="accent2">
                      <a:shade val="50000"/>
                      <a:satMod val="103000"/>
                      <a:lumMod val="102000"/>
                      <a:tint val="94000"/>
                    </a:schemeClr>
                  </a:gs>
                  <a:gs pos="50000">
                    <a:schemeClr val="accent2">
                      <a:shade val="50000"/>
                      <a:satMod val="110000"/>
                      <a:lumMod val="100000"/>
                      <a:shade val="100000"/>
                    </a:schemeClr>
                  </a:gs>
                  <a:gs pos="100000">
                    <a:schemeClr val="accent2">
                      <a:shade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03-F2CE-4AAE-837E-EE52173288F5}"/>
              </c:ext>
            </c:extLst>
          </c:dPt>
          <c:dPt>
            <c:idx val="2"/>
            <c:bubble3D val="0"/>
            <c:spPr>
              <a:gradFill rotWithShape="1">
                <a:gsLst>
                  <a:gs pos="0">
                    <a:schemeClr val="accent2">
                      <a:shade val="60000"/>
                      <a:satMod val="103000"/>
                      <a:lumMod val="102000"/>
                      <a:tint val="94000"/>
                    </a:schemeClr>
                  </a:gs>
                  <a:gs pos="50000">
                    <a:schemeClr val="accent2">
                      <a:shade val="60000"/>
                      <a:satMod val="110000"/>
                      <a:lumMod val="100000"/>
                      <a:shade val="100000"/>
                    </a:schemeClr>
                  </a:gs>
                  <a:gs pos="100000">
                    <a:schemeClr val="accent2">
                      <a:shade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5-F2CE-4AAE-837E-EE52173288F5}"/>
              </c:ext>
            </c:extLst>
          </c:dPt>
          <c:dPt>
            <c:idx val="3"/>
            <c:bubble3D val="0"/>
            <c:spPr>
              <a:gradFill rotWithShape="1">
                <a:gsLst>
                  <a:gs pos="0">
                    <a:schemeClr val="accent2">
                      <a:shade val="70000"/>
                      <a:satMod val="103000"/>
                      <a:lumMod val="102000"/>
                      <a:tint val="94000"/>
                    </a:schemeClr>
                  </a:gs>
                  <a:gs pos="50000">
                    <a:schemeClr val="accent2">
                      <a:shade val="70000"/>
                      <a:satMod val="110000"/>
                      <a:lumMod val="100000"/>
                      <a:shade val="100000"/>
                    </a:schemeClr>
                  </a:gs>
                  <a:gs pos="100000">
                    <a:schemeClr val="accent2">
                      <a:shade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07-F2CE-4AAE-837E-EE52173288F5}"/>
              </c:ext>
            </c:extLst>
          </c:dPt>
          <c:dPt>
            <c:idx val="4"/>
            <c:bubble3D val="0"/>
            <c:spPr>
              <a:gradFill rotWithShape="1">
                <a:gsLst>
                  <a:gs pos="0">
                    <a:schemeClr val="accent2">
                      <a:shade val="80000"/>
                      <a:satMod val="103000"/>
                      <a:lumMod val="102000"/>
                      <a:tint val="94000"/>
                    </a:schemeClr>
                  </a:gs>
                  <a:gs pos="50000">
                    <a:schemeClr val="accent2">
                      <a:shade val="80000"/>
                      <a:satMod val="110000"/>
                      <a:lumMod val="100000"/>
                      <a:shade val="100000"/>
                    </a:schemeClr>
                  </a:gs>
                  <a:gs pos="100000">
                    <a:schemeClr val="accent2">
                      <a:shade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09-F2CE-4AAE-837E-EE52173288F5}"/>
              </c:ext>
            </c:extLst>
          </c:dPt>
          <c:dPt>
            <c:idx val="5"/>
            <c:bubble3D val="0"/>
            <c:spPr>
              <a:gradFill rotWithShape="1">
                <a:gsLst>
                  <a:gs pos="0">
                    <a:schemeClr val="accent2">
                      <a:shade val="90000"/>
                      <a:satMod val="103000"/>
                      <a:lumMod val="102000"/>
                      <a:tint val="94000"/>
                    </a:schemeClr>
                  </a:gs>
                  <a:gs pos="50000">
                    <a:schemeClr val="accent2">
                      <a:shade val="90000"/>
                      <a:satMod val="110000"/>
                      <a:lumMod val="100000"/>
                      <a:shade val="100000"/>
                    </a:schemeClr>
                  </a:gs>
                  <a:gs pos="100000">
                    <a:schemeClr val="accent2">
                      <a:shade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B-F2CE-4AAE-837E-EE52173288F5}"/>
              </c:ext>
            </c:extLst>
          </c:dPt>
          <c:dPt>
            <c:idx val="6"/>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D-F2CE-4AAE-837E-EE52173288F5}"/>
              </c:ext>
            </c:extLst>
          </c:dPt>
          <c:dPt>
            <c:idx val="7"/>
            <c:bubble3D val="0"/>
            <c:spPr>
              <a:gradFill rotWithShape="1">
                <a:gsLst>
                  <a:gs pos="0">
                    <a:schemeClr val="accent2">
                      <a:tint val="90000"/>
                      <a:satMod val="103000"/>
                      <a:lumMod val="102000"/>
                      <a:tint val="94000"/>
                    </a:schemeClr>
                  </a:gs>
                  <a:gs pos="50000">
                    <a:schemeClr val="accent2">
                      <a:tint val="90000"/>
                      <a:satMod val="110000"/>
                      <a:lumMod val="100000"/>
                      <a:shade val="100000"/>
                    </a:schemeClr>
                  </a:gs>
                  <a:gs pos="100000">
                    <a:schemeClr val="accent2">
                      <a:tint val="90000"/>
                      <a:lumMod val="99000"/>
                      <a:satMod val="120000"/>
                      <a:shade val="78000"/>
                    </a:schemeClr>
                  </a:gs>
                </a:gsLst>
                <a:lin ang="5400000" scaled="0"/>
              </a:gradFill>
              <a:ln>
                <a:noFill/>
              </a:ln>
              <a:effectLst/>
              <a:sp3d/>
            </c:spPr>
            <c:extLst>
              <c:ext xmlns:c16="http://schemas.microsoft.com/office/drawing/2014/chart" uri="{C3380CC4-5D6E-409C-BE32-E72D297353CC}">
                <c16:uniqueId val="{0000000F-F2CE-4AAE-837E-EE52173288F5}"/>
              </c:ext>
            </c:extLst>
          </c:dPt>
          <c:dPt>
            <c:idx val="8"/>
            <c:bubble3D val="0"/>
            <c:spPr>
              <a:gradFill rotWithShape="1">
                <a:gsLst>
                  <a:gs pos="0">
                    <a:schemeClr val="accent2">
                      <a:tint val="80000"/>
                      <a:satMod val="103000"/>
                      <a:lumMod val="102000"/>
                      <a:tint val="94000"/>
                    </a:schemeClr>
                  </a:gs>
                  <a:gs pos="50000">
                    <a:schemeClr val="accent2">
                      <a:tint val="80000"/>
                      <a:satMod val="110000"/>
                      <a:lumMod val="100000"/>
                      <a:shade val="100000"/>
                    </a:schemeClr>
                  </a:gs>
                  <a:gs pos="100000">
                    <a:schemeClr val="accent2">
                      <a:tint val="80000"/>
                      <a:lumMod val="99000"/>
                      <a:satMod val="120000"/>
                      <a:shade val="78000"/>
                    </a:schemeClr>
                  </a:gs>
                </a:gsLst>
                <a:lin ang="5400000" scaled="0"/>
              </a:gradFill>
              <a:ln>
                <a:noFill/>
              </a:ln>
              <a:effectLst/>
              <a:sp3d/>
            </c:spPr>
            <c:extLst>
              <c:ext xmlns:c16="http://schemas.microsoft.com/office/drawing/2014/chart" uri="{C3380CC4-5D6E-409C-BE32-E72D297353CC}">
                <c16:uniqueId val="{00000011-F2CE-4AAE-837E-EE52173288F5}"/>
              </c:ext>
            </c:extLst>
          </c:dPt>
          <c:dPt>
            <c:idx val="9"/>
            <c:bubble3D val="0"/>
            <c:spPr>
              <a:gradFill rotWithShape="1">
                <a:gsLst>
                  <a:gs pos="0">
                    <a:schemeClr val="accent2">
                      <a:tint val="70000"/>
                      <a:satMod val="103000"/>
                      <a:lumMod val="102000"/>
                      <a:tint val="94000"/>
                    </a:schemeClr>
                  </a:gs>
                  <a:gs pos="50000">
                    <a:schemeClr val="accent2">
                      <a:tint val="70000"/>
                      <a:satMod val="110000"/>
                      <a:lumMod val="100000"/>
                      <a:shade val="100000"/>
                    </a:schemeClr>
                  </a:gs>
                  <a:gs pos="100000">
                    <a:schemeClr val="accent2">
                      <a:tint val="70000"/>
                      <a:lumMod val="99000"/>
                      <a:satMod val="120000"/>
                      <a:shade val="78000"/>
                    </a:schemeClr>
                  </a:gs>
                </a:gsLst>
                <a:lin ang="5400000" scaled="0"/>
              </a:gradFill>
              <a:ln>
                <a:noFill/>
              </a:ln>
              <a:effectLst/>
              <a:sp3d/>
            </c:spPr>
            <c:extLst>
              <c:ext xmlns:c16="http://schemas.microsoft.com/office/drawing/2014/chart" uri="{C3380CC4-5D6E-409C-BE32-E72D297353CC}">
                <c16:uniqueId val="{00000013-F2CE-4AAE-837E-EE52173288F5}"/>
              </c:ext>
            </c:extLst>
          </c:dPt>
          <c:dPt>
            <c:idx val="10"/>
            <c:bubble3D val="0"/>
            <c:spPr>
              <a:gradFill rotWithShape="1">
                <a:gsLst>
                  <a:gs pos="0">
                    <a:schemeClr val="accent2">
                      <a:tint val="60000"/>
                      <a:satMod val="103000"/>
                      <a:lumMod val="102000"/>
                      <a:tint val="94000"/>
                    </a:schemeClr>
                  </a:gs>
                  <a:gs pos="50000">
                    <a:schemeClr val="accent2">
                      <a:tint val="60000"/>
                      <a:satMod val="110000"/>
                      <a:lumMod val="100000"/>
                      <a:shade val="100000"/>
                    </a:schemeClr>
                  </a:gs>
                  <a:gs pos="100000">
                    <a:schemeClr val="accent2">
                      <a:tint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15-F2CE-4AAE-837E-EE52173288F5}"/>
              </c:ext>
            </c:extLst>
          </c:dPt>
          <c:dPt>
            <c:idx val="11"/>
            <c:bubble3D val="0"/>
            <c:spPr>
              <a:gradFill rotWithShape="1">
                <a:gsLst>
                  <a:gs pos="0">
                    <a:schemeClr val="accent2">
                      <a:tint val="50000"/>
                      <a:satMod val="103000"/>
                      <a:lumMod val="102000"/>
                      <a:tint val="94000"/>
                    </a:schemeClr>
                  </a:gs>
                  <a:gs pos="50000">
                    <a:schemeClr val="accent2">
                      <a:tint val="50000"/>
                      <a:satMod val="110000"/>
                      <a:lumMod val="100000"/>
                      <a:shade val="100000"/>
                    </a:schemeClr>
                  </a:gs>
                  <a:gs pos="100000">
                    <a:schemeClr val="accent2">
                      <a:tint val="50000"/>
                      <a:lumMod val="99000"/>
                      <a:satMod val="120000"/>
                      <a:shade val="78000"/>
                    </a:schemeClr>
                  </a:gs>
                </a:gsLst>
                <a:lin ang="5400000" scaled="0"/>
              </a:gradFill>
              <a:ln>
                <a:noFill/>
              </a:ln>
              <a:effectLst/>
              <a:sp3d/>
            </c:spPr>
            <c:extLst>
              <c:ext xmlns:c16="http://schemas.microsoft.com/office/drawing/2014/chart" uri="{C3380CC4-5D6E-409C-BE32-E72D297353CC}">
                <c16:uniqueId val="{00000017-F2CE-4AAE-837E-EE52173288F5}"/>
              </c:ext>
            </c:extLst>
          </c:dPt>
          <c:dPt>
            <c:idx val="12"/>
            <c:bubble3D val="0"/>
            <c:spPr>
              <a:gradFill rotWithShape="1">
                <a:gsLst>
                  <a:gs pos="0">
                    <a:schemeClr val="accent2">
                      <a:tint val="40000"/>
                      <a:satMod val="103000"/>
                      <a:lumMod val="102000"/>
                      <a:tint val="94000"/>
                    </a:schemeClr>
                  </a:gs>
                  <a:gs pos="50000">
                    <a:schemeClr val="accent2">
                      <a:tint val="40000"/>
                      <a:satMod val="110000"/>
                      <a:lumMod val="100000"/>
                      <a:shade val="100000"/>
                    </a:schemeClr>
                  </a:gs>
                  <a:gs pos="100000">
                    <a:schemeClr val="accent2">
                      <a:tint val="40000"/>
                      <a:lumMod val="99000"/>
                      <a:satMod val="120000"/>
                      <a:shade val="78000"/>
                    </a:schemeClr>
                  </a:gs>
                </a:gsLst>
                <a:lin ang="5400000" scaled="0"/>
              </a:gradFill>
              <a:ln>
                <a:noFill/>
              </a:ln>
              <a:effectLst/>
              <a:sp3d/>
            </c:spPr>
            <c:extLst>
              <c:ext xmlns:c16="http://schemas.microsoft.com/office/drawing/2014/chart" uri="{C3380CC4-5D6E-409C-BE32-E72D297353CC}">
                <c16:uniqueId val="{00000019-F2CE-4AAE-837E-EE52173288F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Hoja1!$A$2:$A$14</c:f>
              <c:strCache>
                <c:ptCount val="13"/>
                <c:pt idx="0">
                  <c:v>Menos de 12 años</c:v>
                </c:pt>
                <c:pt idx="1">
                  <c:v>12 a 17 años</c:v>
                </c:pt>
                <c:pt idx="2">
                  <c:v>18 a 24 años </c:v>
                </c:pt>
                <c:pt idx="3">
                  <c:v>25 a 29 años</c:v>
                </c:pt>
                <c:pt idx="4">
                  <c:v>30 a 34 años </c:v>
                </c:pt>
                <c:pt idx="5">
                  <c:v>35 a 39 años </c:v>
                </c:pt>
                <c:pt idx="6">
                  <c:v>40 a 44 años </c:v>
                </c:pt>
                <c:pt idx="7">
                  <c:v>45 a 49 años </c:v>
                </c:pt>
                <c:pt idx="8">
                  <c:v>50 a 54 años</c:v>
                </c:pt>
                <c:pt idx="9">
                  <c:v>55 a 59 años </c:v>
                </c:pt>
                <c:pt idx="10">
                  <c:v>60 a 64 años </c:v>
                </c:pt>
                <c:pt idx="11">
                  <c:v>65 años o mas </c:v>
                </c:pt>
                <c:pt idx="12">
                  <c:v>Edad desconocida </c:v>
                </c:pt>
              </c:strCache>
            </c:strRef>
          </c:cat>
          <c:val>
            <c:numRef>
              <c:f>Hoja1!$B$2:$B$14</c:f>
              <c:numCache>
                <c:formatCode>#,##0</c:formatCode>
                <c:ptCount val="13"/>
                <c:pt idx="0">
                  <c:v>3337</c:v>
                </c:pt>
                <c:pt idx="1">
                  <c:v>1892</c:v>
                </c:pt>
                <c:pt idx="2">
                  <c:v>1864</c:v>
                </c:pt>
                <c:pt idx="3">
                  <c:v>1235</c:v>
                </c:pt>
                <c:pt idx="4">
                  <c:v>1440</c:v>
                </c:pt>
                <c:pt idx="5">
                  <c:v>1595</c:v>
                </c:pt>
                <c:pt idx="6">
                  <c:v>1432</c:v>
                </c:pt>
                <c:pt idx="7">
                  <c:v>1084</c:v>
                </c:pt>
                <c:pt idx="8" formatCode="General">
                  <c:v>848</c:v>
                </c:pt>
                <c:pt idx="9" formatCode="General">
                  <c:v>572</c:v>
                </c:pt>
                <c:pt idx="10" formatCode="General">
                  <c:v>425</c:v>
                </c:pt>
                <c:pt idx="11" formatCode="General">
                  <c:v>774</c:v>
                </c:pt>
                <c:pt idx="12" formatCode="General">
                  <c:v>3</c:v>
                </c:pt>
              </c:numCache>
            </c:numRef>
          </c:val>
          <c:extLst>
            <c:ext xmlns:c16="http://schemas.microsoft.com/office/drawing/2014/chart" uri="{C3380CC4-5D6E-409C-BE32-E72D297353CC}">
              <c16:uniqueId val="{0000001A-F2CE-4AAE-837E-EE52173288F5}"/>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ct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r>
              <a:rPr lang="es-MX" sz="1400">
                <a:solidFill>
                  <a:srgbClr val="025850"/>
                </a:solidFill>
                <a:effectLst/>
                <a:latin typeface="Century Gothic" panose="020B0502020202020204" pitchFamily="34" charset="0"/>
              </a:rPr>
              <a:t>Hombres por Rango de Edad</a:t>
            </a:r>
          </a:p>
          <a:p>
            <a:pPr algn="ctr">
              <a:defRPr>
                <a:solidFill>
                  <a:schemeClr val="tx1"/>
                </a:solidFill>
              </a:defRPr>
            </a:pPr>
            <a:r>
              <a:rPr lang="es-MX" sz="1400">
                <a:solidFill>
                  <a:srgbClr val="025850"/>
                </a:solidFill>
                <a:effectLst/>
                <a:latin typeface="Century Gothic" panose="020B0502020202020204" pitchFamily="34" charset="0"/>
              </a:rPr>
              <a:t> San Antonio la Isla </a:t>
            </a:r>
          </a:p>
        </c:rich>
      </c:tx>
      <c:overlay val="0"/>
      <c:spPr>
        <a:noFill/>
        <a:ln>
          <a:noFill/>
        </a:ln>
        <a:effectLst/>
      </c:spPr>
      <c:txPr>
        <a:bodyPr rot="0" spcFirstLastPara="1" vertOverflow="ellipsis" vert="horz" wrap="square" anchor="ctr" anchorCtr="1"/>
        <a:lstStyle/>
        <a:p>
          <a:pPr algn="ctr">
            <a:defRPr sz="1600" b="1" i="0" u="none" strike="noStrike" kern="1200" spc="100" baseline="0">
              <a:solidFill>
                <a:schemeClr val="tx1"/>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1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Hombres de San Antonio la Isla </c:v>
                </c:pt>
              </c:strCache>
            </c:strRef>
          </c:tx>
          <c:explosion val="10"/>
          <c:dPt>
            <c:idx val="0"/>
            <c:bubble3D val="0"/>
            <c:spPr>
              <a:gradFill rotWithShape="1">
                <a:gsLst>
                  <a:gs pos="0">
                    <a:schemeClr val="accent4">
                      <a:shade val="40000"/>
                      <a:satMod val="103000"/>
                      <a:lumMod val="102000"/>
                      <a:tint val="94000"/>
                    </a:schemeClr>
                  </a:gs>
                  <a:gs pos="50000">
                    <a:schemeClr val="accent4">
                      <a:shade val="40000"/>
                      <a:satMod val="110000"/>
                      <a:lumMod val="100000"/>
                      <a:shade val="100000"/>
                    </a:schemeClr>
                  </a:gs>
                  <a:gs pos="100000">
                    <a:schemeClr val="accent4">
                      <a:shade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4835-479F-8C19-E4C5638F0F6C}"/>
              </c:ext>
            </c:extLst>
          </c:dPt>
          <c:dPt>
            <c:idx val="1"/>
            <c:bubble3D val="0"/>
            <c:spPr>
              <a:gradFill rotWithShape="1">
                <a:gsLst>
                  <a:gs pos="0">
                    <a:schemeClr val="accent4">
                      <a:shade val="50000"/>
                      <a:satMod val="103000"/>
                      <a:lumMod val="102000"/>
                      <a:tint val="94000"/>
                    </a:schemeClr>
                  </a:gs>
                  <a:gs pos="50000">
                    <a:schemeClr val="accent4">
                      <a:shade val="50000"/>
                      <a:satMod val="110000"/>
                      <a:lumMod val="100000"/>
                      <a:shade val="100000"/>
                    </a:schemeClr>
                  </a:gs>
                  <a:gs pos="100000">
                    <a:schemeClr val="accent4">
                      <a:shade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4835-479F-8C19-E4C5638F0F6C}"/>
              </c:ext>
            </c:extLst>
          </c:dPt>
          <c:dPt>
            <c:idx val="2"/>
            <c:bubble3D val="0"/>
            <c:spPr>
              <a:gradFill rotWithShape="1">
                <a:gsLst>
                  <a:gs pos="0">
                    <a:schemeClr val="accent4">
                      <a:shade val="60000"/>
                      <a:satMod val="103000"/>
                      <a:lumMod val="102000"/>
                      <a:tint val="94000"/>
                    </a:schemeClr>
                  </a:gs>
                  <a:gs pos="50000">
                    <a:schemeClr val="accent4">
                      <a:shade val="60000"/>
                      <a:satMod val="110000"/>
                      <a:lumMod val="100000"/>
                      <a:shade val="100000"/>
                    </a:schemeClr>
                  </a:gs>
                  <a:gs pos="100000">
                    <a:schemeClr val="accent4">
                      <a:shade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4835-479F-8C19-E4C5638F0F6C}"/>
              </c:ext>
            </c:extLst>
          </c:dPt>
          <c:dPt>
            <c:idx val="3"/>
            <c:bubble3D val="0"/>
            <c:spPr>
              <a:gradFill rotWithShape="1">
                <a:gsLst>
                  <a:gs pos="0">
                    <a:schemeClr val="accent4">
                      <a:shade val="70000"/>
                      <a:satMod val="103000"/>
                      <a:lumMod val="102000"/>
                      <a:tint val="94000"/>
                    </a:schemeClr>
                  </a:gs>
                  <a:gs pos="50000">
                    <a:schemeClr val="accent4">
                      <a:shade val="70000"/>
                      <a:satMod val="110000"/>
                      <a:lumMod val="100000"/>
                      <a:shade val="100000"/>
                    </a:schemeClr>
                  </a:gs>
                  <a:gs pos="100000">
                    <a:schemeClr val="accent4">
                      <a:shade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4835-479F-8C19-E4C5638F0F6C}"/>
              </c:ext>
            </c:extLst>
          </c:dPt>
          <c:dPt>
            <c:idx val="4"/>
            <c:bubble3D val="0"/>
            <c:spPr>
              <a:gradFill rotWithShape="1">
                <a:gsLst>
                  <a:gs pos="0">
                    <a:schemeClr val="accent4">
                      <a:shade val="80000"/>
                      <a:satMod val="103000"/>
                      <a:lumMod val="102000"/>
                      <a:tint val="94000"/>
                    </a:schemeClr>
                  </a:gs>
                  <a:gs pos="50000">
                    <a:schemeClr val="accent4">
                      <a:shade val="80000"/>
                      <a:satMod val="110000"/>
                      <a:lumMod val="100000"/>
                      <a:shade val="100000"/>
                    </a:schemeClr>
                  </a:gs>
                  <a:gs pos="100000">
                    <a:schemeClr val="accent4">
                      <a:shade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4835-479F-8C19-E4C5638F0F6C}"/>
              </c:ext>
            </c:extLst>
          </c:dPt>
          <c:dPt>
            <c:idx val="5"/>
            <c:bubble3D val="0"/>
            <c:spPr>
              <a:gradFill rotWithShape="1">
                <a:gsLst>
                  <a:gs pos="0">
                    <a:schemeClr val="accent4">
                      <a:shade val="90000"/>
                      <a:satMod val="103000"/>
                      <a:lumMod val="102000"/>
                      <a:tint val="94000"/>
                    </a:schemeClr>
                  </a:gs>
                  <a:gs pos="50000">
                    <a:schemeClr val="accent4">
                      <a:shade val="90000"/>
                      <a:satMod val="110000"/>
                      <a:lumMod val="100000"/>
                      <a:shade val="100000"/>
                    </a:schemeClr>
                  </a:gs>
                  <a:gs pos="100000">
                    <a:schemeClr val="accent4">
                      <a:shade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4835-479F-8C19-E4C5638F0F6C}"/>
              </c:ext>
            </c:extLst>
          </c:dPt>
          <c:dPt>
            <c:idx val="6"/>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4835-479F-8C19-E4C5638F0F6C}"/>
              </c:ext>
            </c:extLst>
          </c:dPt>
          <c:dPt>
            <c:idx val="7"/>
            <c:bubble3D val="0"/>
            <c:spPr>
              <a:gradFill rotWithShape="1">
                <a:gsLst>
                  <a:gs pos="0">
                    <a:schemeClr val="accent4">
                      <a:tint val="90000"/>
                      <a:satMod val="103000"/>
                      <a:lumMod val="102000"/>
                      <a:tint val="94000"/>
                    </a:schemeClr>
                  </a:gs>
                  <a:gs pos="50000">
                    <a:schemeClr val="accent4">
                      <a:tint val="90000"/>
                      <a:satMod val="110000"/>
                      <a:lumMod val="100000"/>
                      <a:shade val="100000"/>
                    </a:schemeClr>
                  </a:gs>
                  <a:gs pos="100000">
                    <a:schemeClr val="accent4">
                      <a:tint val="9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4835-479F-8C19-E4C5638F0F6C}"/>
              </c:ext>
            </c:extLst>
          </c:dPt>
          <c:dPt>
            <c:idx val="8"/>
            <c:bubble3D val="0"/>
            <c:spPr>
              <a:gradFill rotWithShape="1">
                <a:gsLst>
                  <a:gs pos="0">
                    <a:schemeClr val="accent4">
                      <a:tint val="80000"/>
                      <a:satMod val="103000"/>
                      <a:lumMod val="102000"/>
                      <a:tint val="94000"/>
                    </a:schemeClr>
                  </a:gs>
                  <a:gs pos="50000">
                    <a:schemeClr val="accent4">
                      <a:tint val="80000"/>
                      <a:satMod val="110000"/>
                      <a:lumMod val="100000"/>
                      <a:shade val="100000"/>
                    </a:schemeClr>
                  </a:gs>
                  <a:gs pos="100000">
                    <a:schemeClr val="accent4">
                      <a:tint val="8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4835-479F-8C19-E4C5638F0F6C}"/>
              </c:ext>
            </c:extLst>
          </c:dPt>
          <c:dPt>
            <c:idx val="9"/>
            <c:bubble3D val="0"/>
            <c:spPr>
              <a:gradFill rotWithShape="1">
                <a:gsLst>
                  <a:gs pos="0">
                    <a:schemeClr val="accent4">
                      <a:tint val="70000"/>
                      <a:satMod val="103000"/>
                      <a:lumMod val="102000"/>
                      <a:tint val="94000"/>
                    </a:schemeClr>
                  </a:gs>
                  <a:gs pos="50000">
                    <a:schemeClr val="accent4">
                      <a:tint val="70000"/>
                      <a:satMod val="110000"/>
                      <a:lumMod val="100000"/>
                      <a:shade val="100000"/>
                    </a:schemeClr>
                  </a:gs>
                  <a:gs pos="100000">
                    <a:schemeClr val="accent4">
                      <a:tint val="7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4835-479F-8C19-E4C5638F0F6C}"/>
              </c:ext>
            </c:extLst>
          </c:dPt>
          <c:dPt>
            <c:idx val="10"/>
            <c:bubble3D val="0"/>
            <c:spPr>
              <a:gradFill rotWithShape="1">
                <a:gsLst>
                  <a:gs pos="0">
                    <a:schemeClr val="accent4">
                      <a:tint val="60000"/>
                      <a:satMod val="103000"/>
                      <a:lumMod val="102000"/>
                      <a:tint val="94000"/>
                    </a:schemeClr>
                  </a:gs>
                  <a:gs pos="50000">
                    <a:schemeClr val="accent4">
                      <a:tint val="60000"/>
                      <a:satMod val="110000"/>
                      <a:lumMod val="100000"/>
                      <a:shade val="100000"/>
                    </a:schemeClr>
                  </a:gs>
                  <a:gs pos="100000">
                    <a:schemeClr val="accent4">
                      <a:tint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5-4835-479F-8C19-E4C5638F0F6C}"/>
              </c:ext>
            </c:extLst>
          </c:dPt>
          <c:dPt>
            <c:idx val="11"/>
            <c:bubble3D val="0"/>
            <c:spPr>
              <a:gradFill rotWithShape="1">
                <a:gsLst>
                  <a:gs pos="0">
                    <a:schemeClr val="accent4">
                      <a:tint val="50000"/>
                      <a:satMod val="103000"/>
                      <a:lumMod val="102000"/>
                      <a:tint val="94000"/>
                    </a:schemeClr>
                  </a:gs>
                  <a:gs pos="50000">
                    <a:schemeClr val="accent4">
                      <a:tint val="50000"/>
                      <a:satMod val="110000"/>
                      <a:lumMod val="100000"/>
                      <a:shade val="100000"/>
                    </a:schemeClr>
                  </a:gs>
                  <a:gs pos="100000">
                    <a:schemeClr val="accent4">
                      <a:tint val="5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7-4835-479F-8C19-E4C5638F0F6C}"/>
              </c:ext>
            </c:extLst>
          </c:dPt>
          <c:dPt>
            <c:idx val="12"/>
            <c:bubble3D val="0"/>
            <c:spPr>
              <a:gradFill rotWithShape="1">
                <a:gsLst>
                  <a:gs pos="0">
                    <a:schemeClr val="accent4">
                      <a:tint val="40000"/>
                      <a:satMod val="103000"/>
                      <a:lumMod val="102000"/>
                      <a:tint val="94000"/>
                    </a:schemeClr>
                  </a:gs>
                  <a:gs pos="50000">
                    <a:schemeClr val="accent4">
                      <a:tint val="40000"/>
                      <a:satMod val="110000"/>
                      <a:lumMod val="100000"/>
                      <a:shade val="100000"/>
                    </a:schemeClr>
                  </a:gs>
                  <a:gs pos="100000">
                    <a:schemeClr val="accent4">
                      <a:tint val="4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9-4835-479F-8C19-E4C5638F0F6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Hoja1!$A$2:$A$14</c:f>
              <c:strCache>
                <c:ptCount val="13"/>
                <c:pt idx="0">
                  <c:v>Menos de 12 años</c:v>
                </c:pt>
                <c:pt idx="1">
                  <c:v>12 a 17 años</c:v>
                </c:pt>
                <c:pt idx="2">
                  <c:v>18 a 24 años</c:v>
                </c:pt>
                <c:pt idx="3">
                  <c:v>25 a 29 años </c:v>
                </c:pt>
                <c:pt idx="4">
                  <c:v>30 a 34 años </c:v>
                </c:pt>
                <c:pt idx="5">
                  <c:v>35 a 39 años</c:v>
                </c:pt>
                <c:pt idx="6">
                  <c:v>40 a 44 años </c:v>
                </c:pt>
                <c:pt idx="7">
                  <c:v>45 a 49 años </c:v>
                </c:pt>
                <c:pt idx="8">
                  <c:v>50 a 54 años</c:v>
                </c:pt>
                <c:pt idx="9">
                  <c:v>55 a 59 años</c:v>
                </c:pt>
                <c:pt idx="10">
                  <c:v>60 a 64 años</c:v>
                </c:pt>
                <c:pt idx="11">
                  <c:v>65 años o mas </c:v>
                </c:pt>
                <c:pt idx="12">
                  <c:v>Edad desconocida </c:v>
                </c:pt>
              </c:strCache>
            </c:strRef>
          </c:cat>
          <c:val>
            <c:numRef>
              <c:f>Hoja1!$B$2:$B$14</c:f>
              <c:numCache>
                <c:formatCode>#,##0</c:formatCode>
                <c:ptCount val="13"/>
                <c:pt idx="0">
                  <c:v>3338</c:v>
                </c:pt>
                <c:pt idx="1">
                  <c:v>1902</c:v>
                </c:pt>
                <c:pt idx="2">
                  <c:v>1798</c:v>
                </c:pt>
                <c:pt idx="3">
                  <c:v>1125</c:v>
                </c:pt>
                <c:pt idx="4">
                  <c:v>1193</c:v>
                </c:pt>
                <c:pt idx="5">
                  <c:v>1358</c:v>
                </c:pt>
                <c:pt idx="6">
                  <c:v>1332</c:v>
                </c:pt>
                <c:pt idx="7">
                  <c:v>1064</c:v>
                </c:pt>
                <c:pt idx="8" formatCode="General">
                  <c:v>777</c:v>
                </c:pt>
                <c:pt idx="9" formatCode="General">
                  <c:v>539</c:v>
                </c:pt>
                <c:pt idx="10" formatCode="General">
                  <c:v>377</c:v>
                </c:pt>
                <c:pt idx="11" formatCode="General">
                  <c:v>615</c:v>
                </c:pt>
                <c:pt idx="12" formatCode="General">
                  <c:v>3</c:v>
                </c:pt>
              </c:numCache>
            </c:numRef>
          </c:val>
          <c:extLst>
            <c:ext xmlns:c16="http://schemas.microsoft.com/office/drawing/2014/chart" uri="{C3380CC4-5D6E-409C-BE32-E72D297353CC}">
              <c16:uniqueId val="{0000001A-4835-479F-8C19-E4C5638F0F6C}"/>
            </c:ext>
          </c:extLst>
        </c:ser>
        <c:dLbls>
          <c:showLegendKey val="0"/>
          <c:showVal val="0"/>
          <c:showCatName val="0"/>
          <c:showSerName val="0"/>
          <c:showPercent val="1"/>
          <c:showBubbleSize val="0"/>
          <c:showLeaderLines val="1"/>
        </c:dLbls>
      </c:pie3D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a:noFill/>
    </a:ln>
    <a:effectLst/>
  </c:spPr>
  <c:txPr>
    <a:bodyPr/>
    <a:lstStyle/>
    <a:p>
      <a:pPr>
        <a:defRPr/>
      </a:pPr>
      <a:endParaRPr lang="es-MX"/>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Century Gothic" panose="020B0502020202020204" pitchFamily="34" charset="0"/>
              </a:rPr>
              <a:t>Consumo</a:t>
            </a:r>
            <a:r>
              <a:rPr lang="es-MX" baseline="0">
                <a:latin typeface="Century Gothic" panose="020B0502020202020204" pitchFamily="34" charset="0"/>
              </a:rPr>
              <a:t> de Agua en San Antonio la Isla</a:t>
            </a:r>
            <a:r>
              <a:rPr lang="es-MX">
                <a:latin typeface="Century Gothic" panose="020B0502020202020204" pitchFamily="34" charset="0"/>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Hoja1!$B$5</c:f>
              <c:strCache>
                <c:ptCount val="1"/>
                <c:pt idx="0">
                  <c:v>Litros percapita </c:v>
                </c:pt>
              </c:strCache>
            </c:strRef>
          </c:tx>
          <c:spPr>
            <a:solidFill>
              <a:schemeClr val="accent1"/>
            </a:solidFill>
            <a:ln>
              <a:noFill/>
            </a:ln>
            <a:effectLst/>
          </c:spPr>
          <c:invertIfNegative val="0"/>
          <c:dPt>
            <c:idx val="0"/>
            <c:invertIfNegative val="0"/>
            <c:bubble3D val="0"/>
            <c:spPr>
              <a:solidFill>
                <a:schemeClr val="accent4">
                  <a:lumMod val="40000"/>
                  <a:lumOff val="60000"/>
                </a:schemeClr>
              </a:solidFill>
              <a:ln>
                <a:noFill/>
              </a:ln>
              <a:effectLst/>
            </c:spPr>
            <c:extLst>
              <c:ext xmlns:c16="http://schemas.microsoft.com/office/drawing/2014/chart" uri="{C3380CC4-5D6E-409C-BE32-E72D297353CC}">
                <c16:uniqueId val="{00000001-6DAD-4047-AA6D-F5366A55704D}"/>
              </c:ext>
            </c:extLst>
          </c:dPt>
          <c:dPt>
            <c:idx val="1"/>
            <c:invertIfNegative val="0"/>
            <c:bubble3D val="0"/>
            <c:spPr>
              <a:solidFill>
                <a:schemeClr val="accent5">
                  <a:lumMod val="20000"/>
                  <a:lumOff val="80000"/>
                </a:schemeClr>
              </a:solidFill>
              <a:ln>
                <a:noFill/>
              </a:ln>
              <a:effectLst/>
            </c:spPr>
            <c:extLst>
              <c:ext xmlns:c16="http://schemas.microsoft.com/office/drawing/2014/chart" uri="{C3380CC4-5D6E-409C-BE32-E72D297353CC}">
                <c16:uniqueId val="{00000003-6DAD-4047-AA6D-F5366A55704D}"/>
              </c:ext>
            </c:extLst>
          </c:dPt>
          <c:dPt>
            <c:idx val="2"/>
            <c:invertIfNegative val="0"/>
            <c:bubble3D val="0"/>
            <c:spPr>
              <a:solidFill>
                <a:schemeClr val="accent6">
                  <a:lumMod val="20000"/>
                  <a:lumOff val="80000"/>
                </a:schemeClr>
              </a:solidFill>
              <a:ln>
                <a:noFill/>
              </a:ln>
              <a:effectLst/>
            </c:spPr>
            <c:extLst>
              <c:ext xmlns:c16="http://schemas.microsoft.com/office/drawing/2014/chart" uri="{C3380CC4-5D6E-409C-BE32-E72D297353CC}">
                <c16:uniqueId val="{00000005-6DAD-4047-AA6D-F5366A55704D}"/>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7-6DAD-4047-AA6D-F5366A55704D}"/>
              </c:ext>
            </c:extLst>
          </c:dPt>
          <c:cat>
            <c:strRef>
              <c:f>Hoja1!$A$6:$A$9</c:f>
              <c:strCache>
                <c:ptCount val="4"/>
                <c:pt idx="0">
                  <c:v>Domèstico</c:v>
                </c:pt>
                <c:pt idx="1">
                  <c:v>Industrial</c:v>
                </c:pt>
                <c:pt idx="2">
                  <c:v>Agrìcola</c:v>
                </c:pt>
                <c:pt idx="3">
                  <c:v>Pùblico</c:v>
                </c:pt>
              </c:strCache>
            </c:strRef>
          </c:cat>
          <c:val>
            <c:numRef>
              <c:f>Hoja1!$B$6:$B$9</c:f>
              <c:numCache>
                <c:formatCode>General</c:formatCode>
                <c:ptCount val="4"/>
                <c:pt idx="0">
                  <c:v>180</c:v>
                </c:pt>
                <c:pt idx="1">
                  <c:v>50</c:v>
                </c:pt>
                <c:pt idx="2">
                  <c:v>300</c:v>
                </c:pt>
                <c:pt idx="3">
                  <c:v>70</c:v>
                </c:pt>
              </c:numCache>
            </c:numRef>
          </c:val>
          <c:extLst>
            <c:ext xmlns:c16="http://schemas.microsoft.com/office/drawing/2014/chart" uri="{C3380CC4-5D6E-409C-BE32-E72D297353CC}">
              <c16:uniqueId val="{00000008-6DAD-4047-AA6D-F5366A55704D}"/>
            </c:ext>
          </c:extLst>
        </c:ser>
        <c:dLbls>
          <c:showLegendKey val="0"/>
          <c:showVal val="0"/>
          <c:showCatName val="0"/>
          <c:showSerName val="0"/>
          <c:showPercent val="0"/>
          <c:showBubbleSize val="0"/>
        </c:dLbls>
        <c:gapWidth val="219"/>
        <c:overlap val="-27"/>
        <c:axId val="1067744368"/>
        <c:axId val="1067744784"/>
      </c:barChart>
      <c:catAx>
        <c:axId val="10677443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s-MX">
                    <a:latin typeface="Century Gothic" panose="020B0502020202020204" pitchFamily="34" charset="0"/>
                  </a:rPr>
                  <a:t>Sector</a:t>
                </a:r>
                <a:r>
                  <a:rPr lang="es-MX" baseline="0">
                    <a:latin typeface="Century Gothic" panose="020B0502020202020204" pitchFamily="34" charset="0"/>
                  </a:rPr>
                  <a:t> de consumo</a:t>
                </a:r>
                <a:endParaRPr lang="es-MX">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1067744784"/>
        <c:crosses val="autoZero"/>
        <c:auto val="1"/>
        <c:lblAlgn val="ctr"/>
        <c:lblOffset val="100"/>
        <c:noMultiLvlLbl val="0"/>
      </c:catAx>
      <c:valAx>
        <c:axId val="1067744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s-MX">
                    <a:latin typeface="Century Gothic" panose="020B0502020202020204" pitchFamily="34" charset="0"/>
                  </a:rPr>
                  <a:t>Litros Percapita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67744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t>Plantas reforestadas en 2022</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Hoja1!$B$1</c:f>
              <c:strCache>
                <c:ptCount val="1"/>
                <c:pt idx="0">
                  <c:v>Región 10</c:v>
                </c:pt>
              </c:strCache>
            </c:strRef>
          </c:tx>
          <c:spPr>
            <a:solidFill>
              <a:schemeClr val="accent1"/>
            </a:solidFill>
            <a:ln>
              <a:noFill/>
            </a:ln>
            <a:effectLst/>
          </c:spPr>
          <c:invertIfNegative val="0"/>
          <c:cat>
            <c:strRef>
              <c:f>Hoja1!$A$2:$A$9</c:f>
              <c:strCache>
                <c:ptCount val="8"/>
                <c:pt idx="0">
                  <c:v>Pino</c:v>
                </c:pt>
                <c:pt idx="1">
                  <c:v>Oyamel</c:v>
                </c:pt>
                <c:pt idx="2">
                  <c:v>Cedro</c:v>
                </c:pt>
                <c:pt idx="3">
                  <c:v>Otras</c:v>
                </c:pt>
                <c:pt idx="4">
                  <c:v>Encino</c:v>
                </c:pt>
                <c:pt idx="5">
                  <c:v>Aile y madroño</c:v>
                </c:pt>
                <c:pt idx="6">
                  <c:v>Otras</c:v>
                </c:pt>
                <c:pt idx="7">
                  <c:v>Total de plantas</c:v>
                </c:pt>
              </c:strCache>
            </c:strRef>
          </c:cat>
          <c:val>
            <c:numRef>
              <c:f>Hoja1!$B$2:$B$9</c:f>
              <c:numCache>
                <c:formatCode>#,##0</c:formatCode>
                <c:ptCount val="8"/>
                <c:pt idx="0">
                  <c:v>232743</c:v>
                </c:pt>
                <c:pt idx="1">
                  <c:v>52951</c:v>
                </c:pt>
                <c:pt idx="2">
                  <c:v>30679</c:v>
                </c:pt>
                <c:pt idx="3">
                  <c:v>1859</c:v>
                </c:pt>
                <c:pt idx="4">
                  <c:v>8059</c:v>
                </c:pt>
                <c:pt idx="5" formatCode="General">
                  <c:v>0</c:v>
                </c:pt>
                <c:pt idx="6">
                  <c:v>40051</c:v>
                </c:pt>
                <c:pt idx="7">
                  <c:v>508792</c:v>
                </c:pt>
              </c:numCache>
            </c:numRef>
          </c:val>
          <c:extLst>
            <c:ext xmlns:c16="http://schemas.microsoft.com/office/drawing/2014/chart" uri="{C3380CC4-5D6E-409C-BE32-E72D297353CC}">
              <c16:uniqueId val="{00000000-B4D7-4AB9-8346-8E6C6BC16E5F}"/>
            </c:ext>
          </c:extLst>
        </c:ser>
        <c:ser>
          <c:idx val="1"/>
          <c:order val="1"/>
          <c:tx>
            <c:strRef>
              <c:f>Hoja1!$C$1</c:f>
              <c:strCache>
                <c:ptCount val="1"/>
                <c:pt idx="0">
                  <c:v>Región 14</c:v>
                </c:pt>
              </c:strCache>
            </c:strRef>
          </c:tx>
          <c:spPr>
            <a:solidFill>
              <a:schemeClr val="accent2"/>
            </a:solidFill>
            <a:ln>
              <a:noFill/>
            </a:ln>
            <a:effectLst/>
          </c:spPr>
          <c:invertIfNegative val="0"/>
          <c:cat>
            <c:strRef>
              <c:f>Hoja1!$A$2:$A$9</c:f>
              <c:strCache>
                <c:ptCount val="8"/>
                <c:pt idx="0">
                  <c:v>Pino</c:v>
                </c:pt>
                <c:pt idx="1">
                  <c:v>Oyamel</c:v>
                </c:pt>
                <c:pt idx="2">
                  <c:v>Cedro</c:v>
                </c:pt>
                <c:pt idx="3">
                  <c:v>Otras</c:v>
                </c:pt>
                <c:pt idx="4">
                  <c:v>Encino</c:v>
                </c:pt>
                <c:pt idx="5">
                  <c:v>Aile y madroño</c:v>
                </c:pt>
                <c:pt idx="6">
                  <c:v>Otras</c:v>
                </c:pt>
                <c:pt idx="7">
                  <c:v>Total de plantas</c:v>
                </c:pt>
              </c:strCache>
            </c:strRef>
          </c:cat>
          <c:val>
            <c:numRef>
              <c:f>Hoja1!$C$2:$C$9</c:f>
              <c:numCache>
                <c:formatCode>#,##0</c:formatCode>
                <c:ptCount val="8"/>
                <c:pt idx="0">
                  <c:v>219190</c:v>
                </c:pt>
                <c:pt idx="1">
                  <c:v>29934</c:v>
                </c:pt>
                <c:pt idx="2">
                  <c:v>68027</c:v>
                </c:pt>
                <c:pt idx="3" formatCode="General">
                  <c:v>508</c:v>
                </c:pt>
                <c:pt idx="4" formatCode="General">
                  <c:v>594</c:v>
                </c:pt>
                <c:pt idx="5" formatCode="General">
                  <c:v>0</c:v>
                </c:pt>
                <c:pt idx="6">
                  <c:v>47080</c:v>
                </c:pt>
                <c:pt idx="7">
                  <c:v>317715</c:v>
                </c:pt>
              </c:numCache>
            </c:numRef>
          </c:val>
          <c:extLst>
            <c:ext xmlns:c16="http://schemas.microsoft.com/office/drawing/2014/chart" uri="{C3380CC4-5D6E-409C-BE32-E72D297353CC}">
              <c16:uniqueId val="{00000001-B4D7-4AB9-8346-8E6C6BC16E5F}"/>
            </c:ext>
          </c:extLst>
        </c:ser>
        <c:ser>
          <c:idx val="2"/>
          <c:order val="2"/>
          <c:tx>
            <c:strRef>
              <c:f>Hoja1!$D$1</c:f>
              <c:strCache>
                <c:ptCount val="1"/>
                <c:pt idx="0">
                  <c:v>Región 16</c:v>
                </c:pt>
              </c:strCache>
            </c:strRef>
          </c:tx>
          <c:spPr>
            <a:solidFill>
              <a:schemeClr val="accent3"/>
            </a:solidFill>
            <a:ln>
              <a:noFill/>
            </a:ln>
            <a:effectLst/>
          </c:spPr>
          <c:invertIfNegative val="0"/>
          <c:cat>
            <c:strRef>
              <c:f>Hoja1!$A$2:$A$9</c:f>
              <c:strCache>
                <c:ptCount val="8"/>
                <c:pt idx="0">
                  <c:v>Pino</c:v>
                </c:pt>
                <c:pt idx="1">
                  <c:v>Oyamel</c:v>
                </c:pt>
                <c:pt idx="2">
                  <c:v>Cedro</c:v>
                </c:pt>
                <c:pt idx="3">
                  <c:v>Otras</c:v>
                </c:pt>
                <c:pt idx="4">
                  <c:v>Encino</c:v>
                </c:pt>
                <c:pt idx="5">
                  <c:v>Aile y madroño</c:v>
                </c:pt>
                <c:pt idx="6">
                  <c:v>Otras</c:v>
                </c:pt>
                <c:pt idx="7">
                  <c:v>Total de plantas</c:v>
                </c:pt>
              </c:strCache>
            </c:strRef>
          </c:cat>
          <c:val>
            <c:numRef>
              <c:f>Hoja1!$D$2:$D$9</c:f>
              <c:numCache>
                <c:formatCode>#,##0</c:formatCode>
                <c:ptCount val="8"/>
                <c:pt idx="0">
                  <c:v>482200</c:v>
                </c:pt>
                <c:pt idx="1">
                  <c:v>195410</c:v>
                </c:pt>
                <c:pt idx="2">
                  <c:v>20973</c:v>
                </c:pt>
                <c:pt idx="3" formatCode="General">
                  <c:v>400</c:v>
                </c:pt>
                <c:pt idx="4" formatCode="General">
                  <c:v>138</c:v>
                </c:pt>
                <c:pt idx="5" formatCode="General">
                  <c:v>0</c:v>
                </c:pt>
                <c:pt idx="6">
                  <c:v>141505</c:v>
                </c:pt>
                <c:pt idx="7">
                  <c:v>745485</c:v>
                </c:pt>
              </c:numCache>
            </c:numRef>
          </c:val>
          <c:extLst>
            <c:ext xmlns:c16="http://schemas.microsoft.com/office/drawing/2014/chart" uri="{C3380CC4-5D6E-409C-BE32-E72D297353CC}">
              <c16:uniqueId val="{00000002-B4D7-4AB9-8346-8E6C6BC16E5F}"/>
            </c:ext>
          </c:extLst>
        </c:ser>
        <c:dLbls>
          <c:showLegendKey val="0"/>
          <c:showVal val="0"/>
          <c:showCatName val="0"/>
          <c:showSerName val="0"/>
          <c:showPercent val="0"/>
          <c:showBubbleSize val="0"/>
        </c:dLbls>
        <c:gapWidth val="219"/>
        <c:overlap val="-27"/>
        <c:axId val="120075599"/>
        <c:axId val="120068111"/>
      </c:barChart>
      <c:catAx>
        <c:axId val="120075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068111"/>
        <c:crosses val="autoZero"/>
        <c:auto val="1"/>
        <c:lblAlgn val="ctr"/>
        <c:lblOffset val="100"/>
        <c:noMultiLvlLbl val="0"/>
      </c:catAx>
      <c:valAx>
        <c:axId val="1200681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075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100" b="0" i="0" u="none" strike="noStrike" baseline="0">
                <a:latin typeface="Century Gothic" panose="020B0502020202020204" pitchFamily="34" charset="0"/>
              </a:rPr>
              <a:t>Vehículos utilizados en la recolección de residuos sólidos urbanos, 2022 Zona V: Valle de Toluca </a:t>
            </a:r>
            <a:endParaRPr lang="es-MX" sz="1100">
              <a:latin typeface="Century Gothic" panose="020B0502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Hoja1!$B$4</c:f>
              <c:strCache>
                <c:ptCount val="1"/>
                <c:pt idx="0">
                  <c:v>Zona V</c:v>
                </c:pt>
              </c:strCache>
            </c:strRef>
          </c:tx>
          <c:spPr>
            <a:solidFill>
              <a:schemeClr val="accent1"/>
            </a:solidFill>
            <a:ln>
              <a:noFill/>
            </a:ln>
            <a:effectLst/>
          </c:spPr>
          <c:invertIfNegative val="0"/>
          <c:cat>
            <c:strRef>
              <c:f>Hoja1!$C$3:$F$3</c:f>
              <c:strCache>
                <c:ptCount val="4"/>
                <c:pt idx="0">
                  <c:v>Total de vehículos</c:v>
                </c:pt>
                <c:pt idx="1">
                  <c:v>Con compactador</c:v>
                </c:pt>
                <c:pt idx="2">
                  <c:v>Con caja abierta</c:v>
                </c:pt>
                <c:pt idx="3">
                  <c:v>Otro</c:v>
                </c:pt>
              </c:strCache>
            </c:strRef>
          </c:cat>
          <c:val>
            <c:numRef>
              <c:f>Hoja1!$C$4:$F$4</c:f>
              <c:numCache>
                <c:formatCode>General</c:formatCode>
                <c:ptCount val="4"/>
                <c:pt idx="0">
                  <c:v>341</c:v>
                </c:pt>
                <c:pt idx="1">
                  <c:v>267</c:v>
                </c:pt>
                <c:pt idx="2">
                  <c:v>55</c:v>
                </c:pt>
                <c:pt idx="3">
                  <c:v>19</c:v>
                </c:pt>
              </c:numCache>
            </c:numRef>
          </c:val>
          <c:extLst>
            <c:ext xmlns:c16="http://schemas.microsoft.com/office/drawing/2014/chart" uri="{C3380CC4-5D6E-409C-BE32-E72D297353CC}">
              <c16:uniqueId val="{00000000-2164-4C2B-B742-CAADA2DC079D}"/>
            </c:ext>
          </c:extLst>
        </c:ser>
        <c:ser>
          <c:idx val="1"/>
          <c:order val="1"/>
          <c:tx>
            <c:strRef>
              <c:f>Hoja1!$B$5</c:f>
              <c:strCache>
                <c:ptCount val="1"/>
                <c:pt idx="0">
                  <c:v>Región 10</c:v>
                </c:pt>
              </c:strCache>
            </c:strRef>
          </c:tx>
          <c:spPr>
            <a:solidFill>
              <a:schemeClr val="accent2"/>
            </a:solidFill>
            <a:ln>
              <a:noFill/>
            </a:ln>
            <a:effectLst/>
          </c:spPr>
          <c:invertIfNegative val="0"/>
          <c:cat>
            <c:strRef>
              <c:f>Hoja1!$C$3:$F$3</c:f>
              <c:strCache>
                <c:ptCount val="4"/>
                <c:pt idx="0">
                  <c:v>Total de vehículos</c:v>
                </c:pt>
                <c:pt idx="1">
                  <c:v>Con compactador</c:v>
                </c:pt>
                <c:pt idx="2">
                  <c:v>Con caja abierta</c:v>
                </c:pt>
                <c:pt idx="3">
                  <c:v>Otro</c:v>
                </c:pt>
              </c:strCache>
            </c:strRef>
          </c:cat>
          <c:val>
            <c:numRef>
              <c:f>Hoja1!$C$5:$F$5</c:f>
              <c:numCache>
                <c:formatCode>General</c:formatCode>
                <c:ptCount val="4"/>
                <c:pt idx="0">
                  <c:v>63</c:v>
                </c:pt>
                <c:pt idx="1">
                  <c:v>43</c:v>
                </c:pt>
                <c:pt idx="2">
                  <c:v>20</c:v>
                </c:pt>
                <c:pt idx="3">
                  <c:v>0</c:v>
                </c:pt>
              </c:numCache>
            </c:numRef>
          </c:val>
          <c:extLst>
            <c:ext xmlns:c16="http://schemas.microsoft.com/office/drawing/2014/chart" uri="{C3380CC4-5D6E-409C-BE32-E72D297353CC}">
              <c16:uniqueId val="{00000001-2164-4C2B-B742-CAADA2DC079D}"/>
            </c:ext>
          </c:extLst>
        </c:ser>
        <c:ser>
          <c:idx val="2"/>
          <c:order val="2"/>
          <c:tx>
            <c:strRef>
              <c:f>Hoja1!$B$6</c:f>
              <c:strCache>
                <c:ptCount val="1"/>
                <c:pt idx="0">
                  <c:v>Región 14</c:v>
                </c:pt>
              </c:strCache>
            </c:strRef>
          </c:tx>
          <c:spPr>
            <a:solidFill>
              <a:schemeClr val="accent3"/>
            </a:solidFill>
            <a:ln>
              <a:noFill/>
            </a:ln>
            <a:effectLst/>
          </c:spPr>
          <c:invertIfNegative val="0"/>
          <c:cat>
            <c:strRef>
              <c:f>Hoja1!$C$3:$F$3</c:f>
              <c:strCache>
                <c:ptCount val="4"/>
                <c:pt idx="0">
                  <c:v>Total de vehículos</c:v>
                </c:pt>
                <c:pt idx="1">
                  <c:v>Con compactador</c:v>
                </c:pt>
                <c:pt idx="2">
                  <c:v>Con caja abierta</c:v>
                </c:pt>
                <c:pt idx="3">
                  <c:v>Otro</c:v>
                </c:pt>
              </c:strCache>
            </c:strRef>
          </c:cat>
          <c:val>
            <c:numRef>
              <c:f>Hoja1!$C$6:$F$6</c:f>
              <c:numCache>
                <c:formatCode>General</c:formatCode>
                <c:ptCount val="4"/>
                <c:pt idx="0">
                  <c:v>2121</c:v>
                </c:pt>
                <c:pt idx="1">
                  <c:v>176</c:v>
                </c:pt>
                <c:pt idx="2">
                  <c:v>26</c:v>
                </c:pt>
                <c:pt idx="3">
                  <c:v>19</c:v>
                </c:pt>
              </c:numCache>
            </c:numRef>
          </c:val>
          <c:extLst>
            <c:ext xmlns:c16="http://schemas.microsoft.com/office/drawing/2014/chart" uri="{C3380CC4-5D6E-409C-BE32-E72D297353CC}">
              <c16:uniqueId val="{00000002-2164-4C2B-B742-CAADA2DC079D}"/>
            </c:ext>
          </c:extLst>
        </c:ser>
        <c:ser>
          <c:idx val="3"/>
          <c:order val="3"/>
          <c:tx>
            <c:strRef>
              <c:f>Hoja1!$B$7</c:f>
              <c:strCache>
                <c:ptCount val="1"/>
                <c:pt idx="0">
                  <c:v>Región 16</c:v>
                </c:pt>
              </c:strCache>
            </c:strRef>
          </c:tx>
          <c:spPr>
            <a:solidFill>
              <a:schemeClr val="accent4"/>
            </a:solidFill>
            <a:ln>
              <a:noFill/>
            </a:ln>
            <a:effectLst/>
          </c:spPr>
          <c:invertIfNegative val="0"/>
          <c:cat>
            <c:strRef>
              <c:f>Hoja1!$C$3:$F$3</c:f>
              <c:strCache>
                <c:ptCount val="4"/>
                <c:pt idx="0">
                  <c:v>Total de vehículos</c:v>
                </c:pt>
                <c:pt idx="1">
                  <c:v>Con compactador</c:v>
                </c:pt>
                <c:pt idx="2">
                  <c:v>Con caja abierta</c:v>
                </c:pt>
                <c:pt idx="3">
                  <c:v>Otro</c:v>
                </c:pt>
              </c:strCache>
            </c:strRef>
          </c:cat>
          <c:val>
            <c:numRef>
              <c:f>Hoja1!$C$7:$F$7</c:f>
              <c:numCache>
                <c:formatCode>General</c:formatCode>
                <c:ptCount val="4"/>
                <c:pt idx="0">
                  <c:v>57</c:v>
                </c:pt>
                <c:pt idx="1">
                  <c:v>48</c:v>
                </c:pt>
                <c:pt idx="2">
                  <c:v>9</c:v>
                </c:pt>
                <c:pt idx="3">
                  <c:v>0</c:v>
                </c:pt>
              </c:numCache>
            </c:numRef>
          </c:val>
          <c:extLst>
            <c:ext xmlns:c16="http://schemas.microsoft.com/office/drawing/2014/chart" uri="{C3380CC4-5D6E-409C-BE32-E72D297353CC}">
              <c16:uniqueId val="{00000003-2164-4C2B-B742-CAADA2DC079D}"/>
            </c:ext>
          </c:extLst>
        </c:ser>
        <c:dLbls>
          <c:showLegendKey val="0"/>
          <c:showVal val="0"/>
          <c:showCatName val="0"/>
          <c:showSerName val="0"/>
          <c:showPercent val="0"/>
          <c:showBubbleSize val="0"/>
        </c:dLbls>
        <c:gapWidth val="219"/>
        <c:overlap val="-27"/>
        <c:axId val="236812143"/>
        <c:axId val="236804655"/>
      </c:barChart>
      <c:catAx>
        <c:axId val="236812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crossAx val="236804655"/>
        <c:crosses val="autoZero"/>
        <c:auto val="1"/>
        <c:lblAlgn val="ctr"/>
        <c:lblOffset val="100"/>
        <c:noMultiLvlLbl val="0"/>
      </c:catAx>
      <c:valAx>
        <c:axId val="2368046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36812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Oferta de Bolsas de trabajo </c:v>
                </c:pt>
              </c:strCache>
            </c:strRef>
          </c:tx>
          <c:dPt>
            <c:idx val="0"/>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21-4DF7-B232-BE0C98FBC8E6}"/>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21-4DF7-B232-BE0C98FBC8E6}"/>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21-4DF7-B232-BE0C98FBC8E6}"/>
              </c:ext>
            </c:extLst>
          </c:dPt>
          <c:dLbls>
            <c:dLbl>
              <c:idx val="0"/>
              <c:tx>
                <c:rich>
                  <a:bodyPr/>
                  <a:lstStyle/>
                  <a:p>
                    <a:r>
                      <a:rPr lang="en-US" baseline="0"/>
                      <a:t>
</a:t>
                    </a:r>
                    <a:fld id="{D3FC7FD9-DCF5-4CD3-AEC2-53A8A9CFD870}"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D21-4DF7-B232-BE0C98FBC8E6}"/>
                </c:ext>
              </c:extLst>
            </c:dLbl>
            <c:dLbl>
              <c:idx val="1"/>
              <c:tx>
                <c:rich>
                  <a:bodyPr/>
                  <a:lstStyle/>
                  <a:p>
                    <a:r>
                      <a:rPr lang="en-US" baseline="0"/>
                      <a:t>
</a:t>
                    </a:r>
                    <a:fld id="{697962B5-CDD4-4534-85B4-CD30ED808CC4}"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D21-4DF7-B232-BE0C98FBC8E6}"/>
                </c:ext>
              </c:extLst>
            </c:dLbl>
            <c:dLbl>
              <c:idx val="2"/>
              <c:tx>
                <c:rich>
                  <a:bodyPr/>
                  <a:lstStyle/>
                  <a:p>
                    <a:r>
                      <a:rPr lang="en-US" baseline="0"/>
                      <a:t>
</a:t>
                    </a:r>
                    <a:fld id="{49CCDE42-4A81-4D15-AFAF-E1CF4A885924}"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D21-4DF7-B232-BE0C98FBC8E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3"/>
                <c:pt idx="0">
                  <c:v>Bueno</c:v>
                </c:pt>
                <c:pt idx="1">
                  <c:v>Neutral</c:v>
                </c:pt>
                <c:pt idx="2">
                  <c:v>Malo</c:v>
                </c:pt>
              </c:strCache>
              <c:extLst/>
            </c:strRef>
          </c:cat>
          <c:val>
            <c:numRef>
              <c:f>Hoja1!$B$2:$B$5</c:f>
              <c:numCache>
                <c:formatCode>General</c:formatCode>
                <c:ptCount val="3"/>
                <c:pt idx="0">
                  <c:v>497</c:v>
                </c:pt>
                <c:pt idx="1">
                  <c:v>605</c:v>
                </c:pt>
                <c:pt idx="2">
                  <c:v>340</c:v>
                </c:pt>
              </c:numCache>
              <c:extLst/>
            </c:numRef>
          </c:val>
          <c:extLst>
            <c:ext xmlns:c16="http://schemas.microsoft.com/office/drawing/2014/chart" uri="{C3380CC4-5D6E-409C-BE32-E72D297353CC}">
              <c16:uniqueId val="{00000006-0D21-4DF7-B232-BE0C98FBC8E6}"/>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Pobreza por ingresos</a:t>
            </a:r>
          </a:p>
        </c:rich>
      </c:tx>
      <c:overlay val="0"/>
    </c:title>
    <c:autoTitleDeleted val="0"/>
    <c:plotArea>
      <c:layout/>
      <c:lineChart>
        <c:grouping val="standard"/>
        <c:varyColors val="0"/>
        <c:ser>
          <c:idx val="0"/>
          <c:order val="0"/>
          <c:tx>
            <c:strRef>
              <c:f>'Pobreza por ingresos'!$B$1</c:f>
              <c:strCache>
                <c:ptCount val="1"/>
                <c:pt idx="0">
                  <c:v>Pobreza Alimentaria</c:v>
                </c:pt>
              </c:strCache>
            </c:strRef>
          </c:tx>
          <c:spPr>
            <a:ln>
              <a:prstDash val="solid"/>
            </a:ln>
          </c:spPr>
          <c:marker>
            <c:symbol val="none"/>
          </c:marker>
          <c:dLbls>
            <c:dLbl>
              <c:idx val="0"/>
              <c:layout>
                <c:manualLayout>
                  <c:x val="0"/>
                  <c:y val="5.1740740740740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1-4FAE-82AE-C79E1F0021E2}"/>
                </c:ext>
              </c:extLst>
            </c:dLbl>
            <c:dLbl>
              <c:idx val="1"/>
              <c:layout>
                <c:manualLayout>
                  <c:x val="0"/>
                  <c:y val="5.644444444444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01-4FAE-82AE-C79E1F0021E2}"/>
                </c:ext>
              </c:extLst>
            </c:dLbl>
            <c:dLbl>
              <c:idx val="2"/>
              <c:layout>
                <c:manualLayout>
                  <c:x val="-3.9981481481481479E-2"/>
                  <c:y val="5.644444444444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01-4FAE-82AE-C79E1F0021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'Pobreza por ingresos'!$A$2:$A$4</c:f>
              <c:numCache>
                <c:formatCode>General</c:formatCode>
                <c:ptCount val="3"/>
                <c:pt idx="0">
                  <c:v>1990</c:v>
                </c:pt>
                <c:pt idx="1">
                  <c:v>2000</c:v>
                </c:pt>
                <c:pt idx="2">
                  <c:v>2010</c:v>
                </c:pt>
              </c:numCache>
            </c:numRef>
          </c:cat>
          <c:val>
            <c:numRef>
              <c:f>'Pobreza por ingresos'!$B$2:$B$4</c:f>
              <c:numCache>
                <c:formatCode>General</c:formatCode>
                <c:ptCount val="3"/>
                <c:pt idx="0">
                  <c:v>18.8</c:v>
                </c:pt>
                <c:pt idx="1">
                  <c:v>19</c:v>
                </c:pt>
                <c:pt idx="2">
                  <c:v>12.9</c:v>
                </c:pt>
              </c:numCache>
            </c:numRef>
          </c:val>
          <c:smooth val="0"/>
          <c:extLst>
            <c:ext xmlns:c16="http://schemas.microsoft.com/office/drawing/2014/chart" uri="{C3380CC4-5D6E-409C-BE32-E72D297353CC}">
              <c16:uniqueId val="{00000003-5D01-4FAE-82AE-C79E1F0021E2}"/>
            </c:ext>
          </c:extLst>
        </c:ser>
        <c:ser>
          <c:idx val="1"/>
          <c:order val="1"/>
          <c:tx>
            <c:strRef>
              <c:f>'Pobreza por ingresos'!$C$1</c:f>
              <c:strCache>
                <c:ptCount val="1"/>
                <c:pt idx="0">
                  <c:v>Pobreza Capacidades</c:v>
                </c:pt>
              </c:strCache>
            </c:strRef>
          </c:tx>
          <c:spPr>
            <a:ln>
              <a:prstDash val="solid"/>
            </a:ln>
          </c:spPr>
          <c:marker>
            <c:symbol val="none"/>
          </c:marker>
          <c:dLbls>
            <c:dLbl>
              <c:idx val="0"/>
              <c:layout>
                <c:manualLayout>
                  <c:x val="0"/>
                  <c:y val="-5.6444444444444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01-4FAE-82AE-C79E1F0021E2}"/>
                </c:ext>
              </c:extLst>
            </c:dLbl>
            <c:dLbl>
              <c:idx val="1"/>
              <c:layout>
                <c:manualLayout>
                  <c:x val="0"/>
                  <c:y val="-4.2333333333333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D01-4FAE-82AE-C79E1F0021E2}"/>
                </c:ext>
              </c:extLst>
            </c:dLbl>
            <c:dLbl>
              <c:idx val="2"/>
              <c:layout>
                <c:manualLayout>
                  <c:x val="-4.9388888888888975E-2"/>
                  <c:y val="-5.6444444444444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D01-4FAE-82AE-C79E1F0021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'Pobreza por ingresos'!$A$2:$A$4</c:f>
              <c:numCache>
                <c:formatCode>General</c:formatCode>
                <c:ptCount val="3"/>
                <c:pt idx="0">
                  <c:v>1990</c:v>
                </c:pt>
                <c:pt idx="1">
                  <c:v>2000</c:v>
                </c:pt>
                <c:pt idx="2">
                  <c:v>2010</c:v>
                </c:pt>
              </c:numCache>
            </c:numRef>
          </c:cat>
          <c:val>
            <c:numRef>
              <c:f>'Pobreza por ingresos'!$C$2:$C$4</c:f>
              <c:numCache>
                <c:formatCode>General</c:formatCode>
                <c:ptCount val="3"/>
                <c:pt idx="0">
                  <c:v>26.1</c:v>
                </c:pt>
                <c:pt idx="1">
                  <c:v>24.1</c:v>
                </c:pt>
                <c:pt idx="2">
                  <c:v>19.899999999999999</c:v>
                </c:pt>
              </c:numCache>
            </c:numRef>
          </c:val>
          <c:smooth val="0"/>
          <c:extLst>
            <c:ext xmlns:c16="http://schemas.microsoft.com/office/drawing/2014/chart" uri="{C3380CC4-5D6E-409C-BE32-E72D297353CC}">
              <c16:uniqueId val="{00000007-5D01-4FAE-82AE-C79E1F0021E2}"/>
            </c:ext>
          </c:extLst>
        </c:ser>
        <c:ser>
          <c:idx val="2"/>
          <c:order val="2"/>
          <c:tx>
            <c:strRef>
              <c:f>'Pobreza por ingresos'!$D$1</c:f>
              <c:strCache>
                <c:ptCount val="1"/>
                <c:pt idx="0">
                  <c:v>Pobreza Patrimonio</c:v>
                </c:pt>
              </c:strCache>
            </c:strRef>
          </c:tx>
          <c:spPr>
            <a:ln>
              <a:prstDash val="solid"/>
            </a:ln>
          </c:spPr>
          <c:marker>
            <c:symbol val="none"/>
          </c:marker>
          <c:dLbls>
            <c:dLbl>
              <c:idx val="0"/>
              <c:layout>
                <c:manualLayout>
                  <c:x val="0"/>
                  <c:y val="-2.82222222222222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D01-4FAE-82AE-C79E1F0021E2}"/>
                </c:ext>
              </c:extLst>
            </c:dLbl>
            <c:dLbl>
              <c:idx val="1"/>
              <c:layout>
                <c:manualLayout>
                  <c:x val="-4.7037037037037039E-3"/>
                  <c:y val="-6.1148148148148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D01-4FAE-82AE-C79E1F0021E2}"/>
                </c:ext>
              </c:extLst>
            </c:dLbl>
            <c:dLbl>
              <c:idx val="2"/>
              <c:layout>
                <c:manualLayout>
                  <c:x val="-4.7037037037037897E-3"/>
                  <c:y val="-6.11481481481481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D01-4FAE-82AE-C79E1F0021E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'Pobreza por ingresos'!$A$2:$A$4</c:f>
              <c:numCache>
                <c:formatCode>General</c:formatCode>
                <c:ptCount val="3"/>
                <c:pt idx="0">
                  <c:v>1990</c:v>
                </c:pt>
                <c:pt idx="1">
                  <c:v>2000</c:v>
                </c:pt>
                <c:pt idx="2">
                  <c:v>2010</c:v>
                </c:pt>
              </c:numCache>
            </c:numRef>
          </c:cat>
          <c:val>
            <c:numRef>
              <c:f>'Pobreza por ingresos'!$D$2:$D$4</c:f>
              <c:numCache>
                <c:formatCode>General</c:formatCode>
                <c:ptCount val="3"/>
                <c:pt idx="0">
                  <c:v>49.6</c:v>
                </c:pt>
                <c:pt idx="1">
                  <c:v>39.6</c:v>
                </c:pt>
                <c:pt idx="2">
                  <c:v>44.4</c:v>
                </c:pt>
              </c:numCache>
            </c:numRef>
          </c:val>
          <c:smooth val="0"/>
          <c:extLst>
            <c:ext xmlns:c16="http://schemas.microsoft.com/office/drawing/2014/chart" uri="{C3380CC4-5D6E-409C-BE32-E72D297353CC}">
              <c16:uniqueId val="{0000000B-5D01-4FAE-82AE-C79E1F0021E2}"/>
            </c:ext>
          </c:extLst>
        </c:ser>
        <c:dLbls>
          <c:showLegendKey val="0"/>
          <c:showVal val="0"/>
          <c:showCatName val="0"/>
          <c:showSerName val="0"/>
          <c:showPercent val="0"/>
          <c:showBubbleSize val="0"/>
        </c:dLbls>
        <c:smooth val="0"/>
        <c:axId val="10"/>
        <c:axId val="100"/>
      </c:lineChart>
      <c:catAx>
        <c:axId val="10"/>
        <c:scaling>
          <c:orientation val="minMax"/>
        </c:scaling>
        <c:delete val="0"/>
        <c:axPos val="b"/>
        <c:title>
          <c:tx>
            <c:rich>
              <a:bodyPr/>
              <a:lstStyle/>
              <a:p>
                <a:pPr>
                  <a:defRPr/>
                </a:pPr>
                <a:r>
                  <a:rPr lang="es-MX"/>
                  <a:t>Año</a:t>
                </a:r>
              </a:p>
            </c:rich>
          </c:tx>
          <c:overlay val="0"/>
        </c:title>
        <c:numFmt formatCode="General" sourceLinked="1"/>
        <c:majorTickMark val="none"/>
        <c:minorTickMark val="none"/>
        <c:tickLblPos val="nextTo"/>
        <c:crossAx val="100"/>
        <c:crosses val="autoZero"/>
        <c:auto val="0"/>
        <c:lblAlgn val="ctr"/>
        <c:lblOffset val="100"/>
        <c:noMultiLvlLbl val="0"/>
      </c:catAx>
      <c:valAx>
        <c:axId val="100"/>
        <c:scaling>
          <c:orientation val="minMax"/>
        </c:scaling>
        <c:delete val="0"/>
        <c:axPos val="l"/>
        <c:majorGridlines/>
        <c:title>
          <c:tx>
            <c:rich>
              <a:bodyPr/>
              <a:lstStyle/>
              <a:p>
                <a:pPr>
                  <a:defRPr/>
                </a:pPr>
                <a:r>
                  <a:rPr lang="es-MX"/>
                  <a:t>Porcentaje</a:t>
                </a:r>
              </a:p>
            </c:rich>
          </c:tx>
          <c:overlay val="0"/>
        </c:title>
        <c:numFmt formatCode="General" sourceLinked="1"/>
        <c:majorTickMark val="none"/>
        <c:minorTickMark val="none"/>
        <c:tickLblPos val="nextTo"/>
        <c:crossAx val="10"/>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Coeficiente de Gini</a:t>
            </a:r>
          </a:p>
        </c:rich>
      </c:tx>
      <c:overlay val="0"/>
    </c:title>
    <c:autoTitleDeleted val="0"/>
    <c:plotArea>
      <c:layout/>
      <c:barChart>
        <c:barDir val="col"/>
        <c:grouping val="clustered"/>
        <c:varyColors val="0"/>
        <c:ser>
          <c:idx val="0"/>
          <c:order val="0"/>
          <c:tx>
            <c:strRef>
              <c:f>'[coeficiente_gini.xlsx]Coeficiente de Gini'!$B$1</c:f>
              <c:strCache>
                <c:ptCount val="1"/>
                <c:pt idx="0">
                  <c:v>Coeficiente de Gini</c:v>
                </c:pt>
              </c:strCache>
            </c:strRef>
          </c:tx>
          <c:spPr>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'[coeficiente_gini.xlsx]Coeficiente de Gini'!$A$2:$A$4</c:f>
              <c:numCache>
                <c:formatCode>General</c:formatCode>
                <c:ptCount val="3"/>
                <c:pt idx="0">
                  <c:v>1990</c:v>
                </c:pt>
                <c:pt idx="1">
                  <c:v>2000</c:v>
                </c:pt>
                <c:pt idx="2">
                  <c:v>2010</c:v>
                </c:pt>
              </c:numCache>
            </c:numRef>
          </c:cat>
          <c:val>
            <c:numRef>
              <c:f>'[coeficiente_gini.xlsx]Coeficiente de Gini'!$B$2:$B$4</c:f>
              <c:numCache>
                <c:formatCode>General</c:formatCode>
                <c:ptCount val="3"/>
                <c:pt idx="0">
                  <c:v>0.38819999999999999</c:v>
                </c:pt>
                <c:pt idx="1">
                  <c:v>0.56889999999999996</c:v>
                </c:pt>
                <c:pt idx="2">
                  <c:v>0.40570000000000001</c:v>
                </c:pt>
              </c:numCache>
            </c:numRef>
          </c:val>
          <c:extLst>
            <c:ext xmlns:c16="http://schemas.microsoft.com/office/drawing/2014/chart" uri="{C3380CC4-5D6E-409C-BE32-E72D297353CC}">
              <c16:uniqueId val="{00000000-0B73-4CDE-BD31-8C87CBF0476E}"/>
            </c:ext>
          </c:extLst>
        </c:ser>
        <c:dLbls>
          <c:showLegendKey val="0"/>
          <c:showVal val="0"/>
          <c:showCatName val="0"/>
          <c:showSerName val="0"/>
          <c:showPercent val="0"/>
          <c:showBubbleSize val="0"/>
        </c:dLbls>
        <c:gapWidth val="150"/>
        <c:axId val="10"/>
        <c:axId val="100"/>
      </c:barChart>
      <c:catAx>
        <c:axId val="10"/>
        <c:scaling>
          <c:orientation val="minMax"/>
        </c:scaling>
        <c:delete val="0"/>
        <c:axPos val="b"/>
        <c:title>
          <c:tx>
            <c:rich>
              <a:bodyPr/>
              <a:lstStyle/>
              <a:p>
                <a:pPr>
                  <a:defRPr/>
                </a:pPr>
                <a:r>
                  <a:rPr lang="es-MX"/>
                  <a:t>Año</a:t>
                </a:r>
              </a:p>
            </c:rich>
          </c:tx>
          <c:overlay val="0"/>
        </c:title>
        <c:numFmt formatCode="General" sourceLinked="1"/>
        <c:majorTickMark val="none"/>
        <c:minorTickMark val="none"/>
        <c:tickLblPos val="nextTo"/>
        <c:crossAx val="100"/>
        <c:crosses val="autoZero"/>
        <c:auto val="0"/>
        <c:lblAlgn val="ctr"/>
        <c:lblOffset val="100"/>
        <c:noMultiLvlLbl val="0"/>
      </c:catAx>
      <c:valAx>
        <c:axId val="100"/>
        <c:scaling>
          <c:orientation val="minMax"/>
        </c:scaling>
        <c:delete val="0"/>
        <c:axPos val="l"/>
        <c:majorGridlines/>
        <c:title>
          <c:tx>
            <c:rich>
              <a:bodyPr/>
              <a:lstStyle/>
              <a:p>
                <a:pPr>
                  <a:defRPr/>
                </a:pPr>
                <a:r>
                  <a:rPr lang="es-MX"/>
                  <a:t>Valor</a:t>
                </a:r>
              </a:p>
            </c:rich>
          </c:tx>
          <c:overlay val="0"/>
        </c:title>
        <c:numFmt formatCode="General" sourceLinked="1"/>
        <c:majorTickMark val="none"/>
        <c:minorTickMark val="none"/>
        <c:tickLblPos val="nextTo"/>
        <c:crossAx val="1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b="1"/>
              <a:t>Incidencia delictiva por tipo de delito de género,</a:t>
            </a:r>
            <a:r>
              <a:rPr lang="es-MX" b="1" baseline="0"/>
              <a:t> 2023 </a:t>
            </a:r>
          </a:p>
          <a:p>
            <a:pPr>
              <a:defRPr/>
            </a:pPr>
            <a:r>
              <a:rPr lang="es-MX" b="1" baseline="0"/>
              <a:t>Zona V: Valle de Toluca </a:t>
            </a:r>
            <a:endParaRPr lang="es-MX"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Hoja1!$J$6:$J$12</c:f>
              <c:strCache>
                <c:ptCount val="7"/>
                <c:pt idx="0">
                  <c:v>Violencia familiar </c:v>
                </c:pt>
                <c:pt idx="1">
                  <c:v>Feminicidio</c:v>
                </c:pt>
                <c:pt idx="2">
                  <c:v>Acoso sexual </c:v>
                </c:pt>
                <c:pt idx="3">
                  <c:v>Violencia de genero en todas sus modalidadades distinta a la violencia familiar </c:v>
                </c:pt>
                <c:pt idx="4">
                  <c:v>Violación simple </c:v>
                </c:pt>
                <c:pt idx="5">
                  <c:v>Violación equiparada </c:v>
                </c:pt>
                <c:pt idx="6">
                  <c:v>Trata de personas </c:v>
                </c:pt>
              </c:strCache>
            </c:strRef>
          </c:cat>
          <c:val>
            <c:numRef>
              <c:f>Hoja1!$K$6:$K$12</c:f>
              <c:numCache>
                <c:formatCode>0.0%</c:formatCode>
                <c:ptCount val="7"/>
                <c:pt idx="0">
                  <c:v>0.71099999999999997</c:v>
                </c:pt>
                <c:pt idx="1">
                  <c:v>0.24</c:v>
                </c:pt>
                <c:pt idx="2">
                  <c:v>0.14499999999999999</c:v>
                </c:pt>
                <c:pt idx="3">
                  <c:v>6.5000000000000002E-2</c:v>
                </c:pt>
                <c:pt idx="4">
                  <c:v>5.1999999999999998E-2</c:v>
                </c:pt>
                <c:pt idx="5">
                  <c:v>1.7999999999999999E-2</c:v>
                </c:pt>
                <c:pt idx="6">
                  <c:v>7.0000000000000001E-3</c:v>
                </c:pt>
              </c:numCache>
            </c:numRef>
          </c:val>
          <c:extLst>
            <c:ext xmlns:c16="http://schemas.microsoft.com/office/drawing/2014/chart" uri="{C3380CC4-5D6E-409C-BE32-E72D297353CC}">
              <c16:uniqueId val="{00000000-898D-4FD0-8735-141084E298A2}"/>
            </c:ext>
          </c:extLst>
        </c:ser>
        <c:dLbls>
          <c:showLegendKey val="0"/>
          <c:showVal val="0"/>
          <c:showCatName val="0"/>
          <c:showSerName val="0"/>
          <c:showPercent val="0"/>
          <c:showBubbleSize val="0"/>
        </c:dLbls>
        <c:gapWidth val="219"/>
        <c:overlap val="-27"/>
        <c:axId val="1130616928"/>
        <c:axId val="1130627744"/>
      </c:barChart>
      <c:catAx>
        <c:axId val="113061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t"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1130627744"/>
        <c:crosses val="autoZero"/>
        <c:auto val="1"/>
        <c:lblAlgn val="ctr"/>
        <c:lblOffset val="100"/>
        <c:noMultiLvlLbl val="0"/>
      </c:catAx>
      <c:valAx>
        <c:axId val="11306277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130616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Población de 15 años y más</a:t>
            </a:r>
            <a:r>
              <a:rPr lang="es-MX" baseline="0"/>
              <a:t> con educación primaria, secundaria y educación superior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Hoja1!$W$6</c:f>
              <c:strCache>
                <c:ptCount val="1"/>
                <c:pt idx="0">
                  <c:v>Mujeres</c:v>
                </c:pt>
              </c:strCache>
            </c:strRef>
          </c:tx>
          <c:spPr>
            <a:solidFill>
              <a:schemeClr val="accent1"/>
            </a:solidFill>
            <a:ln>
              <a:noFill/>
            </a:ln>
            <a:effectLst/>
          </c:spPr>
          <c:invertIfNegative val="0"/>
          <c:cat>
            <c:strRef>
              <c:f>Hoja1!$V$7:$V$9</c:f>
              <c:strCache>
                <c:ptCount val="3"/>
                <c:pt idx="0">
                  <c:v>Primaria</c:v>
                </c:pt>
                <c:pt idx="1">
                  <c:v>Secundaria</c:v>
                </c:pt>
                <c:pt idx="2">
                  <c:v>Educación Superior</c:v>
                </c:pt>
              </c:strCache>
            </c:strRef>
          </c:cat>
          <c:val>
            <c:numRef>
              <c:f>Hoja1!$W$7:$W$9</c:f>
              <c:numCache>
                <c:formatCode>#,##0</c:formatCode>
                <c:ptCount val="3"/>
                <c:pt idx="0">
                  <c:v>871046</c:v>
                </c:pt>
                <c:pt idx="1">
                  <c:v>1711265</c:v>
                </c:pt>
                <c:pt idx="2">
                  <c:v>1149689</c:v>
                </c:pt>
              </c:numCache>
            </c:numRef>
          </c:val>
          <c:extLst>
            <c:ext xmlns:c16="http://schemas.microsoft.com/office/drawing/2014/chart" uri="{C3380CC4-5D6E-409C-BE32-E72D297353CC}">
              <c16:uniqueId val="{00000000-36B1-42C6-BB6B-A2BC2FE15F65}"/>
            </c:ext>
          </c:extLst>
        </c:ser>
        <c:ser>
          <c:idx val="1"/>
          <c:order val="1"/>
          <c:tx>
            <c:strRef>
              <c:f>Hoja1!$X$6</c:f>
              <c:strCache>
                <c:ptCount val="1"/>
                <c:pt idx="0">
                  <c:v>Hombres</c:v>
                </c:pt>
              </c:strCache>
            </c:strRef>
          </c:tx>
          <c:spPr>
            <a:solidFill>
              <a:schemeClr val="accent2"/>
            </a:solidFill>
            <a:ln>
              <a:noFill/>
            </a:ln>
            <a:effectLst/>
          </c:spPr>
          <c:invertIfNegative val="0"/>
          <c:cat>
            <c:strRef>
              <c:f>Hoja1!$V$7:$V$9</c:f>
              <c:strCache>
                <c:ptCount val="3"/>
                <c:pt idx="0">
                  <c:v>Primaria</c:v>
                </c:pt>
                <c:pt idx="1">
                  <c:v>Secundaria</c:v>
                </c:pt>
                <c:pt idx="2">
                  <c:v>Educación Superior</c:v>
                </c:pt>
              </c:strCache>
            </c:strRef>
          </c:cat>
          <c:val>
            <c:numRef>
              <c:f>Hoja1!$X$7:$X$9</c:f>
              <c:numCache>
                <c:formatCode>#,##0</c:formatCode>
                <c:ptCount val="3"/>
                <c:pt idx="0">
                  <c:v>724481</c:v>
                </c:pt>
                <c:pt idx="1">
                  <c:v>1647165</c:v>
                </c:pt>
                <c:pt idx="2">
                  <c:v>1125905</c:v>
                </c:pt>
              </c:numCache>
            </c:numRef>
          </c:val>
          <c:extLst>
            <c:ext xmlns:c16="http://schemas.microsoft.com/office/drawing/2014/chart" uri="{C3380CC4-5D6E-409C-BE32-E72D297353CC}">
              <c16:uniqueId val="{00000001-36B1-42C6-BB6B-A2BC2FE15F65}"/>
            </c:ext>
          </c:extLst>
        </c:ser>
        <c:dLbls>
          <c:showLegendKey val="0"/>
          <c:showVal val="0"/>
          <c:showCatName val="0"/>
          <c:showSerName val="0"/>
          <c:showPercent val="0"/>
          <c:showBubbleSize val="0"/>
        </c:dLbls>
        <c:gapWidth val="219"/>
        <c:overlap val="-27"/>
        <c:axId val="1567834656"/>
        <c:axId val="1567833824"/>
      </c:barChart>
      <c:catAx>
        <c:axId val="156783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567833824"/>
        <c:crosses val="autoZero"/>
        <c:auto val="1"/>
        <c:lblAlgn val="ctr"/>
        <c:lblOffset val="100"/>
        <c:noMultiLvlLbl val="0"/>
      </c:catAx>
      <c:valAx>
        <c:axId val="1567833824"/>
        <c:scaling>
          <c:orientation val="minMax"/>
        </c:scaling>
        <c:delete val="1"/>
        <c:axPos val="l"/>
        <c:numFmt formatCode="#,##0" sourceLinked="1"/>
        <c:majorTickMark val="none"/>
        <c:minorTickMark val="none"/>
        <c:tickLblPos val="nextTo"/>
        <c:crossAx val="1567834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200"/>
              <a:t>Mujeres</a:t>
            </a:r>
            <a:r>
              <a:rPr lang="es-MX" sz="1200" baseline="0"/>
              <a:t> de 15 años o más ocupadass por sector de actividad económica, tercer trimestres 2021</a:t>
            </a:r>
            <a:endParaRPr lang="es-MX"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Hoja1!$AL$2</c:f>
              <c:strCache>
                <c:ptCount val="1"/>
                <c:pt idx="0">
                  <c:v>Porcentaje (%)</c:v>
                </c:pt>
              </c:strCache>
            </c:strRef>
          </c:tx>
          <c:spPr>
            <a:solidFill>
              <a:srgbClr val="EC7614"/>
            </a:solidFill>
            <a:ln>
              <a:noFill/>
            </a:ln>
            <a:effectLst/>
          </c:spPr>
          <c:invertIfNegative val="0"/>
          <c:cat>
            <c:strRef>
              <c:f>Hoja1!$AK$3:$AK$12</c:f>
              <c:strCache>
                <c:ptCount val="10"/>
                <c:pt idx="0">
                  <c:v>Comercio</c:v>
                </c:pt>
                <c:pt idx="1">
                  <c:v>Industria manufacturera</c:v>
                </c:pt>
                <c:pt idx="2">
                  <c:v>Servicios sociales</c:v>
                </c:pt>
                <c:pt idx="3">
                  <c:v>Restaurantes y servicios de alojamiento</c:v>
                </c:pt>
                <c:pt idx="4">
                  <c:v>Servicios profesionales, financieros y corporativos</c:v>
                </c:pt>
                <c:pt idx="5">
                  <c:v>Gobierno y organismos internacionales</c:v>
                </c:pt>
                <c:pt idx="6">
                  <c:v>Agricultura, ganadería, silvicultura, caza y pesca</c:v>
                </c:pt>
                <c:pt idx="7">
                  <c:v>Transportes, comunicaciones, correo y almacenamiento</c:v>
                </c:pt>
                <c:pt idx="8">
                  <c:v>Construcción</c:v>
                </c:pt>
                <c:pt idx="9">
                  <c:v>Servicios diversos</c:v>
                </c:pt>
              </c:strCache>
            </c:strRef>
          </c:cat>
          <c:val>
            <c:numRef>
              <c:f>Hoja1!$AL$3:$AL$12</c:f>
              <c:numCache>
                <c:formatCode>General</c:formatCode>
                <c:ptCount val="10"/>
                <c:pt idx="0">
                  <c:v>26</c:v>
                </c:pt>
                <c:pt idx="1">
                  <c:v>16</c:v>
                </c:pt>
                <c:pt idx="2">
                  <c:v>13</c:v>
                </c:pt>
                <c:pt idx="3">
                  <c:v>11</c:v>
                </c:pt>
                <c:pt idx="4">
                  <c:v>8</c:v>
                </c:pt>
                <c:pt idx="5">
                  <c:v>4</c:v>
                </c:pt>
                <c:pt idx="6">
                  <c:v>4</c:v>
                </c:pt>
                <c:pt idx="7">
                  <c:v>2</c:v>
                </c:pt>
                <c:pt idx="8">
                  <c:v>1</c:v>
                </c:pt>
                <c:pt idx="9">
                  <c:v>13</c:v>
                </c:pt>
              </c:numCache>
            </c:numRef>
          </c:val>
          <c:extLst>
            <c:ext xmlns:c16="http://schemas.microsoft.com/office/drawing/2014/chart" uri="{C3380CC4-5D6E-409C-BE32-E72D297353CC}">
              <c16:uniqueId val="{00000000-D01E-49E7-A727-111A62BCA729}"/>
            </c:ext>
          </c:extLst>
        </c:ser>
        <c:dLbls>
          <c:showLegendKey val="0"/>
          <c:showVal val="0"/>
          <c:showCatName val="0"/>
          <c:showSerName val="0"/>
          <c:showPercent val="0"/>
          <c:showBubbleSize val="0"/>
        </c:dLbls>
        <c:gapWidth val="219"/>
        <c:overlap val="-27"/>
        <c:axId val="1450890624"/>
        <c:axId val="1450891584"/>
      </c:barChart>
      <c:catAx>
        <c:axId val="14508906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400" b="0" i="0" u="none" strike="noStrike" kern="1200" baseline="0">
                <a:solidFill>
                  <a:schemeClr val="tx1">
                    <a:lumMod val="65000"/>
                    <a:lumOff val="35000"/>
                  </a:schemeClr>
                </a:solidFill>
                <a:latin typeface="+mn-lt"/>
                <a:ea typeface="+mn-ea"/>
                <a:cs typeface="+mn-cs"/>
              </a:defRPr>
            </a:pPr>
            <a:endParaRPr lang="es-MX"/>
          </a:p>
        </c:txPr>
        <c:crossAx val="1450891584"/>
        <c:crosses val="autoZero"/>
        <c:auto val="1"/>
        <c:lblAlgn val="ctr"/>
        <c:lblOffset val="100"/>
        <c:noMultiLvlLbl val="0"/>
      </c:catAx>
      <c:valAx>
        <c:axId val="1450891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450890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925925925925923E-2"/>
          <c:y val="0.19480158730158731"/>
          <c:w val="0.94907407407407407"/>
          <c:h val="0.7183923884514436"/>
        </c:manualLayout>
      </c:layout>
      <c:pie3DChart>
        <c:varyColors val="1"/>
        <c:ser>
          <c:idx val="0"/>
          <c:order val="0"/>
          <c:tx>
            <c:strRef>
              <c:f>Hoja1!$B$1</c:f>
              <c:strCache>
                <c:ptCount val="1"/>
                <c:pt idx="0">
                  <c:v>Ha presenciado o ha sido víctima de violencia de género</c:v>
                </c:pt>
              </c:strCache>
            </c:strRef>
          </c:tx>
          <c:dPt>
            <c:idx val="0"/>
            <c:bubble3D val="0"/>
            <c:spPr>
              <a:solidFill>
                <a:schemeClr val="accent5">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DC3-4553-AC57-0972F68E0880}"/>
              </c:ext>
            </c:extLst>
          </c:dPt>
          <c:dPt>
            <c:idx val="1"/>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DC3-4553-AC57-0972F68E0880}"/>
              </c:ext>
            </c:extLst>
          </c:dPt>
          <c:dPt>
            <c:idx val="2"/>
            <c:bubble3D val="0"/>
            <c:spPr>
              <a:solidFill>
                <a:srgbClr val="F4E6F6"/>
              </a:solidFill>
              <a:ln w="25400">
                <a:solidFill>
                  <a:schemeClr val="lt1"/>
                </a:solidFill>
              </a:ln>
              <a:effectLst/>
              <a:sp3d contourW="25400">
                <a:contourClr>
                  <a:schemeClr val="lt1"/>
                </a:contourClr>
              </a:sp3d>
            </c:spPr>
            <c:extLst>
              <c:ext xmlns:c16="http://schemas.microsoft.com/office/drawing/2014/chart" uri="{C3380CC4-5D6E-409C-BE32-E72D297353CC}">
                <c16:uniqueId val="{00000005-FDC3-4553-AC57-0972F68E0880}"/>
              </c:ext>
            </c:extLst>
          </c:dPt>
          <c:dPt>
            <c:idx val="3"/>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FDC3-4553-AC57-0972F68E0880}"/>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Si, con frecuencia</c:v>
                </c:pt>
                <c:pt idx="1">
                  <c:v>Si, en algunas ocasiones</c:v>
                </c:pt>
                <c:pt idx="2">
                  <c:v>No, pero conozco casos cercanos</c:v>
                </c:pt>
                <c:pt idx="3">
                  <c:v>No, nunca</c:v>
                </c:pt>
              </c:strCache>
            </c:strRef>
          </c:cat>
          <c:val>
            <c:numRef>
              <c:f>Hoja1!$B$2:$B$5</c:f>
              <c:numCache>
                <c:formatCode>General</c:formatCode>
                <c:ptCount val="4"/>
                <c:pt idx="0">
                  <c:v>48</c:v>
                </c:pt>
                <c:pt idx="1">
                  <c:v>244</c:v>
                </c:pt>
                <c:pt idx="2">
                  <c:v>331</c:v>
                </c:pt>
                <c:pt idx="3">
                  <c:v>747</c:v>
                </c:pt>
              </c:numCache>
            </c:numRef>
          </c:val>
          <c:extLst>
            <c:ext xmlns:c16="http://schemas.microsoft.com/office/drawing/2014/chart" uri="{C3380CC4-5D6E-409C-BE32-E72D297353CC}">
              <c16:uniqueId val="{00000008-FDC3-4553-AC57-0972F68E0880}"/>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3.9344371865367961E-2"/>
          <c:y val="0.63492855222979616"/>
          <c:w val="0.46424302251151023"/>
          <c:h val="0.337091593265447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¿En caso de haber sido violentada/o; denunció?</c:v>
                </c:pt>
              </c:strCache>
            </c:strRef>
          </c:tx>
          <c:dPt>
            <c:idx val="0"/>
            <c:bubble3D val="0"/>
            <c:spPr>
              <a:solidFill>
                <a:schemeClr val="accent5">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CAE1-4AC2-8F21-856CE2BD7CD0}"/>
              </c:ext>
            </c:extLst>
          </c:dPt>
          <c:dPt>
            <c:idx val="1"/>
            <c:bubble3D val="0"/>
            <c:spPr>
              <a:solidFill>
                <a:schemeClr val="accent6">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CAE1-4AC2-8F21-856CE2BD7CD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AE1-4AC2-8F21-856CE2BD7CD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AE1-4AC2-8F21-856CE2BD7CD0}"/>
              </c:ext>
            </c:extLst>
          </c:dPt>
          <c:dLbls>
            <c:dLbl>
              <c:idx val="0"/>
              <c:tx>
                <c:rich>
                  <a:bodyPr/>
                  <a:lstStyle/>
                  <a:p>
                    <a:r>
                      <a:rPr lang="en-US" baseline="0"/>
                      <a:t> </a:t>
                    </a:r>
                    <a:fld id="{5BD8A6D9-D411-40D3-9191-E659D6BFD154}"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AE1-4AC2-8F21-856CE2BD7CD0}"/>
                </c:ext>
              </c:extLst>
            </c:dLbl>
            <c:dLbl>
              <c:idx val="1"/>
              <c:tx>
                <c:rich>
                  <a:bodyPr/>
                  <a:lstStyle/>
                  <a:p>
                    <a:r>
                      <a:rPr lang="en-US" baseline="0"/>
                      <a:t> </a:t>
                    </a:r>
                    <a:fld id="{3257961F-E552-49AC-AE2A-1D85D188FCBC}"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AE1-4AC2-8F21-856CE2BD7CD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2"/>
                <c:pt idx="0">
                  <c:v>Si</c:v>
                </c:pt>
                <c:pt idx="1">
                  <c:v>No</c:v>
                </c:pt>
              </c:strCache>
            </c:strRef>
          </c:cat>
          <c:val>
            <c:numRef>
              <c:f>Hoja1!$B$2:$B$5</c:f>
              <c:numCache>
                <c:formatCode>General</c:formatCode>
                <c:ptCount val="4"/>
                <c:pt idx="0">
                  <c:v>400</c:v>
                </c:pt>
                <c:pt idx="1">
                  <c:v>1054</c:v>
                </c:pt>
              </c:numCache>
            </c:numRef>
          </c:val>
          <c:extLst>
            <c:ext xmlns:c16="http://schemas.microsoft.com/office/drawing/2014/chart" uri="{C3380CC4-5D6E-409C-BE32-E72D297353CC}">
              <c16:uniqueId val="{00000008-CAE1-4AC2-8F21-856CE2BD7CD0}"/>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Si ha enfrentado dificultades emocionales, ¿qué acciones ha tomado para manejarlas?</c:v>
                </c:pt>
              </c:strCache>
            </c:strRef>
          </c:tx>
          <c:dPt>
            <c:idx val="0"/>
            <c:bubble3D val="0"/>
            <c:spPr>
              <a:solidFill>
                <a:schemeClr val="accent2">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2DF-4FDE-BA44-AED2A581CF64}"/>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02DF-4FDE-BA44-AED2A581CF64}"/>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02DF-4FDE-BA44-AED2A581CF64}"/>
              </c:ext>
            </c:extLst>
          </c:dPt>
          <c:dPt>
            <c:idx val="3"/>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02DF-4FDE-BA44-AED2A581CF64}"/>
              </c:ext>
            </c:extLst>
          </c:dPt>
          <c:dLbls>
            <c:dLbl>
              <c:idx val="1"/>
              <c:tx>
                <c:rich>
                  <a:bodyPr/>
                  <a:lstStyle/>
                  <a:p>
                    <a:r>
                      <a:rPr lang="en-US" baseline="0"/>
                      <a:t>
</a:t>
                    </a:r>
                    <a:fld id="{EC85A769-7351-44A0-8593-5EF54F068945}" type="PERCENTAGE">
                      <a:rPr lang="en-US" baseline="0"/>
                      <a:pPr/>
                      <a:t>[PORCENTAJE]</a:t>
                    </a:fld>
                    <a:endParaRPr lang="en-US" baseline="0"/>
                  </a:p>
                </c:rich>
              </c:tx>
              <c:dLblPos val="out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DF-4FDE-BA44-AED2A581CF6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Busque apoyo en familia y amigos</c:v>
                </c:pt>
                <c:pt idx="1">
                  <c:v>Consulté un profesional de salud mental</c:v>
                </c:pt>
                <c:pt idx="2">
                  <c:v>Utilice estrategias personales</c:v>
                </c:pt>
                <c:pt idx="3">
                  <c:v>No busque apoyo ni tome ninguna accion </c:v>
                </c:pt>
              </c:strCache>
            </c:strRef>
          </c:cat>
          <c:val>
            <c:numRef>
              <c:f>Hoja1!$B$2:$B$5</c:f>
              <c:numCache>
                <c:formatCode>General</c:formatCode>
                <c:ptCount val="4"/>
                <c:pt idx="0">
                  <c:v>321</c:v>
                </c:pt>
                <c:pt idx="1">
                  <c:v>273</c:v>
                </c:pt>
                <c:pt idx="2">
                  <c:v>567</c:v>
                </c:pt>
                <c:pt idx="3">
                  <c:v>293</c:v>
                </c:pt>
              </c:numCache>
            </c:numRef>
          </c:val>
          <c:extLst>
            <c:ext xmlns:c16="http://schemas.microsoft.com/office/drawing/2014/chart" uri="{C3380CC4-5D6E-409C-BE32-E72D297353CC}">
              <c16:uniqueId val="{00000008-02DF-4FDE-BA44-AED2A581CF6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1759259259259259E-2"/>
          <c:y val="0.45316804149481316"/>
          <c:w val="0.82407407407407407"/>
          <c:h val="0.3870553680789901"/>
        </c:manualLayout>
      </c:layout>
      <c:pie3DChart>
        <c:varyColors val="1"/>
        <c:ser>
          <c:idx val="0"/>
          <c:order val="0"/>
          <c:tx>
            <c:strRef>
              <c:f>Hoja1!$B$1</c:f>
              <c:strCache>
                <c:ptCount val="1"/>
                <c:pt idx="0">
                  <c:v>¿Considera que en San Antonio la Isla deberían existir Módulos de Atención Psicológica accesibles para brindar apoyo en temas de salud mental?</c:v>
                </c:pt>
              </c:strCache>
            </c:strRef>
          </c:tx>
          <c:dPt>
            <c:idx val="0"/>
            <c:bubble3D val="0"/>
            <c:spPr>
              <a:solidFill>
                <a:schemeClr val="accent1">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CAA-42FA-9507-888001636C14}"/>
              </c:ext>
            </c:extLst>
          </c:dPt>
          <c:dPt>
            <c:idx val="1"/>
            <c:bubble3D val="0"/>
            <c:spPr>
              <a:solidFill>
                <a:schemeClr val="accent4">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CAA-42FA-9507-888001636C14}"/>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6CAA-42FA-9507-888001636C14}"/>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6CAA-42FA-9507-888001636C14}"/>
              </c:ext>
            </c:extLst>
          </c:dPt>
          <c:dLbls>
            <c:dLbl>
              <c:idx val="0"/>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AA-42FA-9507-888001636C14}"/>
                </c:ext>
              </c:extLst>
            </c:dLbl>
            <c:dLbl>
              <c:idx val="1"/>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CAA-42FA-9507-888001636C14}"/>
                </c:ext>
              </c:extLst>
            </c:dLbl>
            <c:dLbl>
              <c:idx val="2"/>
              <c:dLblPos val="outEnd"/>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CAA-42FA-9507-888001636C14}"/>
                </c:ext>
              </c:extLst>
            </c:dLbl>
            <c:dLbl>
              <c:idx val="3"/>
              <c:layout>
                <c:manualLayout>
                  <c:x val="0.18981481481481483"/>
                  <c:y val="1.190476190476190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CAA-42FA-9507-888001636C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Sí, es muy necesario</c:v>
                </c:pt>
                <c:pt idx="1">
                  <c:v>Sí, sería útil en algunos casos</c:v>
                </c:pt>
                <c:pt idx="2">
                  <c:v>No lo considero necesario</c:v>
                </c:pt>
                <c:pt idx="3">
                  <c:v>No estoy segura/o</c:v>
                </c:pt>
              </c:strCache>
            </c:strRef>
          </c:cat>
          <c:val>
            <c:numRef>
              <c:f>Hoja1!$B$2:$B$5</c:f>
              <c:numCache>
                <c:formatCode>General</c:formatCode>
                <c:ptCount val="4"/>
                <c:pt idx="0">
                  <c:v>957</c:v>
                </c:pt>
                <c:pt idx="1">
                  <c:v>442</c:v>
                </c:pt>
                <c:pt idx="2">
                  <c:v>34</c:v>
                </c:pt>
                <c:pt idx="3">
                  <c:v>21</c:v>
                </c:pt>
              </c:numCache>
            </c:numRef>
          </c:val>
          <c:extLst>
            <c:ext xmlns:c16="http://schemas.microsoft.com/office/drawing/2014/chart" uri="{C3380CC4-5D6E-409C-BE32-E72D297353CC}">
              <c16:uniqueId val="{00000008-6CAA-42FA-9507-888001636C1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¿Cómo califica el servicio de seguridad pública en el municipio?</c:v>
                </c:pt>
              </c:strCache>
            </c:strRef>
          </c:tx>
          <c:dPt>
            <c:idx val="0"/>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E9AE-4E07-9826-834DA784BB14}"/>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E9AE-4E07-9826-834DA784BB14}"/>
              </c:ext>
            </c:extLst>
          </c:dPt>
          <c:dPt>
            <c:idx val="2"/>
            <c:bubble3D val="0"/>
            <c:spPr>
              <a:solidFill>
                <a:schemeClr val="accent5">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E9AE-4E07-9826-834DA784BB14}"/>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E9AE-4E07-9826-834DA784BB1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dLblPos val="outEnd"/>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3"/>
                <c:pt idx="0">
                  <c:v>Bueno</c:v>
                </c:pt>
                <c:pt idx="1">
                  <c:v>Neutral</c:v>
                </c:pt>
                <c:pt idx="2">
                  <c:v>Malo</c:v>
                </c:pt>
              </c:strCache>
            </c:strRef>
          </c:cat>
          <c:val>
            <c:numRef>
              <c:f>Hoja1!$B$2:$B$5</c:f>
              <c:numCache>
                <c:formatCode>General</c:formatCode>
                <c:ptCount val="4"/>
                <c:pt idx="0">
                  <c:v>306</c:v>
                </c:pt>
                <c:pt idx="1">
                  <c:v>499</c:v>
                </c:pt>
                <c:pt idx="2">
                  <c:v>622</c:v>
                </c:pt>
              </c:numCache>
            </c:numRef>
          </c:val>
          <c:extLst>
            <c:ext xmlns:c16="http://schemas.microsoft.com/office/drawing/2014/chart" uri="{C3380CC4-5D6E-409C-BE32-E72D297353CC}">
              <c16:uniqueId val="{00000008-E9AE-4E07-9826-834DA784BB14}"/>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¿Se siente segura (o) en el municipio?</c:v>
                </c:pt>
              </c:strCache>
            </c:strRef>
          </c:tx>
          <c:dPt>
            <c:idx val="0"/>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627D-43B9-8395-473D71875F11}"/>
              </c:ext>
            </c:extLst>
          </c:dPt>
          <c:dPt>
            <c:idx val="1"/>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627D-43B9-8395-473D71875F11}"/>
              </c:ext>
            </c:extLst>
          </c:dPt>
          <c:dLbls>
            <c:dLbl>
              <c:idx val="0"/>
              <c:tx>
                <c:rich>
                  <a:bodyPr/>
                  <a:lstStyle/>
                  <a:p>
                    <a:fld id="{5A65014F-6BC6-4E2E-9CDA-6A90A82FA9E9}" type="PERCENTAGE">
                      <a:rPr lang="en-US" baseline="0"/>
                      <a:pPr/>
                      <a:t>[PORCENTAJE]</a:t>
                    </a:fld>
                    <a:endParaRPr lang="es-MX"/>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27D-43B9-8395-473D71875F11}"/>
                </c:ext>
              </c:extLst>
            </c:dLbl>
            <c:dLbl>
              <c:idx val="1"/>
              <c:tx>
                <c:rich>
                  <a:bodyPr/>
                  <a:lstStyle/>
                  <a:p>
                    <a:r>
                      <a:rPr lang="en-US" baseline="0"/>
                      <a:t> </a:t>
                    </a:r>
                    <a:fld id="{FC962DCE-DDC7-4019-924E-B74A1BCDB866}"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27D-43B9-8395-473D71875F1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showLegendKey val="0"/>
            <c:showVal val="0"/>
            <c:showCatName val="0"/>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2"/>
                <c:pt idx="0">
                  <c:v>Si</c:v>
                </c:pt>
                <c:pt idx="1">
                  <c:v>No</c:v>
                </c:pt>
              </c:strCache>
              <c:extLst/>
            </c:strRef>
          </c:cat>
          <c:val>
            <c:numRef>
              <c:f>Hoja1!$B$2:$B$5</c:f>
              <c:numCache>
                <c:formatCode>General</c:formatCode>
                <c:ptCount val="2"/>
                <c:pt idx="0">
                  <c:v>503</c:v>
                </c:pt>
                <c:pt idx="1">
                  <c:v>951</c:v>
                </c:pt>
              </c:numCache>
              <c:extLst/>
            </c:numRef>
          </c:val>
          <c:extLst>
            <c:ext xmlns:c16="http://schemas.microsoft.com/office/drawing/2014/chart" uri="{C3380CC4-5D6E-409C-BE32-E72D297353CC}">
              <c16:uniqueId val="{00000004-627D-43B9-8395-473D71875F11}"/>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¿El gobierno municipal tiene medidas dirigidas al medio ambiente?</c:v>
                </c:pt>
              </c:strCache>
            </c:strRef>
          </c:tx>
          <c:dPt>
            <c:idx val="0"/>
            <c:bubble3D val="0"/>
            <c:spPr>
              <a:solidFill>
                <a:schemeClr val="accent5">
                  <a:lumMod val="40000"/>
                  <a:lumOff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1008-4C47-BCCA-251EC9BBA17C}"/>
              </c:ext>
            </c:extLst>
          </c:dPt>
          <c:dPt>
            <c:idx val="1"/>
            <c:bubble3D val="0"/>
            <c:spPr>
              <a:solidFill>
                <a:schemeClr val="accent4">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1008-4C47-BCCA-251EC9BBA17C}"/>
              </c:ext>
            </c:extLst>
          </c:dPt>
          <c:dPt>
            <c:idx val="2"/>
            <c:bubble3D val="0"/>
            <c:spPr>
              <a:solidFill>
                <a:schemeClr val="accent6">
                  <a:lumMod val="20000"/>
                  <a:lumOff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1008-4C47-BCCA-251EC9BBA17C}"/>
              </c:ext>
            </c:extLst>
          </c:dPt>
          <c:dPt>
            <c:idx val="3"/>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1008-4C47-BCCA-251EC9BBA17C}"/>
              </c:ext>
            </c:extLst>
          </c:dPt>
          <c:dLbls>
            <c:dLbl>
              <c:idx val="0"/>
              <c:tx>
                <c:rich>
                  <a:bodyPr/>
                  <a:lstStyle/>
                  <a:p>
                    <a:fld id="{41FF5FAF-C8C3-4B15-8AC6-D30FEE1D4AB9}" type="PERCENTAGE">
                      <a:rPr lang="en-US" baseline="0"/>
                      <a:pPr/>
                      <a:t>[PORCENTAJE]</a:t>
                    </a:fld>
                    <a:endParaRPr lang="es-MX"/>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008-4C47-BCCA-251EC9BBA17C}"/>
                </c:ext>
              </c:extLst>
            </c:dLbl>
            <c:dLbl>
              <c:idx val="1"/>
              <c:tx>
                <c:rich>
                  <a:bodyPr/>
                  <a:lstStyle/>
                  <a:p>
                    <a:r>
                      <a:rPr lang="en-US" baseline="0"/>
                      <a:t> </a:t>
                    </a:r>
                    <a:fld id="{A41A94B8-9A36-4DBD-93AF-2E4F5B37F47E}"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008-4C47-BCCA-251EC9BBA17C}"/>
                </c:ext>
              </c:extLst>
            </c:dLbl>
            <c:dLbl>
              <c:idx val="2"/>
              <c:tx>
                <c:rich>
                  <a:bodyPr/>
                  <a:lstStyle/>
                  <a:p>
                    <a:r>
                      <a:rPr lang="en-US" baseline="0"/>
                      <a:t> </a:t>
                    </a:r>
                    <a:fld id="{3A19A707-B2EA-4B4F-AE99-854C534194A7}" type="PERCENTAGE">
                      <a:rPr lang="en-US" baseline="0"/>
                      <a:pPr/>
                      <a:t>[PORCENTAJE]</a:t>
                    </a:fld>
                    <a:endParaRPr lang="en-US" baseline="0"/>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008-4C47-BCCA-251EC9BBA17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Hoja1!$A$2:$A$5</c:f>
              <c:strCache>
                <c:ptCount val="4"/>
                <c:pt idx="0">
                  <c:v>Si, hace un buen trabajo</c:v>
                </c:pt>
                <c:pt idx="1">
                  <c:v>Algunas medidas, pero insuficientes</c:v>
                </c:pt>
                <c:pt idx="2">
                  <c:v>No, no hace lo necesario</c:v>
                </c:pt>
                <c:pt idx="3">
                  <c:v>No tengo idea</c:v>
                </c:pt>
              </c:strCache>
            </c:strRef>
          </c:cat>
          <c:val>
            <c:numRef>
              <c:f>Hoja1!$B$2:$B$5</c:f>
              <c:numCache>
                <c:formatCode>General</c:formatCode>
                <c:ptCount val="4"/>
                <c:pt idx="0">
                  <c:v>230</c:v>
                </c:pt>
                <c:pt idx="1">
                  <c:v>661</c:v>
                </c:pt>
                <c:pt idx="2">
                  <c:v>347</c:v>
                </c:pt>
                <c:pt idx="3">
                  <c:v>1.2</c:v>
                </c:pt>
              </c:numCache>
            </c:numRef>
          </c:val>
          <c:extLst>
            <c:ext xmlns:c16="http://schemas.microsoft.com/office/drawing/2014/chart" uri="{C3380CC4-5D6E-409C-BE32-E72D297353CC}">
              <c16:uniqueId val="{00000008-1008-4C47-BCCA-251EC9BBA17C}"/>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withinLinear" id="15">
  <a:schemeClr val="accent2"/>
</cs:colorStyle>
</file>

<file path=word/charts/colors15.xml><?xml version="1.0" encoding="utf-8"?>
<cs:colorStyle xmlns:cs="http://schemas.microsoft.com/office/drawing/2012/chartStyle" xmlns:a="http://schemas.openxmlformats.org/drawingml/2006/main" meth="withinLinear" id="15">
  <a:schemeClr val="accent2"/>
</cs:colorStyle>
</file>

<file path=word/charts/colors16.xml><?xml version="1.0" encoding="utf-8"?>
<cs:colorStyle xmlns:cs="http://schemas.microsoft.com/office/drawing/2012/chartStyle" xmlns:a="http://schemas.openxmlformats.org/drawingml/2006/main" meth="withinLinear" id="17">
  <a:schemeClr val="accent4"/>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0.20876</cdr:x>
      <cdr:y>0.03265</cdr:y>
    </cdr:from>
    <cdr:to>
      <cdr:x>0.82495</cdr:x>
      <cdr:y>0.22842</cdr:y>
    </cdr:to>
    <cdr:sp macro="" textlink="">
      <cdr:nvSpPr>
        <cdr:cNvPr id="2" name="Cuadro de texto 1"/>
        <cdr:cNvSpPr txBox="1"/>
      </cdr:nvSpPr>
      <cdr:spPr>
        <a:xfrm xmlns:a="http://schemas.openxmlformats.org/drawingml/2006/main">
          <a:off x="1232452" y="116497"/>
          <a:ext cx="3637722" cy="698511"/>
        </a:xfrm>
        <a:prstGeom xmlns:a="http://schemas.openxmlformats.org/drawingml/2006/main" prst="rect">
          <a:avLst/>
        </a:prstGeom>
      </cdr:spPr>
      <cdr:txBody>
        <a:bodyPr xmlns:a="http://schemas.openxmlformats.org/drawingml/2006/main" wrap="square" rtlCol="0" anchor="t" anchorCtr="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ES" altLang="en-US" sz="1400" b="1">
              <a:solidFill>
                <a:srgbClr val="025850"/>
              </a:solidFill>
              <a:latin typeface="Century Gothic" panose="020B0502020202020204" pitchFamily="34" charset="0"/>
            </a:rPr>
            <a:t>Proyeccion de la Poblacion de </a:t>
          </a:r>
        </a:p>
        <a:p xmlns:a="http://schemas.openxmlformats.org/drawingml/2006/main">
          <a:pPr algn="ctr"/>
          <a:r>
            <a:rPr lang="es-ES" altLang="en-US" sz="1400" b="1">
              <a:solidFill>
                <a:srgbClr val="025850"/>
              </a:solidFill>
              <a:latin typeface="Century Gothic" panose="020B0502020202020204" pitchFamily="34" charset="0"/>
            </a:rPr>
            <a:t>San Antonio la Isla 2025-2070</a:t>
          </a:r>
        </a:p>
      </cdr:txBody>
    </cdr:sp>
  </cdr:relSizeAnchor>
</c:userShapes>
</file>

<file path=word/drawings/drawing2.xml><?xml version="1.0" encoding="utf-8"?>
<c:userShapes xmlns:c="http://schemas.openxmlformats.org/drawingml/2006/chart">
  <cdr:relSizeAnchor xmlns:cdr="http://schemas.openxmlformats.org/drawingml/2006/chartDrawing">
    <cdr:from>
      <cdr:x>0.44311</cdr:x>
      <cdr:y>0.89304</cdr:y>
    </cdr:from>
    <cdr:to>
      <cdr:x>0.98921</cdr:x>
      <cdr:y>0.97692</cdr:y>
    </cdr:to>
    <cdr:sp macro="" textlink="">
      <cdr:nvSpPr>
        <cdr:cNvPr id="3" name="Cuadro de texto 2"/>
        <cdr:cNvSpPr txBox="1"/>
      </cdr:nvSpPr>
      <cdr:spPr>
        <a:xfrm xmlns:a="http://schemas.openxmlformats.org/drawingml/2006/main">
          <a:off x="2229633" y="2968670"/>
          <a:ext cx="2747827" cy="278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600">
              <a:solidFill>
                <a:sysClr val="windowText" lastClr="000000"/>
              </a:solidFill>
              <a:effectLst/>
              <a:latin typeface="Verdana" panose="020B0604030504040204" pitchFamily="34" charset="0"/>
              <a:ea typeface="Verdana" panose="020B0604030504040204" pitchFamily="34" charset="0"/>
              <a:cs typeface="+mn-cs"/>
            </a:rPr>
            <a:t>Fuente</a:t>
          </a:r>
          <a:r>
            <a:rPr lang="es-ES" sz="600" b="0">
              <a:solidFill>
                <a:sysClr val="windowText" lastClr="000000"/>
              </a:solidFill>
              <a:effectLst/>
              <a:latin typeface="Verdana" panose="020B0604030504040204" pitchFamily="34" charset="0"/>
              <a:ea typeface="Verdana" panose="020B0604030504040204" pitchFamily="34" charset="0"/>
              <a:cs typeface="+mn-cs"/>
            </a:rPr>
            <a:t>:  Elaboración propia con información del Censo de Población y Vivienda del INEGI para 2020</a:t>
          </a:r>
          <a:endParaRPr lang="es-MX" sz="600" b="0">
            <a:solidFill>
              <a:sysClr val="windowText" lastClr="000000"/>
            </a:solidFill>
            <a:effectLst/>
            <a:latin typeface="Verdana" panose="020B0604030504040204" pitchFamily="34" charset="0"/>
            <a:ea typeface="Verdana" panose="020B0604030504040204" pitchFamily="34" charset="0"/>
            <a:cs typeface="+mn-cs"/>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CFF34-CA0E-493B-9389-183B6B8E7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275</Pages>
  <Words>69429</Words>
  <Characters>381862</Characters>
  <Application>Microsoft Office Word</Application>
  <DocSecurity>0</DocSecurity>
  <Lines>3182</Lines>
  <Paragraphs>900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Alfonso Maldonado Hernandez</dc:creator>
  <cp:keywords/>
  <dc:description/>
  <cp:lastModifiedBy>Gerardo Sánchez</cp:lastModifiedBy>
  <cp:revision>2</cp:revision>
  <dcterms:created xsi:type="dcterms:W3CDTF">2025-03-22T00:04:00Z</dcterms:created>
  <dcterms:modified xsi:type="dcterms:W3CDTF">2025-03-22T00:04:00Z</dcterms:modified>
</cp:coreProperties>
</file>